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Bianchi Francesco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 EASTBOURNE TERRACE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43"/>
          </w:cols>
          <w:pgMar w:left="240" w:top="226" w:right="15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W2 6LG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20"/>
          </w:cols>
          <w:pgMar w:left="240" w:top="226" w:right="15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1,715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1,715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94.45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944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Ordinary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1,715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12/15/2018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1,715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1,048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Shares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4"/>
              </w:rPr>
              <w:t>1. Reporting person had vested restricted stock units (RSUs) settled in ordinary shares of LivaNova PLC (the Company), GBP 1.00 par value.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2. The referenced shares were withheld from distribution at the request of reporting person to satisfy tax liability.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2"/>
              </w:rPr>
              <w:t>3. On December 15, 2017, reporting person was granted RSUs that vested and all forfeiture restrictions thereon lapsed on December 15, 2018.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Catherine Moroz, POA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12/18/2018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7273290</wp:posOffset>
            </wp:positionH>
            <wp:positionV relativeFrom="paragraph">
              <wp:posOffset>-3484880</wp:posOffset>
            </wp:positionV>
            <wp:extent cx="41910" cy="2212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2212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56080" TargetMode="External"/><Relationship Id="rId13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2019-12-24T09:13:05Z</dcterms:created>
  <dcterms:modified xsi:type="dcterms:W3CDTF">2019-12-24T09:13:05Z</dcterms:modified>
</cp:coreProperties>
</file>