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February 12,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289560</wp:posOffset>
            </wp:positionV>
            <wp:extent cx="1475105" cy="4629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510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69"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England and Wales</w:t>
            </w:r>
          </w:p>
        </w:tc>
        <w:tc>
          <w:tcPr>
            <w:tcW w:w="54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001-37599</w:t>
            </w:r>
          </w:p>
        </w:tc>
        <w:tc>
          <w:tcPr>
            <w:tcW w:w="1760" w:type="dxa"/>
            <w:vAlign w:val="bottom"/>
          </w:tcPr>
          <w:p>
            <w:pPr>
              <w:jc w:val="center"/>
              <w:ind w:left="350"/>
              <w:spacing w:after="0"/>
              <w:rPr>
                <w:sz w:val="20"/>
                <w:szCs w:val="20"/>
                <w:color w:val="auto"/>
              </w:rPr>
            </w:pPr>
            <w:r>
              <w:rPr>
                <w:rFonts w:ascii="Arial" w:cs="Arial" w:eastAsia="Arial" w:hAnsi="Arial"/>
                <w:sz w:val="18"/>
                <w:szCs w:val="18"/>
                <w:b w:val="1"/>
                <w:bCs w:val="1"/>
                <w:color w:val="auto"/>
                <w:w w:val="91"/>
              </w:rPr>
              <w:t>98-1268150</w:t>
            </w:r>
          </w:p>
        </w:tc>
      </w:tr>
      <w:tr>
        <w:trPr>
          <w:trHeight w:val="216"/>
        </w:trPr>
        <w:tc>
          <w:tcPr>
            <w:tcW w:w="2220" w:type="dxa"/>
            <w:vAlign w:val="bottom"/>
          </w:tcPr>
          <w:p>
            <w:pPr>
              <w:jc w:val="center"/>
              <w:ind w:right="170"/>
              <w:spacing w:after="0"/>
              <w:rPr>
                <w:sz w:val="20"/>
                <w:szCs w:val="20"/>
                <w:color w:val="auto"/>
              </w:rPr>
            </w:pPr>
            <w:r>
              <w:rPr>
                <w:rFonts w:ascii="Arial" w:cs="Arial" w:eastAsia="Arial" w:hAnsi="Arial"/>
                <w:sz w:val="18"/>
                <w:szCs w:val="18"/>
                <w:color w:val="auto"/>
                <w:w w:val="91"/>
              </w:rPr>
              <w:t>(State or Other Jurisdiction</w:t>
            </w:r>
          </w:p>
        </w:tc>
        <w:tc>
          <w:tcPr>
            <w:tcW w:w="5420" w:type="dxa"/>
            <w:vAlign w:val="bottom"/>
          </w:tcPr>
          <w:p>
            <w:pPr>
              <w:jc w:val="center"/>
              <w:ind w:right="30"/>
              <w:spacing w:after="0"/>
              <w:rPr>
                <w:sz w:val="20"/>
                <w:szCs w:val="20"/>
                <w:color w:val="auto"/>
              </w:rPr>
            </w:pPr>
            <w:r>
              <w:rPr>
                <w:rFonts w:ascii="Arial" w:cs="Arial" w:eastAsia="Arial" w:hAnsi="Arial"/>
                <w:sz w:val="18"/>
                <w:szCs w:val="18"/>
                <w:color w:val="auto"/>
                <w:w w:val="93"/>
              </w:rPr>
              <w:t>(Commission</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3"/>
              </w:rPr>
              <w:t>(IRS Employer</w:t>
            </w:r>
          </w:p>
        </w:tc>
      </w:tr>
      <w:tr>
        <w:trPr>
          <w:trHeight w:val="230"/>
        </w:trPr>
        <w:tc>
          <w:tcPr>
            <w:tcW w:w="2220" w:type="dxa"/>
            <w:vAlign w:val="bottom"/>
          </w:tcPr>
          <w:p>
            <w:pPr>
              <w:jc w:val="center"/>
              <w:ind w:right="130"/>
              <w:spacing w:after="0"/>
              <w:rPr>
                <w:sz w:val="20"/>
                <w:szCs w:val="20"/>
                <w:color w:val="auto"/>
              </w:rPr>
            </w:pPr>
            <w:r>
              <w:rPr>
                <w:rFonts w:ascii="Arial" w:cs="Arial" w:eastAsia="Arial" w:hAnsi="Arial"/>
                <w:sz w:val="18"/>
                <w:szCs w:val="18"/>
                <w:color w:val="auto"/>
                <w:w w:val="94"/>
              </w:rPr>
              <w:t>of Incorporation)</w:t>
            </w:r>
          </w:p>
        </w:tc>
        <w:tc>
          <w:tcPr>
            <w:tcW w:w="5420" w:type="dxa"/>
            <w:vAlign w:val="bottom"/>
          </w:tcPr>
          <w:p>
            <w:pPr>
              <w:jc w:val="center"/>
              <w:ind w:right="30"/>
              <w:spacing w:after="0"/>
              <w:rPr>
                <w:sz w:val="20"/>
                <w:szCs w:val="20"/>
                <w:color w:val="auto"/>
              </w:rPr>
            </w:pPr>
            <w:r>
              <w:rPr>
                <w:rFonts w:ascii="Arial" w:cs="Arial" w:eastAsia="Arial" w:hAnsi="Arial"/>
                <w:sz w:val="18"/>
                <w:szCs w:val="18"/>
                <w:color w:val="auto"/>
                <w:w w:val="94"/>
              </w:rPr>
              <w:t>File Number)</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5"/>
              </w:rPr>
              <w:t>Identification No.)</w:t>
            </w:r>
          </w:p>
        </w:tc>
      </w:tr>
      <w:tr>
        <w:trPr>
          <w:trHeight w:val="441"/>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20 Eastbourne Terrace</w:t>
            </w:r>
          </w:p>
        </w:tc>
        <w:tc>
          <w:tcPr>
            <w:tcW w:w="176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London, W2 6LG</w:t>
            </w:r>
          </w:p>
        </w:tc>
        <w:tc>
          <w:tcPr>
            <w:tcW w:w="1760" w:type="dxa"/>
            <w:vAlign w:val="bottom"/>
          </w:tcPr>
          <w:p>
            <w:pPr>
              <w:spacing w:after="0"/>
              <w:rPr>
                <w:sz w:val="18"/>
                <w:szCs w:val="18"/>
                <w:color w:val="auto"/>
              </w:rPr>
            </w:pPr>
          </w:p>
        </w:tc>
      </w:tr>
      <w:tr>
        <w:trPr>
          <w:trHeight w:val="220"/>
        </w:trPr>
        <w:tc>
          <w:tcPr>
            <w:tcW w:w="2220" w:type="dxa"/>
            <w:vAlign w:val="bottom"/>
          </w:tcPr>
          <w:p>
            <w:pPr>
              <w:spacing w:after="0"/>
              <w:rPr>
                <w:sz w:val="19"/>
                <w:szCs w:val="19"/>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760" w:type="dxa"/>
            <w:vAlign w:val="bottom"/>
          </w:tcPr>
          <w:p>
            <w:pPr>
              <w:spacing w:after="0"/>
              <w:rPr>
                <w:sz w:val="19"/>
                <w:szCs w:val="19"/>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2"/>
              </w:rPr>
              <w:t>(Address of Principal Executive Offices)</w:t>
            </w:r>
          </w:p>
        </w:tc>
        <w:tc>
          <w:tcPr>
            <w:tcW w:w="176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+44 20 33250660</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color w:val="auto"/>
                <w:w w:val="91"/>
              </w:rPr>
              <w:t>(Registrant’s Telephone Number, Including Area Code)</w:t>
            </w:r>
          </w:p>
        </w:tc>
        <w:tc>
          <w:tcPr>
            <w:tcW w:w="176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N/A</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760" w:type="dxa"/>
            <w:vAlign w:val="bottom"/>
          </w:tcPr>
          <w:p>
            <w:pPr>
              <w:spacing w:after="0"/>
              <w:rPr>
                <w:sz w:val="20"/>
                <w:szCs w:val="20"/>
                <w:color w:val="auto"/>
              </w:rPr>
            </w:pPr>
          </w:p>
        </w:tc>
      </w:tr>
    </w:tbl>
    <w:p>
      <w:pPr>
        <w:spacing w:after="0" w:line="202"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defined in Rule 405 of the Securities Act of 1933 (§230.405 of this chapter) or Rule 12b-2 of the Securities Exchange Act of 1934 (§240.12b-2 of this chapter).</w:t>
      </w:r>
    </w:p>
    <w:p>
      <w:pPr>
        <w:spacing w:after="0" w:line="114" w:lineRule="exact"/>
        <w:rPr>
          <w:sz w:val="24"/>
          <w:szCs w:val="24"/>
          <w:color w:val="auto"/>
        </w:rPr>
      </w:pPr>
    </w:p>
    <w:p>
      <w:pPr>
        <w:ind w:left="7660"/>
        <w:spacing w:after="0"/>
        <w:tabs>
          <w:tab w:leader="none" w:pos="112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6"/>
          <w:szCs w:val="16"/>
          <w:color w:val="auto"/>
        </w:rPr>
        <w:t>o</w:t>
      </w:r>
    </w:p>
    <w:p>
      <w:pPr>
        <w:spacing w:after="0" w:line="26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14" w:lineRule="exact"/>
        <w:rPr>
          <w:sz w:val="24"/>
          <w:szCs w:val="24"/>
          <w:color w:val="auto"/>
        </w:rPr>
      </w:pPr>
    </w:p>
    <w:p>
      <w:pPr>
        <w:ind w:left="11260"/>
        <w:spacing w:after="0"/>
        <w:rPr>
          <w:sz w:val="20"/>
          <w:szCs w:val="20"/>
          <w:color w:val="auto"/>
        </w:rPr>
      </w:pPr>
      <w:r>
        <w:rPr>
          <w:rFonts w:ascii="Arial" w:cs="Arial" w:eastAsia="Arial" w:hAnsi="Arial"/>
          <w:sz w:val="20"/>
          <w:szCs w:val="20"/>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1" w:name="page2"/>
    <w:bookmarkEnd w:id="1"/>
    <w:p>
      <w:pPr>
        <w:ind w:right="3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LivaNova 2018 Short-Term Incentive Plan</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February 9, 2018, the Compensation Committee (the "Committee") of the Board of Directors of LivaNova Plc (the "Company") approved the Company's 2018 annual short-term incentive plan (the "2018 STIP"). The 2018 STIP is described in Exhibit 10.1, which is attached hereto and incorporated herein by reference.</w:t>
      </w:r>
    </w:p>
    <w:p>
      <w:pPr>
        <w:spacing w:after="0"/>
        <w:rPr>
          <w:sz w:val="20"/>
          <w:szCs w:val="20"/>
          <w:color w:val="auto"/>
        </w:rPr>
      </w:pPr>
      <w:r>
        <w:rPr>
          <w:rFonts w:ascii="Arial" w:cs="Arial" w:eastAsia="Arial" w:hAnsi="Arial"/>
          <w:sz w:val="18"/>
          <w:szCs w:val="18"/>
          <w:color w:val="auto"/>
        </w:rPr>
        <w:t>Item 9.01 Financial Statements and Exhibits.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Exhibits.</w:t>
      </w: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No.</w:t>
            </w:r>
          </w:p>
        </w:tc>
        <w:tc>
          <w:tcPr>
            <w:tcW w:w="600" w:type="dxa"/>
            <w:vAlign w:val="bottom"/>
          </w:tcPr>
          <w:p>
            <w:pPr>
              <w:spacing w:after="0"/>
              <w:rPr>
                <w:sz w:val="17"/>
                <w:szCs w:val="17"/>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2180" w:type="dxa"/>
            <w:vAlign w:val="bottom"/>
          </w:tcPr>
          <w:p>
            <w:pPr>
              <w:spacing w:after="0"/>
              <w:rPr>
                <w:sz w:val="17"/>
                <w:szCs w:val="17"/>
                <w:color w:val="auto"/>
              </w:rPr>
            </w:pPr>
          </w:p>
        </w:tc>
      </w:tr>
      <w:tr>
        <w:trPr>
          <w:trHeight w:val="588"/>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3680" w:type="dxa"/>
            <w:vAlign w:val="bottom"/>
            <w:gridSpan w:val="3"/>
          </w:tcPr>
          <w:p>
            <w:pPr>
              <w:ind w:left="600"/>
              <w:spacing w:after="0"/>
              <w:rPr>
                <w:sz w:val="20"/>
                <w:szCs w:val="20"/>
                <w:color w:val="auto"/>
              </w:rPr>
            </w:pPr>
            <w:r>
              <w:rPr>
                <w:rFonts w:ascii="Arial" w:cs="Arial" w:eastAsia="Arial" w:hAnsi="Arial"/>
                <w:sz w:val="18"/>
                <w:szCs w:val="18"/>
                <w:color w:val="auto"/>
                <w:w w:val="91"/>
              </w:rPr>
              <w:t>2018 LivaNova Short-Term Incentive Plan</w:t>
            </w:r>
          </w:p>
        </w:tc>
      </w:tr>
    </w:tbl>
    <w:p>
      <w:pPr>
        <w:spacing w:after="0" w:line="200" w:lineRule="exact"/>
        <w:rPr>
          <w:sz w:val="20"/>
          <w:szCs w:val="20"/>
          <w:color w:val="auto"/>
        </w:rPr>
      </w:pPr>
    </w:p>
    <w:p>
      <w:pPr>
        <w:spacing w:after="0" w:line="2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364" w:right="3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February 12, 2018</w:t>
      </w:r>
      <w:r>
        <w:rPr>
          <w:sz w:val="20"/>
          <w:szCs w:val="20"/>
          <w:color w:val="auto"/>
        </w:rPr>
        <w:tab/>
      </w:r>
      <w:r>
        <w:rPr>
          <w:rFonts w:ascii="Arial" w:cs="Arial" w:eastAsia="Arial" w:hAnsi="Arial"/>
          <w:sz w:val="16"/>
          <w:szCs w:val="16"/>
          <w:color w:val="auto"/>
        </w:rPr>
        <w:t>By:</w:t>
      </w:r>
      <w:r>
        <w:rPr>
          <w:rFonts w:ascii="Arial" w:cs="Arial" w:eastAsia="Arial" w:hAnsi="Arial"/>
          <w:sz w:val="16"/>
          <w:szCs w:val="16"/>
          <w:u w:val="single" w:color="auto"/>
          <w:color w:val="auto"/>
        </w:rPr>
        <w:t>/s/ Catherine Moroz</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Catherine Moroz</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Company Secretary</w:t>
      </w:r>
    </w:p>
    <w:p>
      <w:pPr>
        <w:spacing w:after="0" w:line="200" w:lineRule="exact"/>
        <w:rPr>
          <w:sz w:val="20"/>
          <w:szCs w:val="20"/>
          <w:color w:val="auto"/>
        </w:rPr>
      </w:pPr>
    </w:p>
    <w:p>
      <w:pPr>
        <w:spacing w:after="0" w:line="376"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240" w:top="364" w:right="659" w:bottom="1440" w:gutter="0" w:footer="0" w:header="0"/>
        </w:sectPr>
      </w:pPr>
    </w:p>
    <w:bookmarkStart w:id="3" w:name="page4"/>
    <w:bookmarkEnd w:id="3"/>
    <w:p>
      <w:pPr>
        <w:jc w:val="right"/>
        <w:ind w:right="3799"/>
        <w:spacing w:after="0"/>
        <w:rPr>
          <w:sz w:val="20"/>
          <w:szCs w:val="20"/>
          <w:color w:val="auto"/>
        </w:rPr>
      </w:pPr>
      <w:r>
        <w:rPr>
          <w:rFonts w:ascii="Arial" w:cs="Arial" w:eastAsia="Arial" w:hAnsi="Arial"/>
          <w:sz w:val="18"/>
          <w:szCs w:val="18"/>
          <w:b w:val="1"/>
          <w:bCs w:val="1"/>
          <w:color w:val="auto"/>
        </w:rPr>
        <w:t>EXHIBIT INDEX</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No.</w:t>
            </w:r>
          </w:p>
        </w:tc>
        <w:tc>
          <w:tcPr>
            <w:tcW w:w="600" w:type="dxa"/>
            <w:vAlign w:val="bottom"/>
          </w:tcPr>
          <w:p>
            <w:pPr>
              <w:spacing w:after="0"/>
              <w:rPr>
                <w:sz w:val="17"/>
                <w:szCs w:val="17"/>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2180" w:type="dxa"/>
            <w:vAlign w:val="bottom"/>
          </w:tcPr>
          <w:p>
            <w:pPr>
              <w:spacing w:after="0"/>
              <w:rPr>
                <w:sz w:val="17"/>
                <w:szCs w:val="17"/>
                <w:color w:val="auto"/>
              </w:rPr>
            </w:pPr>
          </w:p>
        </w:tc>
      </w:tr>
      <w:tr>
        <w:trPr>
          <w:trHeight w:val="547"/>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600" w:type="dxa"/>
            <w:vAlign w:val="bottom"/>
          </w:tcPr>
          <w:p>
            <w:pPr>
              <w:spacing w:after="0"/>
              <w:rPr>
                <w:sz w:val="24"/>
                <w:szCs w:val="24"/>
                <w:color w:val="auto"/>
              </w:rPr>
            </w:pPr>
          </w:p>
        </w:tc>
        <w:tc>
          <w:tcPr>
            <w:tcW w:w="308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5">
              <w:r>
                <w:rPr>
                  <w:rFonts w:ascii="Arial" w:cs="Arial" w:eastAsia="Arial" w:hAnsi="Arial"/>
                  <w:sz w:val="18"/>
                  <w:szCs w:val="18"/>
                  <w:color w:val="0000FF"/>
                  <w:w w:val="91"/>
                </w:rPr>
                <w:t>2018 LivaNova Short-Term Incentive Plan</w:t>
              </w:r>
            </w:hyperlink>
          </w:p>
        </w:tc>
      </w:tr>
    </w:tbl>
    <w:p>
      <w:pPr>
        <w:spacing w:after="0" w:line="200" w:lineRule="exact"/>
        <w:rPr>
          <w:sz w:val="20"/>
          <w:szCs w:val="20"/>
          <w:color w:val="auto"/>
        </w:rPr>
      </w:pPr>
    </w:p>
    <w:p>
      <w:pPr>
        <w:spacing w:after="0" w:line="29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179"/>
          </w:cols>
          <w:pgMar w:left="280" w:top="36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u w:val="single" w:color="auto"/>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2018 LivaNova Short-Term Incentive Plan</w:t>
        </w:r>
      </w:hyperlink>
    </w:p>
    <w:p>
      <w:pPr>
        <w:spacing w:after="0" w:line="229"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On February 9, 2018, the Compensation Committee (the "Committee") of the Board of Directors of LivaNova Plc approved our 2018 annual short-term incentive plan (the "2018 STIP"). Our chief executive officer (“CEO”), Damien McDonald, and chief financial officer, Thad Huston, as well as one of our named executive officers, David Wise, and our other executive officers, Douglas Manko and Keyna Skeffington, are eligible to participate in the 2018 STIP.</w:t>
      </w:r>
    </w:p>
    <w:p>
      <w:pPr>
        <w:spacing w:after="0" w:line="147"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Under the 2018 STIP, each participant is eligible to receive a target bonus amount calculated as a percentage of base salary, as specified in the participants' employment agreements, copies of which are on file with the Securities and Exchange Commission, or as determined by the Committee. The current target bonus percentage for each of the participants is as follows:</w:t>
      </w:r>
    </w:p>
    <w:p>
      <w:pPr>
        <w:spacing w:after="0" w:line="339" w:lineRule="exact"/>
        <w:rPr>
          <w:sz w:val="20"/>
          <w:szCs w:val="20"/>
          <w:color w:val="auto"/>
        </w:rPr>
      </w:pPr>
    </w:p>
    <w:tbl>
      <w:tblPr>
        <w:tblLayout w:type="fixed"/>
        <w:tblInd w:w="2420" w:type="dxa"/>
        <w:tblCellMar>
          <w:top w:w="0" w:type="dxa"/>
          <w:left w:w="0" w:type="dxa"/>
          <w:bottom w:w="0" w:type="dxa"/>
          <w:right w:w="0" w:type="dxa"/>
        </w:tblCellMar>
      </w:tblPr>
      <w:tr>
        <w:trPr>
          <w:trHeight w:val="234"/>
        </w:trPr>
        <w:tc>
          <w:tcPr>
            <w:tcW w:w="2020" w:type="dxa"/>
            <w:vAlign w:val="bottom"/>
          </w:tcPr>
          <w:p>
            <w:pPr>
              <w:spacing w:after="0"/>
              <w:rPr>
                <w:sz w:val="20"/>
                <w:szCs w:val="20"/>
                <w:color w:val="auto"/>
              </w:rPr>
            </w:pPr>
          </w:p>
        </w:tc>
        <w:tc>
          <w:tcPr>
            <w:tcW w:w="4560" w:type="dxa"/>
            <w:vAlign w:val="bottom"/>
          </w:tcPr>
          <w:p>
            <w:pPr>
              <w:ind w:left="820"/>
              <w:spacing w:after="0"/>
              <w:rPr>
                <w:sz w:val="20"/>
                <w:szCs w:val="20"/>
                <w:color w:val="auto"/>
              </w:rPr>
            </w:pPr>
            <w:r>
              <w:rPr>
                <w:rFonts w:ascii="Arial" w:cs="Arial" w:eastAsia="Arial" w:hAnsi="Arial"/>
                <w:sz w:val="18"/>
                <w:szCs w:val="18"/>
                <w:b w:val="1"/>
                <w:bCs w:val="1"/>
                <w:color w:val="auto"/>
              </w:rPr>
              <w:t>Target Bonus Percentage of Base Salary</w:t>
            </w:r>
          </w:p>
        </w:tc>
      </w:tr>
      <w:tr>
        <w:trPr>
          <w:trHeight w:val="27"/>
        </w:trPr>
        <w:tc>
          <w:tcPr>
            <w:tcW w:w="2020" w:type="dxa"/>
            <w:vAlign w:val="bottom"/>
            <w:tcBorders>
              <w:bottom w:val="single" w:sz="8" w:color="auto"/>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69"/>
        </w:trPr>
        <w:tc>
          <w:tcPr>
            <w:tcW w:w="2020" w:type="dxa"/>
            <w:vAlign w:val="bottom"/>
            <w:tcBorders>
              <w:bottom w:val="single" w:sz="8" w:color="D9D9D9"/>
            </w:tcBorders>
            <w:shd w:val="clear" w:color="auto" w:fill="D9D9D9"/>
          </w:tcPr>
          <w:p>
            <w:pPr>
              <w:ind w:left="40"/>
              <w:spacing w:after="0"/>
              <w:rPr>
                <w:sz w:val="20"/>
                <w:szCs w:val="20"/>
                <w:color w:val="auto"/>
              </w:rPr>
            </w:pPr>
            <w:r>
              <w:rPr>
                <w:rFonts w:ascii="Arial" w:cs="Arial" w:eastAsia="Arial" w:hAnsi="Arial"/>
                <w:sz w:val="18"/>
                <w:szCs w:val="18"/>
                <w:color w:val="auto"/>
              </w:rPr>
              <w:t>Mr. McDonald</w:t>
            </w:r>
          </w:p>
        </w:tc>
        <w:tc>
          <w:tcPr>
            <w:tcW w:w="4560" w:type="dxa"/>
            <w:vAlign w:val="bottom"/>
            <w:tcBorders>
              <w:bottom w:val="single" w:sz="8" w:color="D9D9D9"/>
            </w:tcBorders>
            <w:shd w:val="clear" w:color="auto" w:fill="D9D9D9"/>
          </w:tcPr>
          <w:p>
            <w:pPr>
              <w:jc w:val="center"/>
              <w:ind w:left="90"/>
              <w:spacing w:after="0"/>
              <w:rPr>
                <w:sz w:val="20"/>
                <w:szCs w:val="20"/>
                <w:color w:val="auto"/>
              </w:rPr>
            </w:pPr>
            <w:r>
              <w:rPr>
                <w:rFonts w:ascii="Arial" w:cs="Arial" w:eastAsia="Arial" w:hAnsi="Arial"/>
                <w:sz w:val="18"/>
                <w:szCs w:val="18"/>
                <w:color w:val="auto"/>
                <w:w w:val="91"/>
              </w:rPr>
              <w:t>100%</w:t>
            </w:r>
          </w:p>
        </w:tc>
      </w:tr>
      <w:tr>
        <w:trPr>
          <w:trHeight w:val="237"/>
        </w:trPr>
        <w:tc>
          <w:tcPr>
            <w:tcW w:w="2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Mr. Huston</w:t>
            </w:r>
          </w:p>
        </w:tc>
        <w:tc>
          <w:tcPr>
            <w:tcW w:w="4560" w:type="dxa"/>
            <w:vAlign w:val="bottom"/>
            <w:tcBorders>
              <w:top w:val="single" w:sz="8" w:color="auto"/>
            </w:tcBorders>
          </w:tcPr>
          <w:p>
            <w:pPr>
              <w:jc w:val="center"/>
              <w:ind w:left="70"/>
              <w:spacing w:after="0"/>
              <w:rPr>
                <w:sz w:val="20"/>
                <w:szCs w:val="20"/>
                <w:color w:val="auto"/>
              </w:rPr>
            </w:pPr>
            <w:r>
              <w:rPr>
                <w:rFonts w:ascii="Arial" w:cs="Arial" w:eastAsia="Arial" w:hAnsi="Arial"/>
                <w:sz w:val="18"/>
                <w:szCs w:val="18"/>
                <w:color w:val="auto"/>
                <w:w w:val="88"/>
              </w:rPr>
              <w:t>90%</w:t>
            </w:r>
          </w:p>
        </w:tc>
      </w:tr>
      <w:tr>
        <w:trPr>
          <w:trHeight w:val="27"/>
        </w:trPr>
        <w:tc>
          <w:tcPr>
            <w:tcW w:w="2020" w:type="dxa"/>
            <w:vAlign w:val="bottom"/>
            <w:tcBorders>
              <w:bottom w:val="single" w:sz="8" w:color="auto"/>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69"/>
        </w:trPr>
        <w:tc>
          <w:tcPr>
            <w:tcW w:w="2020" w:type="dxa"/>
            <w:vAlign w:val="bottom"/>
            <w:tcBorders>
              <w:bottom w:val="single" w:sz="8" w:color="D9D9D9"/>
            </w:tcBorders>
            <w:shd w:val="clear" w:color="auto" w:fill="D9D9D9"/>
          </w:tcPr>
          <w:p>
            <w:pPr>
              <w:ind w:left="40"/>
              <w:spacing w:after="0"/>
              <w:rPr>
                <w:sz w:val="20"/>
                <w:szCs w:val="20"/>
                <w:color w:val="auto"/>
              </w:rPr>
            </w:pPr>
            <w:r>
              <w:rPr>
                <w:rFonts w:ascii="Arial" w:cs="Arial" w:eastAsia="Arial" w:hAnsi="Arial"/>
                <w:sz w:val="18"/>
                <w:szCs w:val="18"/>
                <w:color w:val="auto"/>
              </w:rPr>
              <w:t>Mr. Manko</w:t>
            </w:r>
          </w:p>
        </w:tc>
        <w:tc>
          <w:tcPr>
            <w:tcW w:w="4560" w:type="dxa"/>
            <w:vAlign w:val="bottom"/>
            <w:tcBorders>
              <w:bottom w:val="single" w:sz="8" w:color="D9D9D9"/>
            </w:tcBorders>
            <w:shd w:val="clear" w:color="auto" w:fill="D9D9D9"/>
          </w:tcPr>
          <w:p>
            <w:pPr>
              <w:jc w:val="center"/>
              <w:ind w:left="70"/>
              <w:spacing w:after="0"/>
              <w:rPr>
                <w:sz w:val="20"/>
                <w:szCs w:val="20"/>
                <w:color w:val="auto"/>
              </w:rPr>
            </w:pPr>
            <w:r>
              <w:rPr>
                <w:rFonts w:ascii="Arial" w:cs="Arial" w:eastAsia="Arial" w:hAnsi="Arial"/>
                <w:sz w:val="18"/>
                <w:szCs w:val="18"/>
                <w:color w:val="auto"/>
                <w:w w:val="88"/>
              </w:rPr>
              <w:t>40%</w:t>
            </w:r>
          </w:p>
        </w:tc>
      </w:tr>
      <w:tr>
        <w:trPr>
          <w:trHeight w:val="237"/>
        </w:trPr>
        <w:tc>
          <w:tcPr>
            <w:tcW w:w="2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Ms. Skeffington</w:t>
            </w:r>
          </w:p>
        </w:tc>
        <w:tc>
          <w:tcPr>
            <w:tcW w:w="4560" w:type="dxa"/>
            <w:vAlign w:val="bottom"/>
            <w:tcBorders>
              <w:top w:val="single" w:sz="8" w:color="auto"/>
            </w:tcBorders>
          </w:tcPr>
          <w:p>
            <w:pPr>
              <w:jc w:val="center"/>
              <w:ind w:left="70"/>
              <w:spacing w:after="0"/>
              <w:rPr>
                <w:sz w:val="20"/>
                <w:szCs w:val="20"/>
                <w:color w:val="auto"/>
              </w:rPr>
            </w:pPr>
            <w:r>
              <w:rPr>
                <w:rFonts w:ascii="Arial" w:cs="Arial" w:eastAsia="Arial" w:hAnsi="Arial"/>
                <w:sz w:val="18"/>
                <w:szCs w:val="18"/>
                <w:color w:val="auto"/>
                <w:w w:val="88"/>
              </w:rPr>
              <w:t>55%</w:t>
            </w:r>
          </w:p>
        </w:tc>
      </w:tr>
      <w:tr>
        <w:trPr>
          <w:trHeight w:val="27"/>
        </w:trPr>
        <w:tc>
          <w:tcPr>
            <w:tcW w:w="2020" w:type="dxa"/>
            <w:vAlign w:val="bottom"/>
            <w:tcBorders>
              <w:bottom w:val="single" w:sz="8" w:color="auto"/>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44"/>
        </w:trPr>
        <w:tc>
          <w:tcPr>
            <w:tcW w:w="2020" w:type="dxa"/>
            <w:vAlign w:val="bottom"/>
            <w:tcBorders>
              <w:bottom w:val="single" w:sz="8" w:color="D9D9D9"/>
            </w:tcBorders>
            <w:shd w:val="clear" w:color="auto" w:fill="D9D9D9"/>
          </w:tcPr>
          <w:p>
            <w:pPr>
              <w:ind w:left="40"/>
              <w:spacing w:after="0"/>
              <w:rPr>
                <w:sz w:val="20"/>
                <w:szCs w:val="20"/>
                <w:color w:val="auto"/>
              </w:rPr>
            </w:pPr>
            <w:r>
              <w:rPr>
                <w:rFonts w:ascii="Arial" w:cs="Arial" w:eastAsia="Arial" w:hAnsi="Arial"/>
                <w:sz w:val="18"/>
                <w:szCs w:val="18"/>
                <w:color w:val="auto"/>
              </w:rPr>
              <w:t>Mr. Wise</w:t>
            </w:r>
          </w:p>
        </w:tc>
        <w:tc>
          <w:tcPr>
            <w:tcW w:w="4560" w:type="dxa"/>
            <w:vAlign w:val="bottom"/>
            <w:tcBorders>
              <w:bottom w:val="single" w:sz="8" w:color="D9D9D9"/>
            </w:tcBorders>
            <w:shd w:val="clear" w:color="auto" w:fill="D9D9D9"/>
          </w:tcPr>
          <w:p>
            <w:pPr>
              <w:jc w:val="center"/>
              <w:ind w:left="70"/>
              <w:spacing w:after="0"/>
              <w:rPr>
                <w:sz w:val="20"/>
                <w:szCs w:val="20"/>
                <w:color w:val="auto"/>
              </w:rPr>
            </w:pPr>
            <w:r>
              <w:rPr>
                <w:rFonts w:ascii="Arial" w:cs="Arial" w:eastAsia="Arial" w:hAnsi="Arial"/>
                <w:sz w:val="18"/>
                <w:szCs w:val="18"/>
                <w:color w:val="auto"/>
                <w:w w:val="88"/>
              </w:rPr>
              <w:t>70%</w:t>
            </w:r>
          </w:p>
        </w:tc>
      </w:tr>
      <w:tr>
        <w:trPr>
          <w:trHeight w:val="20"/>
        </w:trPr>
        <w:tc>
          <w:tcPr>
            <w:tcW w:w="2020" w:type="dxa"/>
            <w:vAlign w:val="bottom"/>
            <w:shd w:val="clear" w:color="auto" w:fill="000000"/>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Payment of the target bonus amount is conditioned on our achievement of certain financial objectives and, with the exception of our chief executive officer, each participant's achievement of an individual objective related to talent, as follows:</w:t>
      </w:r>
    </w:p>
    <w:p>
      <w:pPr>
        <w:spacing w:after="0" w:line="329" w:lineRule="exact"/>
        <w:rPr>
          <w:sz w:val="20"/>
          <w:szCs w:val="20"/>
          <w:color w:val="auto"/>
        </w:rPr>
      </w:pPr>
    </w:p>
    <w:tbl>
      <w:tblPr>
        <w:tblLayout w:type="fixed"/>
        <w:tblInd w:w="212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p>
        </w:tc>
        <w:tc>
          <w:tcPr>
            <w:tcW w:w="3740" w:type="dxa"/>
            <w:vAlign w:val="bottom"/>
            <w:gridSpan w:val="2"/>
          </w:tcPr>
          <w:p>
            <w:pPr>
              <w:ind w:left="1280"/>
              <w:spacing w:after="0"/>
              <w:rPr>
                <w:sz w:val="20"/>
                <w:szCs w:val="20"/>
                <w:color w:val="auto"/>
              </w:rPr>
            </w:pPr>
            <w:r>
              <w:rPr>
                <w:rFonts w:ascii="Arial" w:cs="Arial" w:eastAsia="Arial" w:hAnsi="Arial"/>
                <w:sz w:val="18"/>
                <w:szCs w:val="18"/>
                <w:b w:val="1"/>
                <w:bCs w:val="1"/>
                <w:color w:val="auto"/>
              </w:rPr>
              <w:t>Group Objectives</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2"/>
              </w:rPr>
              <w:t>Talent Objective</w:t>
            </w:r>
          </w:p>
        </w:tc>
      </w:tr>
      <w:tr>
        <w:trPr>
          <w:trHeight w:val="27"/>
        </w:trPr>
        <w:tc>
          <w:tcPr>
            <w:tcW w:w="18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1840" w:type="dxa"/>
            <w:vAlign w:val="bottom"/>
          </w:tcPr>
          <w:p>
            <w:pPr>
              <w:spacing w:after="0"/>
              <w:rPr>
                <w:sz w:val="20"/>
                <w:szCs w:val="20"/>
                <w:color w:val="auto"/>
              </w:rPr>
            </w:pPr>
          </w:p>
        </w:tc>
        <w:tc>
          <w:tcPr>
            <w:tcW w:w="1680" w:type="dxa"/>
            <w:vAlign w:val="bottom"/>
          </w:tcPr>
          <w:p>
            <w:pPr>
              <w:jc w:val="center"/>
              <w:ind w:left="230"/>
              <w:spacing w:after="0"/>
              <w:rPr>
                <w:sz w:val="20"/>
                <w:szCs w:val="20"/>
                <w:color w:val="auto"/>
              </w:rPr>
            </w:pPr>
            <w:r>
              <w:rPr>
                <w:rFonts w:ascii="Arial" w:cs="Arial" w:eastAsia="Arial" w:hAnsi="Arial"/>
                <w:sz w:val="18"/>
                <w:szCs w:val="18"/>
                <w:color w:val="auto"/>
                <w:w w:val="87"/>
              </w:rPr>
              <w:t>Net Sales</w:t>
            </w:r>
          </w:p>
        </w:tc>
        <w:tc>
          <w:tcPr>
            <w:tcW w:w="2060" w:type="dxa"/>
            <w:vAlign w:val="bottom"/>
          </w:tcPr>
          <w:p>
            <w:pPr>
              <w:jc w:val="center"/>
              <w:ind w:left="110"/>
              <w:spacing w:after="0"/>
              <w:rPr>
                <w:sz w:val="20"/>
                <w:szCs w:val="20"/>
                <w:color w:val="auto"/>
              </w:rPr>
            </w:pPr>
            <w:r>
              <w:rPr>
                <w:rFonts w:ascii="Arial" w:cs="Arial" w:eastAsia="Arial" w:hAnsi="Arial"/>
                <w:sz w:val="18"/>
                <w:szCs w:val="18"/>
                <w:color w:val="auto"/>
                <w:w w:val="92"/>
              </w:rPr>
              <w:t>Adjusted Net Income</w:t>
            </w:r>
          </w:p>
        </w:tc>
        <w:tc>
          <w:tcPr>
            <w:tcW w:w="1620" w:type="dxa"/>
            <w:vAlign w:val="bottom"/>
          </w:tcPr>
          <w:p>
            <w:pPr>
              <w:spacing w:after="0"/>
              <w:rPr>
                <w:sz w:val="20"/>
                <w:szCs w:val="20"/>
                <w:color w:val="auto"/>
              </w:rPr>
            </w:pPr>
          </w:p>
        </w:tc>
      </w:tr>
      <w:tr>
        <w:trPr>
          <w:trHeight w:val="27"/>
        </w:trPr>
        <w:tc>
          <w:tcPr>
            <w:tcW w:w="18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9"/>
        </w:trPr>
        <w:tc>
          <w:tcPr>
            <w:tcW w:w="184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8"/>
                <w:szCs w:val="18"/>
                <w:color w:val="auto"/>
              </w:rPr>
              <w:t>Mr. McDonald</w:t>
            </w:r>
          </w:p>
        </w:tc>
        <w:tc>
          <w:tcPr>
            <w:tcW w:w="1680" w:type="dxa"/>
            <w:vAlign w:val="bottom"/>
            <w:tcBorders>
              <w:bottom w:val="single" w:sz="8" w:color="D9D9D9"/>
            </w:tcBorders>
            <w:shd w:val="clear" w:color="auto" w:fill="D9D9D9"/>
          </w:tcPr>
          <w:p>
            <w:pPr>
              <w:jc w:val="center"/>
              <w:ind w:left="230"/>
              <w:spacing w:after="0"/>
              <w:rPr>
                <w:sz w:val="20"/>
                <w:szCs w:val="20"/>
                <w:color w:val="auto"/>
              </w:rPr>
            </w:pPr>
            <w:r>
              <w:rPr>
                <w:rFonts w:ascii="Arial" w:cs="Arial" w:eastAsia="Arial" w:hAnsi="Arial"/>
                <w:sz w:val="18"/>
                <w:szCs w:val="18"/>
                <w:color w:val="auto"/>
                <w:w w:val="88"/>
              </w:rPr>
              <w:t>60%</w:t>
            </w:r>
          </w:p>
        </w:tc>
        <w:tc>
          <w:tcPr>
            <w:tcW w:w="2060" w:type="dxa"/>
            <w:vAlign w:val="bottom"/>
            <w:tcBorders>
              <w:bottom w:val="single" w:sz="8" w:color="D9D9D9"/>
            </w:tcBorders>
            <w:shd w:val="clear" w:color="auto" w:fill="D9D9D9"/>
          </w:tcPr>
          <w:p>
            <w:pPr>
              <w:jc w:val="center"/>
              <w:ind w:left="90"/>
              <w:spacing w:after="0"/>
              <w:rPr>
                <w:sz w:val="20"/>
                <w:szCs w:val="20"/>
                <w:color w:val="auto"/>
              </w:rPr>
            </w:pPr>
            <w:r>
              <w:rPr>
                <w:rFonts w:ascii="Arial" w:cs="Arial" w:eastAsia="Arial" w:hAnsi="Arial"/>
                <w:sz w:val="18"/>
                <w:szCs w:val="18"/>
                <w:color w:val="auto"/>
                <w:w w:val="88"/>
              </w:rPr>
              <w:t>40%</w:t>
            </w:r>
          </w:p>
        </w:tc>
        <w:tc>
          <w:tcPr>
            <w:tcW w:w="1620" w:type="dxa"/>
            <w:vAlign w:val="bottom"/>
            <w:tcBorders>
              <w:bottom w:val="single" w:sz="8" w:color="D9D9D9"/>
            </w:tcBorders>
            <w:shd w:val="clear" w:color="auto" w:fill="D9D9D9"/>
          </w:tcPr>
          <w:p>
            <w:pPr>
              <w:spacing w:after="0"/>
              <w:rPr>
                <w:sz w:val="22"/>
                <w:szCs w:val="22"/>
                <w:color w:val="auto"/>
              </w:rPr>
            </w:pPr>
          </w:p>
        </w:tc>
      </w:tr>
      <w:tr>
        <w:trPr>
          <w:trHeight w:val="237"/>
        </w:trPr>
        <w:tc>
          <w:tcPr>
            <w:tcW w:w="18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Mr. Huston</w:t>
            </w:r>
          </w:p>
        </w:tc>
        <w:tc>
          <w:tcPr>
            <w:tcW w:w="1680" w:type="dxa"/>
            <w:vAlign w:val="bottom"/>
            <w:tcBorders>
              <w:top w:val="single" w:sz="8" w:color="auto"/>
            </w:tcBorders>
          </w:tcPr>
          <w:p>
            <w:pPr>
              <w:jc w:val="center"/>
              <w:ind w:left="230"/>
              <w:spacing w:after="0"/>
              <w:rPr>
                <w:sz w:val="20"/>
                <w:szCs w:val="20"/>
                <w:color w:val="auto"/>
              </w:rPr>
            </w:pPr>
            <w:r>
              <w:rPr>
                <w:rFonts w:ascii="Arial" w:cs="Arial" w:eastAsia="Arial" w:hAnsi="Arial"/>
                <w:sz w:val="18"/>
                <w:szCs w:val="18"/>
                <w:color w:val="auto"/>
                <w:w w:val="88"/>
              </w:rPr>
              <w:t>50%</w:t>
            </w:r>
          </w:p>
        </w:tc>
        <w:tc>
          <w:tcPr>
            <w:tcW w:w="2060" w:type="dxa"/>
            <w:vAlign w:val="bottom"/>
            <w:tcBorders>
              <w:top w:val="single" w:sz="8" w:color="auto"/>
            </w:tcBorders>
          </w:tcPr>
          <w:p>
            <w:pPr>
              <w:jc w:val="center"/>
              <w:ind w:left="90"/>
              <w:spacing w:after="0"/>
              <w:rPr>
                <w:sz w:val="20"/>
                <w:szCs w:val="20"/>
                <w:color w:val="auto"/>
              </w:rPr>
            </w:pPr>
            <w:r>
              <w:rPr>
                <w:rFonts w:ascii="Arial" w:cs="Arial" w:eastAsia="Arial" w:hAnsi="Arial"/>
                <w:sz w:val="18"/>
                <w:szCs w:val="18"/>
                <w:color w:val="auto"/>
                <w:w w:val="88"/>
              </w:rPr>
              <w:t>35%</w:t>
            </w: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15%</w:t>
            </w:r>
          </w:p>
        </w:tc>
      </w:tr>
      <w:tr>
        <w:trPr>
          <w:trHeight w:val="27"/>
        </w:trPr>
        <w:tc>
          <w:tcPr>
            <w:tcW w:w="18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9"/>
        </w:trPr>
        <w:tc>
          <w:tcPr>
            <w:tcW w:w="184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8"/>
                <w:szCs w:val="18"/>
                <w:color w:val="auto"/>
              </w:rPr>
              <w:t>Mr. Manko</w:t>
            </w:r>
          </w:p>
        </w:tc>
        <w:tc>
          <w:tcPr>
            <w:tcW w:w="1680" w:type="dxa"/>
            <w:vAlign w:val="bottom"/>
            <w:tcBorders>
              <w:bottom w:val="single" w:sz="8" w:color="D9D9D9"/>
            </w:tcBorders>
            <w:shd w:val="clear" w:color="auto" w:fill="D9D9D9"/>
          </w:tcPr>
          <w:p>
            <w:pPr>
              <w:jc w:val="center"/>
              <w:ind w:left="230"/>
              <w:spacing w:after="0"/>
              <w:rPr>
                <w:sz w:val="20"/>
                <w:szCs w:val="20"/>
                <w:color w:val="auto"/>
              </w:rPr>
            </w:pPr>
            <w:r>
              <w:rPr>
                <w:rFonts w:ascii="Arial" w:cs="Arial" w:eastAsia="Arial" w:hAnsi="Arial"/>
                <w:sz w:val="18"/>
                <w:szCs w:val="18"/>
                <w:color w:val="auto"/>
                <w:w w:val="88"/>
              </w:rPr>
              <w:t>50%</w:t>
            </w:r>
          </w:p>
        </w:tc>
        <w:tc>
          <w:tcPr>
            <w:tcW w:w="2060" w:type="dxa"/>
            <w:vAlign w:val="bottom"/>
            <w:tcBorders>
              <w:bottom w:val="single" w:sz="8" w:color="D9D9D9"/>
            </w:tcBorders>
            <w:shd w:val="clear" w:color="auto" w:fill="D9D9D9"/>
          </w:tcPr>
          <w:p>
            <w:pPr>
              <w:jc w:val="center"/>
              <w:ind w:left="90"/>
              <w:spacing w:after="0"/>
              <w:rPr>
                <w:sz w:val="20"/>
                <w:szCs w:val="20"/>
                <w:color w:val="auto"/>
              </w:rPr>
            </w:pPr>
            <w:r>
              <w:rPr>
                <w:rFonts w:ascii="Arial" w:cs="Arial" w:eastAsia="Arial" w:hAnsi="Arial"/>
                <w:sz w:val="18"/>
                <w:szCs w:val="18"/>
                <w:color w:val="auto"/>
                <w:w w:val="88"/>
              </w:rPr>
              <w:t>35%</w:t>
            </w:r>
          </w:p>
        </w:tc>
        <w:tc>
          <w:tcPr>
            <w:tcW w:w="162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8"/>
                <w:szCs w:val="18"/>
                <w:color w:val="auto"/>
                <w:w w:val="88"/>
              </w:rPr>
              <w:t>15%</w:t>
            </w:r>
          </w:p>
        </w:tc>
      </w:tr>
      <w:tr>
        <w:trPr>
          <w:trHeight w:val="237"/>
        </w:trPr>
        <w:tc>
          <w:tcPr>
            <w:tcW w:w="18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Ms. Skeffington</w:t>
            </w:r>
          </w:p>
        </w:tc>
        <w:tc>
          <w:tcPr>
            <w:tcW w:w="1680" w:type="dxa"/>
            <w:vAlign w:val="bottom"/>
            <w:tcBorders>
              <w:top w:val="single" w:sz="8" w:color="auto"/>
            </w:tcBorders>
          </w:tcPr>
          <w:p>
            <w:pPr>
              <w:jc w:val="center"/>
              <w:ind w:left="230"/>
              <w:spacing w:after="0"/>
              <w:rPr>
                <w:sz w:val="20"/>
                <w:szCs w:val="20"/>
                <w:color w:val="auto"/>
              </w:rPr>
            </w:pPr>
            <w:r>
              <w:rPr>
                <w:rFonts w:ascii="Arial" w:cs="Arial" w:eastAsia="Arial" w:hAnsi="Arial"/>
                <w:sz w:val="18"/>
                <w:szCs w:val="18"/>
                <w:color w:val="auto"/>
                <w:w w:val="88"/>
              </w:rPr>
              <w:t>50%</w:t>
            </w:r>
          </w:p>
        </w:tc>
        <w:tc>
          <w:tcPr>
            <w:tcW w:w="2060" w:type="dxa"/>
            <w:vAlign w:val="bottom"/>
            <w:tcBorders>
              <w:top w:val="single" w:sz="8" w:color="auto"/>
            </w:tcBorders>
          </w:tcPr>
          <w:p>
            <w:pPr>
              <w:jc w:val="center"/>
              <w:ind w:left="90"/>
              <w:spacing w:after="0"/>
              <w:rPr>
                <w:sz w:val="20"/>
                <w:szCs w:val="20"/>
                <w:color w:val="auto"/>
              </w:rPr>
            </w:pPr>
            <w:r>
              <w:rPr>
                <w:rFonts w:ascii="Arial" w:cs="Arial" w:eastAsia="Arial" w:hAnsi="Arial"/>
                <w:sz w:val="18"/>
                <w:szCs w:val="18"/>
                <w:color w:val="auto"/>
                <w:w w:val="88"/>
              </w:rPr>
              <w:t>35%</w:t>
            </w: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15%</w:t>
            </w:r>
          </w:p>
        </w:tc>
      </w:tr>
      <w:tr>
        <w:trPr>
          <w:trHeight w:val="27"/>
        </w:trPr>
        <w:tc>
          <w:tcPr>
            <w:tcW w:w="18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184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8"/>
                <w:szCs w:val="18"/>
                <w:color w:val="auto"/>
              </w:rPr>
              <w:t>Mr. Wise</w:t>
            </w:r>
          </w:p>
        </w:tc>
        <w:tc>
          <w:tcPr>
            <w:tcW w:w="1680" w:type="dxa"/>
            <w:vAlign w:val="bottom"/>
            <w:tcBorders>
              <w:bottom w:val="single" w:sz="8" w:color="D9D9D9"/>
            </w:tcBorders>
            <w:shd w:val="clear" w:color="auto" w:fill="D9D9D9"/>
          </w:tcPr>
          <w:p>
            <w:pPr>
              <w:jc w:val="center"/>
              <w:ind w:left="230"/>
              <w:spacing w:after="0"/>
              <w:rPr>
                <w:sz w:val="20"/>
                <w:szCs w:val="20"/>
                <w:color w:val="auto"/>
              </w:rPr>
            </w:pPr>
            <w:r>
              <w:rPr>
                <w:rFonts w:ascii="Arial" w:cs="Arial" w:eastAsia="Arial" w:hAnsi="Arial"/>
                <w:sz w:val="18"/>
                <w:szCs w:val="18"/>
                <w:color w:val="auto"/>
                <w:w w:val="88"/>
              </w:rPr>
              <w:t>50%</w:t>
            </w:r>
          </w:p>
        </w:tc>
        <w:tc>
          <w:tcPr>
            <w:tcW w:w="2060" w:type="dxa"/>
            <w:vAlign w:val="bottom"/>
            <w:tcBorders>
              <w:bottom w:val="single" w:sz="8" w:color="D9D9D9"/>
            </w:tcBorders>
            <w:shd w:val="clear" w:color="auto" w:fill="D9D9D9"/>
          </w:tcPr>
          <w:p>
            <w:pPr>
              <w:jc w:val="center"/>
              <w:ind w:left="90"/>
              <w:spacing w:after="0"/>
              <w:rPr>
                <w:sz w:val="20"/>
                <w:szCs w:val="20"/>
                <w:color w:val="auto"/>
              </w:rPr>
            </w:pPr>
            <w:r>
              <w:rPr>
                <w:rFonts w:ascii="Arial" w:cs="Arial" w:eastAsia="Arial" w:hAnsi="Arial"/>
                <w:sz w:val="18"/>
                <w:szCs w:val="18"/>
                <w:color w:val="auto"/>
                <w:w w:val="88"/>
              </w:rPr>
              <w:t>35%</w:t>
            </w:r>
          </w:p>
        </w:tc>
        <w:tc>
          <w:tcPr>
            <w:tcW w:w="162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8"/>
                <w:szCs w:val="18"/>
                <w:color w:val="auto"/>
                <w:w w:val="88"/>
              </w:rPr>
              <w:t>15%</w:t>
            </w:r>
          </w:p>
        </w:tc>
      </w:tr>
      <w:tr>
        <w:trPr>
          <w:trHeight w:val="20"/>
        </w:trPr>
        <w:tc>
          <w:tcPr>
            <w:tcW w:w="18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“Net Sales” is defined as our net sales for 2018 at budgeted currency exchange rates, excluding net sales from our Cardiac Rhythm Management (“CRM”) Franchise, ImThera Medical, Inc. and any acquisitions in 2018. “Adjusted Net Income” is defined as our non-GAAP net income at reported currency exchange rates, after adjustments for our CRM Franchise, and the effects of acquisitions, divestitures, restructuring, integration, purchase price allocation and intangible amortization, special items, including 3T Heater Cooler remediation and significant and unusual litigation, and equity compensation.</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10.1 – Page 1</w:t>
      </w:r>
    </w:p>
    <w:p>
      <w:pPr>
        <w:sectPr>
          <w:pgSz w:w="11900" w:h="16838" w:orient="portrait"/>
          <w:cols w:equalWidth="0" w:num="1">
            <w:col w:w="11420"/>
          </w:cols>
          <w:pgMar w:left="240" w:top="364" w:right="239" w:bottom="1440" w:gutter="0" w:footer="0" w:header="0"/>
        </w:sectPr>
      </w:pPr>
    </w:p>
    <w:bookmarkStart w:id="5" w:name="page6"/>
    <w:bookmarkEnd w:id="5"/>
    <w:p>
      <w:pPr>
        <w:ind w:right="760"/>
        <w:spacing w:after="0" w:line="277" w:lineRule="auto"/>
        <w:rPr>
          <w:sz w:val="20"/>
          <w:szCs w:val="20"/>
          <w:color w:val="auto"/>
        </w:rPr>
      </w:pPr>
      <w:r>
        <w:rPr>
          <w:rFonts w:ascii="Arial" w:cs="Arial" w:eastAsia="Arial" w:hAnsi="Arial"/>
          <w:sz w:val="18"/>
          <w:szCs w:val="18"/>
          <w:color w:val="auto"/>
        </w:rPr>
        <w:t>If the threshold for a financial objective (Net Sales or Adjusted Net Income) is achieved, then the funding for that objective is scaled down or up for underachievement and overachievement, respectively, of the objective, as follows:</w:t>
      </w:r>
    </w:p>
    <w:p>
      <w:pPr>
        <w:spacing w:after="0" w:line="329" w:lineRule="exact"/>
        <w:rPr>
          <w:sz w:val="20"/>
          <w:szCs w:val="20"/>
          <w:color w:val="auto"/>
        </w:rPr>
      </w:pPr>
    </w:p>
    <w:tbl>
      <w:tblPr>
        <w:tblLayout w:type="fixed"/>
        <w:tblInd w:w="2420" w:type="dxa"/>
        <w:tblCellMar>
          <w:top w:w="0" w:type="dxa"/>
          <w:left w:w="0" w:type="dxa"/>
          <w:bottom w:w="0" w:type="dxa"/>
          <w:right w:w="0" w:type="dxa"/>
        </w:tblCellMar>
      </w:tblPr>
      <w:tr>
        <w:trPr>
          <w:trHeight w:val="234"/>
        </w:trPr>
        <w:tc>
          <w:tcPr>
            <w:tcW w:w="3820" w:type="dxa"/>
            <w:vAlign w:val="bottom"/>
          </w:tcPr>
          <w:p>
            <w:pPr>
              <w:ind w:left="480"/>
              <w:spacing w:after="0"/>
              <w:rPr>
                <w:sz w:val="20"/>
                <w:szCs w:val="20"/>
                <w:color w:val="auto"/>
              </w:rPr>
            </w:pPr>
            <w:r>
              <w:rPr>
                <w:rFonts w:ascii="Arial" w:cs="Arial" w:eastAsia="Arial" w:hAnsi="Arial"/>
                <w:sz w:val="18"/>
                <w:szCs w:val="18"/>
                <w:b w:val="1"/>
                <w:bCs w:val="1"/>
                <w:color w:val="auto"/>
              </w:rPr>
              <w:t>Percent Achievement of Objective</w:t>
            </w:r>
          </w:p>
        </w:tc>
        <w:tc>
          <w:tcPr>
            <w:tcW w:w="2760" w:type="dxa"/>
            <w:vAlign w:val="bottom"/>
          </w:tcPr>
          <w:p>
            <w:pPr>
              <w:ind w:left="80"/>
              <w:spacing w:after="0"/>
              <w:rPr>
                <w:sz w:val="20"/>
                <w:szCs w:val="20"/>
                <w:color w:val="auto"/>
              </w:rPr>
            </w:pPr>
            <w:r>
              <w:rPr>
                <w:rFonts w:ascii="Arial" w:cs="Arial" w:eastAsia="Arial" w:hAnsi="Arial"/>
                <w:sz w:val="18"/>
                <w:szCs w:val="18"/>
                <w:b w:val="1"/>
                <w:bCs w:val="1"/>
                <w:color w:val="auto"/>
              </w:rPr>
              <w:t>Percent Funding for Objective</w:t>
            </w:r>
          </w:p>
        </w:tc>
      </w:tr>
      <w:tr>
        <w:trPr>
          <w:trHeight w:val="27"/>
        </w:trPr>
        <w:tc>
          <w:tcPr>
            <w:tcW w:w="382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r>
      <w:tr>
        <w:trPr>
          <w:trHeight w:val="269"/>
        </w:trPr>
        <w:tc>
          <w:tcPr>
            <w:tcW w:w="3820" w:type="dxa"/>
            <w:vAlign w:val="bottom"/>
            <w:tcBorders>
              <w:bottom w:val="single" w:sz="8" w:color="D9D9D9"/>
            </w:tcBorders>
            <w:shd w:val="clear" w:color="auto" w:fill="D9D9D9"/>
          </w:tcPr>
          <w:p>
            <w:pPr>
              <w:jc w:val="center"/>
              <w:ind w:right="170"/>
              <w:spacing w:after="0"/>
              <w:rPr>
                <w:sz w:val="20"/>
                <w:szCs w:val="20"/>
                <w:color w:val="auto"/>
              </w:rPr>
            </w:pPr>
            <w:r>
              <w:rPr>
                <w:rFonts w:ascii="Arial" w:cs="Arial" w:eastAsia="Arial" w:hAnsi="Arial"/>
                <w:sz w:val="18"/>
                <w:szCs w:val="18"/>
                <w:color w:val="auto"/>
                <w:w w:val="94"/>
              </w:rPr>
              <w:t>&lt;97%</w:t>
            </w:r>
          </w:p>
        </w:tc>
        <w:tc>
          <w:tcPr>
            <w:tcW w:w="2760" w:type="dxa"/>
            <w:vAlign w:val="bottom"/>
            <w:tcBorders>
              <w:bottom w:val="single" w:sz="8" w:color="D9D9D9"/>
            </w:tcBorders>
            <w:shd w:val="clear" w:color="auto" w:fill="D9D9D9"/>
          </w:tcPr>
          <w:p>
            <w:pPr>
              <w:jc w:val="center"/>
              <w:ind w:right="190"/>
              <w:spacing w:after="0"/>
              <w:rPr>
                <w:sz w:val="20"/>
                <w:szCs w:val="20"/>
                <w:color w:val="auto"/>
              </w:rPr>
            </w:pPr>
            <w:r>
              <w:rPr>
                <w:rFonts w:ascii="Arial" w:cs="Arial" w:eastAsia="Arial" w:hAnsi="Arial"/>
                <w:sz w:val="18"/>
                <w:szCs w:val="18"/>
                <w:color w:val="auto"/>
                <w:w w:val="92"/>
              </w:rPr>
              <w:t>0%</w:t>
            </w:r>
          </w:p>
        </w:tc>
      </w:tr>
      <w:tr>
        <w:trPr>
          <w:trHeight w:val="237"/>
        </w:trPr>
        <w:tc>
          <w:tcPr>
            <w:tcW w:w="3820" w:type="dxa"/>
            <w:vAlign w:val="bottom"/>
            <w:tcBorders>
              <w:top w:val="single" w:sz="8" w:color="auto"/>
            </w:tcBorders>
          </w:tcPr>
          <w:p>
            <w:pPr>
              <w:jc w:val="center"/>
              <w:ind w:right="170"/>
              <w:spacing w:after="0"/>
              <w:rPr>
                <w:sz w:val="20"/>
                <w:szCs w:val="20"/>
                <w:color w:val="auto"/>
              </w:rPr>
            </w:pPr>
            <w:r>
              <w:rPr>
                <w:rFonts w:ascii="Arial" w:cs="Arial" w:eastAsia="Arial" w:hAnsi="Arial"/>
                <w:sz w:val="18"/>
                <w:szCs w:val="18"/>
                <w:color w:val="auto"/>
                <w:w w:val="88"/>
              </w:rPr>
              <w:t>97%</w:t>
            </w:r>
          </w:p>
        </w:tc>
        <w:tc>
          <w:tcPr>
            <w:tcW w:w="2760" w:type="dxa"/>
            <w:vAlign w:val="bottom"/>
            <w:tcBorders>
              <w:top w:val="single" w:sz="8" w:color="auto"/>
            </w:tcBorders>
          </w:tcPr>
          <w:p>
            <w:pPr>
              <w:jc w:val="center"/>
              <w:ind w:right="170"/>
              <w:spacing w:after="0"/>
              <w:rPr>
                <w:sz w:val="20"/>
                <w:szCs w:val="20"/>
                <w:color w:val="auto"/>
              </w:rPr>
            </w:pPr>
            <w:r>
              <w:rPr>
                <w:rFonts w:ascii="Arial" w:cs="Arial" w:eastAsia="Arial" w:hAnsi="Arial"/>
                <w:sz w:val="18"/>
                <w:szCs w:val="18"/>
                <w:color w:val="auto"/>
                <w:w w:val="94"/>
              </w:rPr>
              <w:t>50%</w:t>
            </w:r>
          </w:p>
        </w:tc>
      </w:tr>
      <w:tr>
        <w:trPr>
          <w:trHeight w:val="27"/>
        </w:trPr>
        <w:tc>
          <w:tcPr>
            <w:tcW w:w="382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r>
      <w:tr>
        <w:trPr>
          <w:trHeight w:val="269"/>
        </w:trPr>
        <w:tc>
          <w:tcPr>
            <w:tcW w:w="3820" w:type="dxa"/>
            <w:vAlign w:val="bottom"/>
            <w:tcBorders>
              <w:bottom w:val="single" w:sz="8" w:color="D9D9D9"/>
            </w:tcBorders>
            <w:shd w:val="clear" w:color="auto" w:fill="D9D9D9"/>
          </w:tcPr>
          <w:p>
            <w:pPr>
              <w:ind w:left="2220"/>
              <w:spacing w:after="0"/>
              <w:rPr>
                <w:sz w:val="20"/>
                <w:szCs w:val="20"/>
                <w:color w:val="auto"/>
              </w:rPr>
            </w:pPr>
            <w:r>
              <w:rPr>
                <w:rFonts w:ascii="Arial" w:cs="Arial" w:eastAsia="Arial" w:hAnsi="Arial"/>
                <w:sz w:val="18"/>
                <w:szCs w:val="18"/>
                <w:color w:val="auto"/>
                <w:w w:val="99"/>
              </w:rPr>
              <w:t>Linear Interpolation:</w:t>
            </w:r>
          </w:p>
        </w:tc>
        <w:tc>
          <w:tcPr>
            <w:tcW w:w="2760" w:type="dxa"/>
            <w:vAlign w:val="bottom"/>
            <w:tcBorders>
              <w:bottom w:val="single" w:sz="8" w:color="D9D9D9"/>
            </w:tcBorders>
            <w:shd w:val="clear" w:color="auto" w:fill="D9D9D9"/>
          </w:tcPr>
          <w:p>
            <w:pPr>
              <w:jc w:val="right"/>
              <w:ind w:right="2130"/>
              <w:spacing w:after="0"/>
              <w:rPr>
                <w:sz w:val="20"/>
                <w:szCs w:val="20"/>
                <w:color w:val="auto"/>
              </w:rPr>
            </w:pPr>
            <w:r>
              <w:rPr>
                <w:rFonts w:ascii="Arial" w:cs="Arial" w:eastAsia="Arial" w:hAnsi="Arial"/>
                <w:sz w:val="18"/>
                <w:szCs w:val="18"/>
                <w:color w:val="auto"/>
                <w:w w:val="86"/>
              </w:rPr>
              <w:t>1:16.67</w:t>
            </w:r>
          </w:p>
        </w:tc>
      </w:tr>
      <w:tr>
        <w:trPr>
          <w:trHeight w:val="237"/>
        </w:trPr>
        <w:tc>
          <w:tcPr>
            <w:tcW w:w="3820" w:type="dxa"/>
            <w:vAlign w:val="bottom"/>
            <w:tcBorders>
              <w:top w:val="single" w:sz="8" w:color="auto"/>
            </w:tcBorders>
          </w:tcPr>
          <w:p>
            <w:pPr>
              <w:jc w:val="center"/>
              <w:ind w:right="150"/>
              <w:spacing w:after="0"/>
              <w:rPr>
                <w:sz w:val="20"/>
                <w:szCs w:val="20"/>
                <w:color w:val="auto"/>
              </w:rPr>
            </w:pPr>
            <w:r>
              <w:rPr>
                <w:rFonts w:ascii="Arial" w:cs="Arial" w:eastAsia="Arial" w:hAnsi="Arial"/>
                <w:sz w:val="18"/>
                <w:szCs w:val="18"/>
                <w:color w:val="auto"/>
                <w:w w:val="91"/>
              </w:rPr>
              <w:t>100%</w:t>
            </w:r>
          </w:p>
        </w:tc>
        <w:tc>
          <w:tcPr>
            <w:tcW w:w="2760" w:type="dxa"/>
            <w:vAlign w:val="bottom"/>
            <w:tcBorders>
              <w:top w:val="single" w:sz="8" w:color="auto"/>
            </w:tcBorders>
          </w:tcPr>
          <w:p>
            <w:pPr>
              <w:jc w:val="center"/>
              <w:ind w:right="170"/>
              <w:spacing w:after="0"/>
              <w:rPr>
                <w:sz w:val="20"/>
                <w:szCs w:val="20"/>
                <w:color w:val="auto"/>
              </w:rPr>
            </w:pPr>
            <w:r>
              <w:rPr>
                <w:rFonts w:ascii="Arial" w:cs="Arial" w:eastAsia="Arial" w:hAnsi="Arial"/>
                <w:sz w:val="18"/>
                <w:szCs w:val="18"/>
                <w:color w:val="auto"/>
                <w:w w:val="91"/>
              </w:rPr>
              <w:t>100%</w:t>
            </w:r>
          </w:p>
        </w:tc>
      </w:tr>
      <w:tr>
        <w:trPr>
          <w:trHeight w:val="27"/>
        </w:trPr>
        <w:tc>
          <w:tcPr>
            <w:tcW w:w="382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r>
      <w:tr>
        <w:trPr>
          <w:trHeight w:val="269"/>
        </w:trPr>
        <w:tc>
          <w:tcPr>
            <w:tcW w:w="3820" w:type="dxa"/>
            <w:vAlign w:val="bottom"/>
            <w:tcBorders>
              <w:bottom w:val="single" w:sz="8" w:color="D9D9D9"/>
            </w:tcBorders>
            <w:shd w:val="clear" w:color="auto" w:fill="D9D9D9"/>
          </w:tcPr>
          <w:p>
            <w:pPr>
              <w:ind w:left="2320"/>
              <w:spacing w:after="0"/>
              <w:rPr>
                <w:sz w:val="20"/>
                <w:szCs w:val="20"/>
                <w:color w:val="auto"/>
              </w:rPr>
            </w:pPr>
            <w:r>
              <w:rPr>
                <w:rFonts w:ascii="Arial" w:cs="Arial" w:eastAsia="Arial" w:hAnsi="Arial"/>
                <w:sz w:val="18"/>
                <w:szCs w:val="18"/>
                <w:color w:val="auto"/>
                <w:w w:val="93"/>
              </w:rPr>
              <w:t>Linear Interpolation:</w:t>
            </w:r>
          </w:p>
        </w:tc>
        <w:tc>
          <w:tcPr>
            <w:tcW w:w="2760" w:type="dxa"/>
            <w:vAlign w:val="bottom"/>
            <w:tcBorders>
              <w:bottom w:val="single" w:sz="8" w:color="D9D9D9"/>
            </w:tcBorders>
            <w:shd w:val="clear" w:color="auto" w:fill="D9D9D9"/>
          </w:tcPr>
          <w:p>
            <w:pPr>
              <w:jc w:val="right"/>
              <w:ind w:right="2230"/>
              <w:spacing w:after="0"/>
              <w:rPr>
                <w:sz w:val="20"/>
                <w:szCs w:val="20"/>
                <w:color w:val="auto"/>
              </w:rPr>
            </w:pPr>
            <w:r>
              <w:rPr>
                <w:rFonts w:ascii="Arial" w:cs="Arial" w:eastAsia="Arial" w:hAnsi="Arial"/>
                <w:sz w:val="18"/>
                <w:szCs w:val="18"/>
                <w:color w:val="auto"/>
              </w:rPr>
              <w:t>1:7.5</w:t>
            </w:r>
          </w:p>
        </w:tc>
      </w:tr>
      <w:tr>
        <w:trPr>
          <w:trHeight w:val="237"/>
        </w:trPr>
        <w:tc>
          <w:tcPr>
            <w:tcW w:w="3820" w:type="dxa"/>
            <w:vAlign w:val="bottom"/>
            <w:tcBorders>
              <w:top w:val="single" w:sz="8" w:color="auto"/>
            </w:tcBorders>
          </w:tcPr>
          <w:p>
            <w:pPr>
              <w:jc w:val="center"/>
              <w:ind w:right="170"/>
              <w:spacing w:after="0"/>
              <w:rPr>
                <w:sz w:val="20"/>
                <w:szCs w:val="20"/>
                <w:color w:val="auto"/>
              </w:rPr>
            </w:pPr>
            <w:r>
              <w:rPr>
                <w:rFonts w:ascii="Arial" w:cs="Arial" w:eastAsia="Arial" w:hAnsi="Arial"/>
                <w:sz w:val="18"/>
                <w:szCs w:val="18"/>
                <w:color w:val="auto"/>
                <w:w w:val="86"/>
              </w:rPr>
              <w:t>110%</w:t>
            </w:r>
          </w:p>
        </w:tc>
        <w:tc>
          <w:tcPr>
            <w:tcW w:w="2760" w:type="dxa"/>
            <w:vAlign w:val="bottom"/>
            <w:tcBorders>
              <w:top w:val="single" w:sz="8" w:color="auto"/>
            </w:tcBorders>
          </w:tcPr>
          <w:p>
            <w:pPr>
              <w:jc w:val="center"/>
              <w:ind w:right="170"/>
              <w:spacing w:after="0"/>
              <w:rPr>
                <w:sz w:val="20"/>
                <w:szCs w:val="20"/>
                <w:color w:val="auto"/>
              </w:rPr>
            </w:pPr>
            <w:r>
              <w:rPr>
                <w:rFonts w:ascii="Arial" w:cs="Arial" w:eastAsia="Arial" w:hAnsi="Arial"/>
                <w:sz w:val="18"/>
                <w:szCs w:val="18"/>
                <w:color w:val="auto"/>
                <w:w w:val="91"/>
              </w:rPr>
              <w:t>175%</w:t>
            </w:r>
          </w:p>
        </w:tc>
      </w:tr>
      <w:tr>
        <w:trPr>
          <w:trHeight w:val="27"/>
        </w:trPr>
        <w:tc>
          <w:tcPr>
            <w:tcW w:w="382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r>
      <w:tr>
        <w:trPr>
          <w:trHeight w:val="244"/>
        </w:trPr>
        <w:tc>
          <w:tcPr>
            <w:tcW w:w="3820" w:type="dxa"/>
            <w:vAlign w:val="bottom"/>
            <w:tcBorders>
              <w:bottom w:val="single" w:sz="8" w:color="D9D9D9"/>
            </w:tcBorders>
            <w:shd w:val="clear" w:color="auto" w:fill="D9D9D9"/>
          </w:tcPr>
          <w:p>
            <w:pPr>
              <w:jc w:val="center"/>
              <w:ind w:right="170"/>
              <w:spacing w:after="0"/>
              <w:rPr>
                <w:sz w:val="20"/>
                <w:szCs w:val="20"/>
                <w:color w:val="auto"/>
              </w:rPr>
            </w:pPr>
            <w:r>
              <w:rPr>
                <w:rFonts w:ascii="Arial" w:cs="Arial" w:eastAsia="Arial" w:hAnsi="Arial"/>
                <w:sz w:val="18"/>
                <w:szCs w:val="18"/>
                <w:color w:val="auto"/>
                <w:w w:val="91"/>
              </w:rPr>
              <w:t>&gt;110%</w:t>
            </w:r>
          </w:p>
        </w:tc>
        <w:tc>
          <w:tcPr>
            <w:tcW w:w="2760" w:type="dxa"/>
            <w:vAlign w:val="bottom"/>
            <w:tcBorders>
              <w:bottom w:val="single" w:sz="8" w:color="D9D9D9"/>
            </w:tcBorders>
            <w:shd w:val="clear" w:color="auto" w:fill="D9D9D9"/>
          </w:tcPr>
          <w:p>
            <w:pPr>
              <w:jc w:val="center"/>
              <w:ind w:right="170"/>
              <w:spacing w:after="0"/>
              <w:rPr>
                <w:sz w:val="20"/>
                <w:szCs w:val="20"/>
                <w:color w:val="auto"/>
              </w:rPr>
            </w:pPr>
            <w:r>
              <w:rPr>
                <w:rFonts w:ascii="Arial" w:cs="Arial" w:eastAsia="Arial" w:hAnsi="Arial"/>
                <w:sz w:val="18"/>
                <w:szCs w:val="18"/>
                <w:color w:val="auto"/>
                <w:w w:val="91"/>
              </w:rPr>
              <w:t>175%</w:t>
            </w:r>
          </w:p>
        </w:tc>
      </w:tr>
      <w:tr>
        <w:trPr>
          <w:trHeight w:val="20"/>
        </w:trPr>
        <w:tc>
          <w:tcPr>
            <w:tcW w:w="3820" w:type="dxa"/>
            <w:vAlign w:val="bottom"/>
            <w:shd w:val="clear" w:color="auto" w:fill="000000"/>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Talent Objective is an individual objective that can be underachieved as determined by our CEO, but is not subject to scaling up as described above for the financial objectives.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minimum and maximum achievement of the target short-term incentive payment under the 2018 STIP.</w:t>
      </w:r>
    </w:p>
    <w:p>
      <w:pPr>
        <w:spacing w:after="0" w:line="383" w:lineRule="exact"/>
        <w:rPr>
          <w:sz w:val="20"/>
          <w:szCs w:val="20"/>
          <w:color w:val="auto"/>
        </w:rPr>
      </w:pPr>
    </w:p>
    <w:tbl>
      <w:tblPr>
        <w:tblLayout w:type="fixed"/>
        <w:tblInd w:w="242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p>
        </w:tc>
        <w:tc>
          <w:tcPr>
            <w:tcW w:w="2400" w:type="dxa"/>
            <w:vAlign w:val="bottom"/>
          </w:tcPr>
          <w:p>
            <w:pPr>
              <w:jc w:val="center"/>
              <w:ind w:left="470"/>
              <w:spacing w:after="0"/>
              <w:rPr>
                <w:sz w:val="20"/>
                <w:szCs w:val="20"/>
                <w:color w:val="auto"/>
              </w:rPr>
            </w:pPr>
            <w:r>
              <w:rPr>
                <w:rFonts w:ascii="Arial" w:cs="Arial" w:eastAsia="Arial" w:hAnsi="Arial"/>
                <w:sz w:val="18"/>
                <w:szCs w:val="18"/>
                <w:b w:val="1"/>
                <w:bCs w:val="1"/>
                <w:color w:val="auto"/>
                <w:w w:val="96"/>
              </w:rPr>
              <w:t>Minimum</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r>
      <w:tr>
        <w:trPr>
          <w:trHeight w:val="27"/>
        </w:trPr>
        <w:tc>
          <w:tcPr>
            <w:tcW w:w="22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69"/>
        </w:trPr>
        <w:tc>
          <w:tcPr>
            <w:tcW w:w="2280" w:type="dxa"/>
            <w:vAlign w:val="bottom"/>
            <w:tcBorders>
              <w:bottom w:val="single" w:sz="8" w:color="D9D9D9"/>
            </w:tcBorders>
            <w:shd w:val="clear" w:color="auto" w:fill="D9D9D9"/>
          </w:tcPr>
          <w:p>
            <w:pPr>
              <w:ind w:left="40"/>
              <w:spacing w:after="0"/>
              <w:rPr>
                <w:sz w:val="20"/>
                <w:szCs w:val="20"/>
                <w:color w:val="auto"/>
              </w:rPr>
            </w:pPr>
            <w:r>
              <w:rPr>
                <w:rFonts w:ascii="Arial" w:cs="Arial" w:eastAsia="Arial" w:hAnsi="Arial"/>
                <w:sz w:val="18"/>
                <w:szCs w:val="18"/>
                <w:color w:val="auto"/>
              </w:rPr>
              <w:t>Mr. McDonald</w:t>
            </w:r>
          </w:p>
        </w:tc>
        <w:tc>
          <w:tcPr>
            <w:tcW w:w="2400" w:type="dxa"/>
            <w:vAlign w:val="bottom"/>
            <w:tcBorders>
              <w:bottom w:val="single" w:sz="8" w:color="D9D9D9"/>
            </w:tcBorders>
            <w:shd w:val="clear" w:color="auto" w:fill="D9D9D9"/>
          </w:tcPr>
          <w:p>
            <w:pPr>
              <w:jc w:val="center"/>
              <w:ind w:left="470"/>
              <w:spacing w:after="0"/>
              <w:rPr>
                <w:sz w:val="20"/>
                <w:szCs w:val="20"/>
                <w:color w:val="auto"/>
              </w:rPr>
            </w:pPr>
            <w:r>
              <w:rPr>
                <w:rFonts w:ascii="Arial" w:cs="Arial" w:eastAsia="Arial" w:hAnsi="Arial"/>
                <w:sz w:val="18"/>
                <w:szCs w:val="18"/>
                <w:color w:val="auto"/>
                <w:w w:val="92"/>
              </w:rPr>
              <w:t>0%</w:t>
            </w:r>
          </w:p>
        </w:tc>
        <w:tc>
          <w:tcPr>
            <w:tcW w:w="190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8"/>
                <w:szCs w:val="18"/>
                <w:color w:val="auto"/>
                <w:w w:val="91"/>
              </w:rPr>
              <w:t>175%</w:t>
            </w:r>
          </w:p>
        </w:tc>
      </w:tr>
      <w:tr>
        <w:trPr>
          <w:trHeight w:val="237"/>
        </w:trPr>
        <w:tc>
          <w:tcPr>
            <w:tcW w:w="2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Mr. Huston</w:t>
            </w:r>
          </w:p>
        </w:tc>
        <w:tc>
          <w:tcPr>
            <w:tcW w:w="2400" w:type="dxa"/>
            <w:vAlign w:val="bottom"/>
            <w:tcBorders>
              <w:top w:val="single" w:sz="8" w:color="auto"/>
            </w:tcBorders>
          </w:tcPr>
          <w:p>
            <w:pPr>
              <w:jc w:val="center"/>
              <w:ind w:left="470"/>
              <w:spacing w:after="0"/>
              <w:rPr>
                <w:sz w:val="20"/>
                <w:szCs w:val="20"/>
                <w:color w:val="auto"/>
              </w:rPr>
            </w:pPr>
            <w:r>
              <w:rPr>
                <w:rFonts w:ascii="Arial" w:cs="Arial" w:eastAsia="Arial" w:hAnsi="Arial"/>
                <w:sz w:val="18"/>
                <w:szCs w:val="18"/>
                <w:color w:val="auto"/>
                <w:w w:val="92"/>
              </w:rPr>
              <w:t>0%</w:t>
            </w:r>
          </w:p>
        </w:tc>
        <w:tc>
          <w:tcPr>
            <w:tcW w:w="1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160%</w:t>
            </w:r>
          </w:p>
        </w:tc>
      </w:tr>
      <w:tr>
        <w:trPr>
          <w:trHeight w:val="27"/>
        </w:trPr>
        <w:tc>
          <w:tcPr>
            <w:tcW w:w="22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69"/>
        </w:trPr>
        <w:tc>
          <w:tcPr>
            <w:tcW w:w="2280" w:type="dxa"/>
            <w:vAlign w:val="bottom"/>
            <w:tcBorders>
              <w:bottom w:val="single" w:sz="8" w:color="D9D9D9"/>
            </w:tcBorders>
            <w:shd w:val="clear" w:color="auto" w:fill="D9D9D9"/>
          </w:tcPr>
          <w:p>
            <w:pPr>
              <w:ind w:left="40"/>
              <w:spacing w:after="0"/>
              <w:rPr>
                <w:sz w:val="20"/>
                <w:szCs w:val="20"/>
                <w:color w:val="auto"/>
              </w:rPr>
            </w:pPr>
            <w:r>
              <w:rPr>
                <w:rFonts w:ascii="Arial" w:cs="Arial" w:eastAsia="Arial" w:hAnsi="Arial"/>
                <w:sz w:val="18"/>
                <w:szCs w:val="18"/>
                <w:color w:val="auto"/>
              </w:rPr>
              <w:t>Mr. Manko</w:t>
            </w:r>
          </w:p>
        </w:tc>
        <w:tc>
          <w:tcPr>
            <w:tcW w:w="2400" w:type="dxa"/>
            <w:vAlign w:val="bottom"/>
            <w:tcBorders>
              <w:bottom w:val="single" w:sz="8" w:color="D9D9D9"/>
            </w:tcBorders>
            <w:shd w:val="clear" w:color="auto" w:fill="D9D9D9"/>
          </w:tcPr>
          <w:p>
            <w:pPr>
              <w:jc w:val="center"/>
              <w:ind w:left="470"/>
              <w:spacing w:after="0"/>
              <w:rPr>
                <w:sz w:val="20"/>
                <w:szCs w:val="20"/>
                <w:color w:val="auto"/>
              </w:rPr>
            </w:pPr>
            <w:r>
              <w:rPr>
                <w:rFonts w:ascii="Arial" w:cs="Arial" w:eastAsia="Arial" w:hAnsi="Arial"/>
                <w:sz w:val="18"/>
                <w:szCs w:val="18"/>
                <w:color w:val="auto"/>
                <w:w w:val="92"/>
              </w:rPr>
              <w:t>0%</w:t>
            </w:r>
          </w:p>
        </w:tc>
        <w:tc>
          <w:tcPr>
            <w:tcW w:w="190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8"/>
                <w:szCs w:val="18"/>
                <w:color w:val="auto"/>
                <w:w w:val="91"/>
              </w:rPr>
              <w:t>160%</w:t>
            </w:r>
          </w:p>
        </w:tc>
      </w:tr>
      <w:tr>
        <w:trPr>
          <w:trHeight w:val="237"/>
        </w:trPr>
        <w:tc>
          <w:tcPr>
            <w:tcW w:w="2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Ms. Skeffington</w:t>
            </w:r>
          </w:p>
        </w:tc>
        <w:tc>
          <w:tcPr>
            <w:tcW w:w="2400" w:type="dxa"/>
            <w:vAlign w:val="bottom"/>
            <w:tcBorders>
              <w:top w:val="single" w:sz="8" w:color="auto"/>
            </w:tcBorders>
          </w:tcPr>
          <w:p>
            <w:pPr>
              <w:jc w:val="center"/>
              <w:ind w:left="470"/>
              <w:spacing w:after="0"/>
              <w:rPr>
                <w:sz w:val="20"/>
                <w:szCs w:val="20"/>
                <w:color w:val="auto"/>
              </w:rPr>
            </w:pPr>
            <w:r>
              <w:rPr>
                <w:rFonts w:ascii="Arial" w:cs="Arial" w:eastAsia="Arial" w:hAnsi="Arial"/>
                <w:sz w:val="18"/>
                <w:szCs w:val="18"/>
                <w:color w:val="auto"/>
                <w:w w:val="92"/>
              </w:rPr>
              <w:t>0%</w:t>
            </w:r>
          </w:p>
        </w:tc>
        <w:tc>
          <w:tcPr>
            <w:tcW w:w="1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160%</w:t>
            </w:r>
          </w:p>
        </w:tc>
      </w:tr>
      <w:tr>
        <w:trPr>
          <w:trHeight w:val="27"/>
        </w:trPr>
        <w:tc>
          <w:tcPr>
            <w:tcW w:w="22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2280" w:type="dxa"/>
            <w:vAlign w:val="bottom"/>
            <w:tcBorders>
              <w:bottom w:val="single" w:sz="8" w:color="D9D9D9"/>
            </w:tcBorders>
            <w:shd w:val="clear" w:color="auto" w:fill="D9D9D9"/>
          </w:tcPr>
          <w:p>
            <w:pPr>
              <w:ind w:left="40"/>
              <w:spacing w:after="0"/>
              <w:rPr>
                <w:sz w:val="20"/>
                <w:szCs w:val="20"/>
                <w:color w:val="auto"/>
              </w:rPr>
            </w:pPr>
            <w:r>
              <w:rPr>
                <w:rFonts w:ascii="Arial" w:cs="Arial" w:eastAsia="Arial" w:hAnsi="Arial"/>
                <w:sz w:val="18"/>
                <w:szCs w:val="18"/>
                <w:color w:val="auto"/>
              </w:rPr>
              <w:t>Mr. Wise</w:t>
            </w:r>
          </w:p>
        </w:tc>
        <w:tc>
          <w:tcPr>
            <w:tcW w:w="2400" w:type="dxa"/>
            <w:vAlign w:val="bottom"/>
            <w:tcBorders>
              <w:bottom w:val="single" w:sz="8" w:color="D9D9D9"/>
            </w:tcBorders>
            <w:shd w:val="clear" w:color="auto" w:fill="D9D9D9"/>
          </w:tcPr>
          <w:p>
            <w:pPr>
              <w:jc w:val="center"/>
              <w:ind w:left="470"/>
              <w:spacing w:after="0"/>
              <w:rPr>
                <w:sz w:val="20"/>
                <w:szCs w:val="20"/>
                <w:color w:val="auto"/>
              </w:rPr>
            </w:pPr>
            <w:r>
              <w:rPr>
                <w:rFonts w:ascii="Arial" w:cs="Arial" w:eastAsia="Arial" w:hAnsi="Arial"/>
                <w:sz w:val="18"/>
                <w:szCs w:val="18"/>
                <w:color w:val="auto"/>
                <w:w w:val="92"/>
              </w:rPr>
              <w:t>0%</w:t>
            </w:r>
          </w:p>
        </w:tc>
        <w:tc>
          <w:tcPr>
            <w:tcW w:w="190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8"/>
                <w:szCs w:val="18"/>
                <w:color w:val="auto"/>
                <w:w w:val="91"/>
              </w:rPr>
              <w:t>160%</w:t>
            </w:r>
          </w:p>
        </w:tc>
      </w:tr>
      <w:tr>
        <w:trPr>
          <w:trHeight w:val="20"/>
        </w:trPr>
        <w:tc>
          <w:tcPr>
            <w:tcW w:w="2280" w:type="dxa"/>
            <w:vAlign w:val="bottom"/>
            <w:shd w:val="clear" w:color="auto" w:fill="000000"/>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10.1 – Page 2</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2019-12-29T01:22:32Z</dcterms:created>
  <dcterms:modified xsi:type="dcterms:W3CDTF">2019-12-29T01:22:32Z</dcterms:modified>
</cp:coreProperties>
</file>