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158750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186690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Date of Report (Date of earliest event reported): September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309880</wp:posOffset>
            </wp:positionV>
            <wp:extent cx="1500505" cy="43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0505"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31" w:lineRule="exact"/>
        <w:rPr>
          <w:sz w:val="24"/>
          <w:szCs w:val="24"/>
          <w:color w:val="auto"/>
        </w:rPr>
      </w:pPr>
    </w:p>
    <w:p>
      <w:pPr>
        <w:sectPr>
          <w:pgSz w:w="11900" w:h="16838" w:orient="portrait"/>
          <w:cols w:equalWidth="0" w:num="3">
            <w:col w:w="4740" w:space="720"/>
            <w:col w:w="2980" w:space="720"/>
            <w:col w:w="2160"/>
          </w:cols>
          <w:pgMar w:left="240" w:top="341" w:right="3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700" w:space="720"/>
            <w:col w:w="2900" w:space="720"/>
            <w:col w:w="2280"/>
          </w:cols>
          <w:pgMar w:left="240" w:top="341" w:right="33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20 Eastbourne Terrace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London, W2 6LG</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1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+44 20 33250660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240.13e-4(c)).c</w:t>
      </w:r>
    </w:p>
    <w:p>
      <w:pPr>
        <w:spacing w:after="0" w:line="117" w:lineRule="exact"/>
        <w:rPr>
          <w:sz w:val="24"/>
          <w:szCs w:val="24"/>
          <w:color w:val="auto"/>
        </w:rPr>
      </w:pPr>
    </w:p>
    <w:p>
      <w:pPr>
        <w:ind w:right="2740" w:firstLine="456"/>
        <w:spacing w:after="0" w:line="26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1" w:lineRule="exact"/>
        <w:rPr>
          <w:sz w:val="24"/>
          <w:szCs w:val="24"/>
          <w:color w:val="auto"/>
        </w:rPr>
      </w:pPr>
    </w:p>
    <w:p>
      <w:pPr>
        <w:ind w:left="460"/>
        <w:spacing w:after="0" w:line="207" w:lineRule="exact"/>
        <w:tabs>
          <w:tab w:leader="none" w:pos="26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right="1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September 14, 2017, LivaNova PLC (“</w:t>
      </w:r>
      <w:r>
        <w:rPr>
          <w:rFonts w:ascii="Arial" w:cs="Arial" w:eastAsia="Arial" w:hAnsi="Arial"/>
          <w:sz w:val="18"/>
          <w:szCs w:val="18"/>
          <w:i w:val="1"/>
          <w:iCs w:val="1"/>
          <w:color w:val="auto"/>
        </w:rPr>
        <w:t>LivaNova</w:t>
      </w:r>
      <w:r>
        <w:rPr>
          <w:rFonts w:ascii="Arial" w:cs="Arial" w:eastAsia="Arial" w:hAnsi="Arial"/>
          <w:sz w:val="18"/>
          <w:szCs w:val="18"/>
          <w:color w:val="auto"/>
        </w:rPr>
        <w:t>” or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announcing that the Company is exploring strategic options for its Cardiac Rhythm Management (CRM) Business Franchise as part of the Company’s ongoing efforts to strengthen LivaNova’s position as a leading, innovative medical device company dedicated to extending and improving the lives of patients around the world. A copy of the Company’s press release is furnished as Exhibit 99.1 to this Current Report on Form 8-K.</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information disclosed under this Item 7.01 shall not be deemed “filed” for any purpose, including for the purposes of Section 18 of the United States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otherwise subject to the liabilities of that section. The information in this Item 7.01 shall not be deemed incorporated by reference into any filing under the Exchange Act or the United States Securities Act of 1933, as amended, regardless of any general incorporation language in such filing.</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39" w:lineRule="exact"/>
        <w:rPr>
          <w:sz w:val="20"/>
          <w:szCs w:val="20"/>
          <w:color w:val="auto"/>
        </w:rPr>
      </w:pPr>
    </w:p>
    <w:p>
      <w:pPr>
        <w:spacing w:after="0"/>
        <w:tabs>
          <w:tab w:leader="none" w:pos="6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September 14, 2017.</w:t>
        </w:r>
      </w:hyperlink>
    </w:p>
    <w:p>
      <w:pPr>
        <w:sectPr>
          <w:pgSz w:w="11900" w:h="16838" w:orient="portrait"/>
          <w:cols w:equalWidth="0" w:num="1">
            <w:col w:w="11080"/>
          </w:cols>
          <w:pgMar w:left="240" w:top="270"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Arial" w:cs="Arial" w:eastAsia="Arial" w:hAnsi="Arial"/>
                <w:sz w:val="18"/>
                <w:szCs w:val="18"/>
                <w:color w:val="auto"/>
              </w:rPr>
              <w:t>LivaNova PLC</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Date: September 14, 2017</w:t>
            </w:r>
          </w:p>
        </w:tc>
        <w:tc>
          <w:tcPr>
            <w:tcW w:w="2440" w:type="dxa"/>
            <w:vAlign w:val="bottom"/>
          </w:tcPr>
          <w:p>
            <w:pPr>
              <w:ind w:left="19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Catherine Moroz</w:t>
            </w:r>
          </w:p>
        </w:tc>
      </w:tr>
      <w:tr>
        <w:trPr>
          <w:trHeight w:val="195"/>
        </w:trPr>
        <w:tc>
          <w:tcPr>
            <w:tcW w:w="3860" w:type="dxa"/>
            <w:vAlign w:val="bottom"/>
          </w:tcPr>
          <w:p>
            <w:pPr>
              <w:spacing w:after="0"/>
              <w:rPr>
                <w:sz w:val="16"/>
                <w:szCs w:val="16"/>
                <w:color w:val="auto"/>
              </w:rPr>
            </w:pPr>
          </w:p>
        </w:tc>
        <w:tc>
          <w:tcPr>
            <w:tcW w:w="2440" w:type="dxa"/>
            <w:vAlign w:val="bottom"/>
          </w:tcPr>
          <w:p>
            <w:pPr>
              <w:ind w:left="196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Catherine Moroz</w:t>
            </w:r>
          </w:p>
        </w:tc>
      </w:tr>
      <w:tr>
        <w:trPr>
          <w:trHeight w:val="230"/>
        </w:trPr>
        <w:tc>
          <w:tcPr>
            <w:tcW w:w="3860" w:type="dxa"/>
            <w:vAlign w:val="bottom"/>
          </w:tcPr>
          <w:p>
            <w:pPr>
              <w:spacing w:after="0"/>
              <w:rPr>
                <w:sz w:val="20"/>
                <w:szCs w:val="20"/>
                <w:color w:val="auto"/>
              </w:rPr>
            </w:pPr>
          </w:p>
        </w:tc>
        <w:tc>
          <w:tcPr>
            <w:tcW w:w="2440" w:type="dxa"/>
            <w:vAlign w:val="bottom"/>
          </w:tcPr>
          <w:p>
            <w:pPr>
              <w:ind w:left="196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Company Secretary</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14, 2017.</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00505" cy="43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050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to Explore Strategic Options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Cardiac Rhythm Management Business Franchise</w:t>
      </w:r>
    </w:p>
    <w:p>
      <w:pPr>
        <w:spacing w:after="0" w:line="20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London, September 14, 2017 – </w:t>
      </w:r>
      <w:r>
        <w:rPr>
          <w:rFonts w:ascii="Arial" w:cs="Arial" w:eastAsia="Arial" w:hAnsi="Arial"/>
          <w:sz w:val="18"/>
          <w:szCs w:val="18"/>
          <w:color w:val="auto"/>
        </w:rPr>
        <w:t>LivaNova PLC (NASDAQ:LIVN) (“LivaNova” or the “Company”), a market-leading medical technology and innovation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it is exploring strategic options for its Cardiac Rhythm Management (“CRM”) Business Franchise.</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part of our ongoing efforts to position LivaNova for long-term success, we are sharpening our focus on the Company’s areas of strength and market leadership. To that end, we are exploring options to realize the full value of the CRM Business Franchise,” said Damien McDonald, Chief Executive Officer. “The CRM Business Franchise is a global business and strong regional player with attractive assets, a robust pipeline and growth potential; however, it is no longer a strategic fit within LivaNova’s portfolio. The Board and executive leadership team are committed to driving value for shareholders and customers and will continue to take actions that strengthen LivaNova’s position as a leading, innovative medical device company dedicated to extending and improving the lives of patients around the world.”</w:t>
      </w:r>
    </w:p>
    <w:p>
      <w:pPr>
        <w:spacing w:after="0" w:line="19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CRM generated $249.1 million in net sales for the full-year 2016 and is focused on the development, manufacturing and marketing of products for the diagnosis, treatment and management of heart rhythm disorders and heart failure. CRM products include high-voltage defibrillators, cardiac resynchronization therapy devices and low-voltage pacemakers. Its innovative technologies have helped position the CRM Business Franchise as a market leader in Europe and Japan. These technologies include the KORA 250</w:t>
      </w:r>
      <w:r>
        <w:rPr>
          <w:rFonts w:ascii="Arial" w:cs="Arial" w:eastAsia="Arial" w:hAnsi="Arial"/>
          <w:sz w:val="14"/>
          <w:szCs w:val="14"/>
          <w:color w:val="auto"/>
        </w:rPr>
        <w:t>®</w:t>
      </w:r>
      <w:r>
        <w:rPr>
          <w:rFonts w:ascii="Arial" w:cs="Arial" w:eastAsia="Arial" w:hAnsi="Arial"/>
          <w:sz w:val="17"/>
          <w:szCs w:val="17"/>
          <w:color w:val="auto"/>
        </w:rPr>
        <w:t>, the world’s smallest full-body MRI conditional pacemaker, and PLATINIUM</w:t>
      </w:r>
      <w:r>
        <w:rPr>
          <w:rFonts w:ascii="Arial" w:cs="Arial" w:eastAsia="Arial" w:hAnsi="Arial"/>
          <w:sz w:val="14"/>
          <w:szCs w:val="14"/>
          <w:color w:val="auto"/>
        </w:rPr>
        <w:t>®</w:t>
      </w:r>
      <w:r>
        <w:rPr>
          <w:rFonts w:ascii="Arial" w:cs="Arial" w:eastAsia="Arial" w:hAnsi="Arial"/>
          <w:sz w:val="17"/>
          <w:szCs w:val="17"/>
          <w:color w:val="auto"/>
        </w:rPr>
        <w:t>, a range of implantable cardiac defibrillators and cardiac resynchronization therapy devices that offer unmatched battery longevity</w:t>
      </w:r>
      <w:r>
        <w:rPr>
          <w:rFonts w:ascii="Arial" w:cs="Arial" w:eastAsia="Arial" w:hAnsi="Arial"/>
          <w:sz w:val="14"/>
          <w:szCs w:val="14"/>
          <w:color w:val="auto"/>
        </w:rPr>
        <w:t>1</w:t>
      </w:r>
      <w:r>
        <w:rPr>
          <w:rFonts w:ascii="Arial" w:cs="Arial" w:eastAsia="Arial" w:hAnsi="Arial"/>
          <w:sz w:val="17"/>
          <w:szCs w:val="17"/>
          <w:color w:val="auto"/>
        </w:rPr>
        <w:t>.</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noted there can be no assurances that the process of exploring strategic options for the CRM Business Franchise to maximize shareholder value will result in a transaction or that any transaction will be consummated. The Company has not set a timeline for completion of the review process, and it does not intend to disclose further developments unless or until a definitive decision has been reached by the Company or the Company has otherwise determined that further disclosure is appropriate or required. For the time being, the Company expects to continue to operate the CRM Business Franchise in the normal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Barclays is serving as LivaNova’s financial advisor to assist in the evaluation process.</w:t>
      </w:r>
    </w:p>
    <w:p>
      <w:pPr>
        <w:spacing w:after="0" w:line="131" w:lineRule="exact"/>
        <w:rPr>
          <w:sz w:val="20"/>
          <w:szCs w:val="20"/>
          <w:color w:val="auto"/>
        </w:rPr>
      </w:pPr>
    </w:p>
    <w:p>
      <w:pPr>
        <w:ind w:left="900" w:right="480" w:hanging="446"/>
        <w:spacing w:after="0" w:line="253" w:lineRule="auto"/>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Medtronic Evera™ XT VR DVBB2D4 Device manual M957115A001A 2014-01-03. Medtronic Evera™ XT DR DDBB2D4 Device manual M957111A001A 2014-01-03. Medtronic Viva™ QUAD XT CRT-D DTBA2QQ Device manual M956933A001A 2013-12-05. Biotronik IperiaTM 5/7 VR-T, VR-T DX, DR-T, HF-T, HF-T QP (ProMRI®) Technical Manual 403736 Revision: B (2014-11-19). St. Jude Medical - Bradycardia and Tachycardia Devices - Help Manual - June 2013 Art 60033180/A. Boston Scientific - Physician’s technical manual AutogenTM EL ICD, AutogenTM Mini ICD, DynagenTM EL ICD, DynagenTMMini ICD, InogenTM EL ICD, InogenTM Mini ICD, OrigenTM EL ICD, OrigenTM Mini ICD - Implantable Cardiovertor Defibrillator - 359060-001 EN Europe 2013-04. Boston Scientific - Physician’s technical manual AutogenTM CRT-D, AutogenTM X4 CRT-D, DynegenTM CRT-D, DynagenTM X4 CRT-D, InogenTM CRT-D, InogenTM X4 CRT-D, OrigenTM CRT-D, OrigenTM X4 CRT-D Cardiac resynchronization therapy Defibrillator 359059-019 EN Europe 2013-04.</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LivaNova</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 employs more than 4,500 employees. LivaNova operates as three business franchises: Cardiac Surgery, Neuromodulation and Cardiac Rhythm Management, with operating headquarters in Mirandola (Italy), Houston (U.S.A.) and Clamart (France),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more information, please visit </w:t>
      </w:r>
      <w:r>
        <w:rPr>
          <w:rFonts w:ascii="Arial" w:cs="Arial" w:eastAsia="Arial" w:hAnsi="Arial"/>
          <w:sz w:val="18"/>
          <w:szCs w:val="18"/>
          <w:b w:val="1"/>
          <w:bCs w:val="1"/>
          <w:u w:val="single" w:color="auto"/>
          <w:color w:val="auto"/>
        </w:rPr>
        <w:t>www.livanova.com</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or actions that may be taken by the Company and involve known and unknown risks, uncertainties and other factors that are, in some cases, beyond the Company’s control. Investors are cautioned that all such statements involve risks and uncertainties, including without limitation, statements concerning the exploration of strategic opportunities for LivaNova’s CRM Business Franchise, the likelihood or the timing of any resulting transaction, or the ongoing operation of the CRM Business Franchise while such strategic opportunities are being explored. Important factors that may cause actual results to differ include, but are not limited to: (i) reductions in customer spending, a slowdown in customer payments and changes in customer demand for products and services from the CRM Business Franchise; (ii) the ability to hire and retain key personnel for the CRM Business Franchise; and (iii) the ability to attract new customers and retain existing customers of the CRM Business Franchise in the manner anticipated. The foregoing list of factors is not exhaustive. You should carefully consider the foregoing factors and the other risks and uncertainties that affect the Company’s business, including those described in the “Risk Factors” section of LivaNova’s Annual Reports on Form 10-K, Quarterly Reports on Form 10-Q, Current Reports on Form 8-K and other documents filed from time to time with the United States Securities and Exchange Commission. LivaNova does not give any assurance (1) that LivaNova will achieve its expectations, or</w:t>
      </w:r>
    </w:p>
    <w:p>
      <w:pPr>
        <w:spacing w:after="0" w:line="13" w:lineRule="exact"/>
        <w:rPr>
          <w:sz w:val="20"/>
          <w:szCs w:val="20"/>
          <w:color w:val="auto"/>
        </w:rPr>
      </w:pPr>
    </w:p>
    <w:p>
      <w:pPr>
        <w:ind w:right="300" w:firstLine="8"/>
        <w:spacing w:after="0" w:line="290"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1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ectPr>
          <w:pgSz w:w="11900" w:h="16838" w:orient="portrait"/>
          <w:cols w:equalWidth="0" w:num="1">
            <w:col w:w="11400"/>
          </w:cols>
          <w:pgMar w:left="240" w:top="27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LivaNova PLC Investor Relations and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Karen King, </w:t>
      </w:r>
      <w:r>
        <w:rPr>
          <w:rFonts w:ascii="Arial" w:cs="Arial" w:eastAsia="Arial" w:hAnsi="Arial"/>
          <w:sz w:val="18"/>
          <w:szCs w:val="18"/>
          <w:color w:val="auto"/>
        </w:rPr>
        <w:t>+1 (281) 228-7262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Deanna Wilke, </w:t>
      </w:r>
      <w:r>
        <w:rPr>
          <w:rFonts w:ascii="Arial" w:cs="Arial" w:eastAsia="Arial" w:hAnsi="Arial"/>
          <w:sz w:val="18"/>
          <w:szCs w:val="18"/>
          <w:color w:val="auto"/>
        </w:rPr>
        <w:t>+1 (281) 727-2764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 External Communications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corporate.communications@livanova.com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 (General)</w:t>
      </w:r>
    </w:p>
    <w:p>
      <w:pPr>
        <w:spacing w:after="0" w:line="121" w:lineRule="exact"/>
        <w:rPr>
          <w:sz w:val="20"/>
          <w:szCs w:val="20"/>
          <w:color w:val="auto"/>
        </w:rPr>
      </w:pPr>
    </w:p>
    <w:p>
      <w:pPr>
        <w:ind w:right="4799"/>
        <w:spacing w:after="0" w:line="272" w:lineRule="auto"/>
        <w:rPr>
          <w:sz w:val="20"/>
          <w:szCs w:val="20"/>
          <w:color w:val="auto"/>
        </w:rPr>
      </w:pPr>
      <w:r>
        <w:rPr>
          <w:rFonts w:ascii="Arial" w:cs="Arial" w:eastAsia="Arial" w:hAnsi="Arial"/>
          <w:sz w:val="18"/>
          <w:szCs w:val="18"/>
          <w:color w:val="auto"/>
        </w:rPr>
        <w:t>Andy Brimmer / Sharon Stern / Ed Trissel / Matthew Gross / Jeffrey Kauth Joele Frank, Wilkinson Brimmer Katcher +1 (212) 355-4449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LIVN-jf@joelefrank.com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 (France)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Alexis Volanov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Volanov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+33 6 16 58 31 10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alexis.volanov@volanov.com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 (Italy)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Luigi Norsa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Luigi Norsa &amp; Associati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+39 335 710 47 51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luigi@luiginorsa.com</w:t>
      </w:r>
    </w:p>
    <w:p>
      <w:pPr>
        <w:spacing w:after="0" w:line="21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2019-12-29T04:31:53Z</dcterms:created>
  <dcterms:modified xsi:type="dcterms:W3CDTF">2019-12-29T04:31:53Z</dcterms:modified>
</cp:coreProperties>
</file>