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
        <w:spacing w:after="0"/>
        <w:rPr>
          <w:sz w:val="20"/>
          <w:szCs w:val="20"/>
          <w:color w:val="auto"/>
        </w:rPr>
      </w:pPr>
      <w:r>
        <w:rPr>
          <w:rFonts w:ascii="Arial" w:cs="Arial" w:eastAsia="Arial" w:hAnsi="Arial"/>
          <w:sz w:val="19"/>
          <w:szCs w:val="19"/>
          <w:b w:val="1"/>
          <w:bCs w:val="1"/>
          <w:color w:val="auto"/>
        </w:rPr>
        <w:drawing>
          <wp:anchor simplePos="0" relativeHeight="251657728" behindDoc="1" locked="0" layoutInCell="0" allowOverlap="1">
            <wp:simplePos x="0" y="0"/>
            <wp:positionH relativeFrom="page">
              <wp:posOffset>59690</wp:posOffset>
            </wp:positionH>
            <wp:positionV relativeFrom="page">
              <wp:posOffset>295275</wp:posOffset>
            </wp:positionV>
            <wp:extent cx="7650480" cy="438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650480" cy="43815"/>
                    </a:xfrm>
                    <a:prstGeom prst="rect">
                      <a:avLst/>
                    </a:prstGeom>
                    <a:noFill/>
                  </pic:spPr>
                </pic:pic>
              </a:graphicData>
            </a:graphic>
          </wp:anchor>
        </w:drawing>
        <w:t>UNITED STATES</w:t>
      </w:r>
    </w:p>
    <w:p>
      <w:pPr>
        <w:spacing w:after="0" w:line="29" w:lineRule="exact"/>
        <w:rPr>
          <w:sz w:val="24"/>
          <w:szCs w:val="24"/>
          <w:color w:val="auto"/>
        </w:rPr>
      </w:pPr>
    </w:p>
    <w:p>
      <w:pPr>
        <w:jc w:val="center"/>
        <w:ind w:right="-5"/>
        <w:spacing w:after="0"/>
        <w:rPr>
          <w:sz w:val="20"/>
          <w:szCs w:val="20"/>
          <w:color w:val="auto"/>
        </w:rPr>
      </w:pPr>
      <w:r>
        <w:rPr>
          <w:rFonts w:ascii="Arial" w:cs="Arial" w:eastAsia="Arial" w:hAnsi="Arial"/>
          <w:sz w:val="19"/>
          <w:szCs w:val="19"/>
          <w:b w:val="1"/>
          <w:bCs w:val="1"/>
          <w:color w:val="auto"/>
        </w:rPr>
        <w:t>SECURITIES AND EXCHANGE COMMISSION</w:t>
      </w:r>
    </w:p>
    <w:p>
      <w:pPr>
        <w:spacing w:after="0" w:line="10" w:lineRule="exact"/>
        <w:rPr>
          <w:sz w:val="24"/>
          <w:szCs w:val="24"/>
          <w:color w:val="auto"/>
        </w:rPr>
      </w:pPr>
    </w:p>
    <w:p>
      <w:pPr>
        <w:jc w:val="center"/>
        <w:ind w:right="-5"/>
        <w:spacing w:after="0"/>
        <w:rPr>
          <w:sz w:val="20"/>
          <w:szCs w:val="20"/>
          <w:color w:val="auto"/>
        </w:rPr>
      </w:pPr>
      <w:r>
        <w:rPr>
          <w:rFonts w:ascii="Arial" w:cs="Arial" w:eastAsia="Arial" w:hAnsi="Arial"/>
          <w:sz w:val="19"/>
          <w:szCs w:val="19"/>
          <w:b w:val="1"/>
          <w:bCs w:val="1"/>
          <w:color w:val="auto"/>
        </w:rPr>
        <w:t>WASHINGTON, D.C. 20549</w:t>
      </w:r>
    </w:p>
    <w:p>
      <w:pPr>
        <w:spacing w:after="0" w:line="219" w:lineRule="exact"/>
        <w:rPr>
          <w:sz w:val="24"/>
          <w:szCs w:val="24"/>
          <w:color w:val="auto"/>
        </w:rPr>
      </w:pPr>
    </w:p>
    <w:p>
      <w:pPr>
        <w:jc w:val="center"/>
        <w:ind w:right="-5"/>
        <w:spacing w:after="0"/>
        <w:rPr>
          <w:sz w:val="20"/>
          <w:szCs w:val="20"/>
          <w:color w:val="auto"/>
        </w:rPr>
      </w:pPr>
      <w:r>
        <w:rPr>
          <w:rFonts w:ascii="Arial" w:cs="Arial" w:eastAsia="Arial" w:hAnsi="Arial"/>
          <w:sz w:val="19"/>
          <w:szCs w:val="19"/>
          <w:b w:val="1"/>
          <w:bCs w:val="1"/>
          <w:color w:val="auto"/>
        </w:rPr>
        <w:t>FORM 8-K</w:t>
      </w:r>
    </w:p>
    <w:p>
      <w:pPr>
        <w:spacing w:after="0" w:line="238" w:lineRule="exact"/>
        <w:rPr>
          <w:sz w:val="24"/>
          <w:szCs w:val="24"/>
          <w:color w:val="auto"/>
        </w:rPr>
      </w:pPr>
    </w:p>
    <w:p>
      <w:pPr>
        <w:jc w:val="center"/>
        <w:ind w:right="-5"/>
        <w:spacing w:after="0"/>
        <w:rPr>
          <w:sz w:val="20"/>
          <w:szCs w:val="20"/>
          <w:color w:val="auto"/>
        </w:rPr>
      </w:pPr>
      <w:r>
        <w:rPr>
          <w:rFonts w:ascii="Arial" w:cs="Arial" w:eastAsia="Arial" w:hAnsi="Arial"/>
          <w:sz w:val="19"/>
          <w:szCs w:val="19"/>
          <w:b w:val="1"/>
          <w:bCs w:val="1"/>
          <w:color w:val="auto"/>
        </w:rPr>
        <w:t>CURRENT REPORT</w:t>
      </w:r>
    </w:p>
    <w:p>
      <w:pPr>
        <w:spacing w:after="0" w:line="238" w:lineRule="exact"/>
        <w:rPr>
          <w:sz w:val="24"/>
          <w:szCs w:val="24"/>
          <w:color w:val="auto"/>
        </w:rPr>
      </w:pPr>
    </w:p>
    <w:p>
      <w:pPr>
        <w:jc w:val="center"/>
        <w:ind w:right="-5"/>
        <w:spacing w:after="0"/>
        <w:rPr>
          <w:sz w:val="20"/>
          <w:szCs w:val="20"/>
          <w:color w:val="auto"/>
        </w:rPr>
      </w:pPr>
      <w:r>
        <w:rPr>
          <w:rFonts w:ascii="Arial" w:cs="Arial" w:eastAsia="Arial" w:hAnsi="Arial"/>
          <w:sz w:val="19"/>
          <w:szCs w:val="19"/>
          <w:b w:val="1"/>
          <w:bCs w:val="1"/>
          <w:color w:val="auto"/>
        </w:rPr>
        <w:t>Pursuant to Section 13 or 15(d) of the Securities Exchange Act of 1934</w:t>
      </w:r>
    </w:p>
    <w:p>
      <w:pPr>
        <w:spacing w:after="0" w:line="244" w:lineRule="exact"/>
        <w:rPr>
          <w:sz w:val="24"/>
          <w:szCs w:val="24"/>
          <w:color w:val="auto"/>
        </w:rPr>
      </w:pPr>
    </w:p>
    <w:p>
      <w:pPr>
        <w:jc w:val="center"/>
        <w:ind w:right="-5"/>
        <w:spacing w:after="0"/>
        <w:rPr>
          <w:sz w:val="20"/>
          <w:szCs w:val="20"/>
          <w:color w:val="auto"/>
        </w:rPr>
      </w:pPr>
      <w:r>
        <w:rPr>
          <w:rFonts w:ascii="Arial" w:cs="Arial" w:eastAsia="Arial" w:hAnsi="Arial"/>
          <w:sz w:val="19"/>
          <w:szCs w:val="19"/>
          <w:color w:val="auto"/>
        </w:rPr>
        <w:t>Date of Report (Date of earliest event reported): March 1, 2019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3051810</wp:posOffset>
            </wp:positionH>
            <wp:positionV relativeFrom="paragraph">
              <wp:posOffset>160020</wp:posOffset>
            </wp:positionV>
            <wp:extent cx="1530350" cy="4800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530350" cy="48006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68" w:lineRule="exact"/>
        <w:rPr>
          <w:sz w:val="24"/>
          <w:szCs w:val="24"/>
          <w:color w:val="auto"/>
        </w:rPr>
      </w:pPr>
    </w:p>
    <w:p>
      <w:pPr>
        <w:jc w:val="center"/>
        <w:ind w:right="-5"/>
        <w:spacing w:after="0"/>
        <w:rPr>
          <w:sz w:val="20"/>
          <w:szCs w:val="20"/>
          <w:color w:val="auto"/>
        </w:rPr>
      </w:pPr>
      <w:r>
        <w:rPr>
          <w:rFonts w:ascii="Arial" w:cs="Arial" w:eastAsia="Arial" w:hAnsi="Arial"/>
          <w:sz w:val="19"/>
          <w:szCs w:val="19"/>
          <w:b w:val="1"/>
          <w:bCs w:val="1"/>
          <w:color w:val="auto"/>
        </w:rPr>
        <w:t>LivaNova PLC</w:t>
      </w:r>
    </w:p>
    <w:p>
      <w:pPr>
        <w:spacing w:after="0" w:line="29" w:lineRule="exact"/>
        <w:rPr>
          <w:sz w:val="24"/>
          <w:szCs w:val="24"/>
          <w:color w:val="auto"/>
        </w:rPr>
      </w:pPr>
    </w:p>
    <w:p>
      <w:pPr>
        <w:jc w:val="center"/>
        <w:ind w:right="-5"/>
        <w:spacing w:after="0"/>
        <w:rPr>
          <w:sz w:val="20"/>
          <w:szCs w:val="20"/>
          <w:color w:val="auto"/>
        </w:rPr>
      </w:pPr>
      <w:r>
        <w:rPr>
          <w:rFonts w:ascii="Arial" w:cs="Arial" w:eastAsia="Arial" w:hAnsi="Arial"/>
          <w:sz w:val="19"/>
          <w:szCs w:val="19"/>
          <w:color w:val="auto"/>
        </w:rPr>
        <w:t>(Exact Name of Registrant as Specified in its Charter)</w:t>
      </w:r>
    </w:p>
    <w:p>
      <w:pPr>
        <w:spacing w:after="0" w:line="200" w:lineRule="exact"/>
        <w:rPr>
          <w:sz w:val="24"/>
          <w:szCs w:val="24"/>
          <w:color w:val="auto"/>
        </w:rPr>
      </w:pPr>
    </w:p>
    <w:p>
      <w:pPr>
        <w:spacing w:after="0" w:line="204" w:lineRule="exact"/>
        <w:rPr>
          <w:sz w:val="24"/>
          <w:szCs w:val="24"/>
          <w:color w:val="auto"/>
        </w:rPr>
      </w:pPr>
    </w:p>
    <w:tbl>
      <w:tblPr>
        <w:tblLayout w:type="fixed"/>
        <w:tblInd w:w="906" w:type="dxa"/>
        <w:tblCellMar>
          <w:top w:w="0" w:type="dxa"/>
          <w:left w:w="0" w:type="dxa"/>
          <w:bottom w:w="0" w:type="dxa"/>
          <w:right w:w="0" w:type="dxa"/>
        </w:tblCellMar>
      </w:tblPr>
      <w:tr>
        <w:trPr>
          <w:trHeight w:val="247"/>
        </w:trPr>
        <w:tc>
          <w:tcPr>
            <w:tcW w:w="2320" w:type="dxa"/>
            <w:vAlign w:val="bottom"/>
          </w:tcPr>
          <w:p>
            <w:pPr>
              <w:jc w:val="center"/>
              <w:ind w:right="165"/>
              <w:spacing w:after="0"/>
              <w:rPr>
                <w:sz w:val="20"/>
                <w:szCs w:val="20"/>
                <w:color w:val="auto"/>
              </w:rPr>
            </w:pPr>
            <w:r>
              <w:rPr>
                <w:rFonts w:ascii="Arial" w:cs="Arial" w:eastAsia="Arial" w:hAnsi="Arial"/>
                <w:sz w:val="19"/>
                <w:szCs w:val="19"/>
                <w:b w:val="1"/>
                <w:bCs w:val="1"/>
                <w:color w:val="auto"/>
                <w:w w:val="90"/>
              </w:rPr>
              <w:t>England and Wales</w:t>
            </w:r>
          </w:p>
        </w:tc>
        <w:tc>
          <w:tcPr>
            <w:tcW w:w="5720" w:type="dxa"/>
            <w:vAlign w:val="bottom"/>
          </w:tcPr>
          <w:p>
            <w:pPr>
              <w:jc w:val="center"/>
              <w:ind w:right="25"/>
              <w:spacing w:after="0"/>
              <w:rPr>
                <w:sz w:val="20"/>
                <w:szCs w:val="20"/>
                <w:color w:val="auto"/>
              </w:rPr>
            </w:pPr>
            <w:r>
              <w:rPr>
                <w:rFonts w:ascii="Arial" w:cs="Arial" w:eastAsia="Arial" w:hAnsi="Arial"/>
                <w:sz w:val="19"/>
                <w:szCs w:val="19"/>
                <w:b w:val="1"/>
                <w:bCs w:val="1"/>
                <w:color w:val="auto"/>
                <w:w w:val="92"/>
              </w:rPr>
              <w:t>001-37599</w:t>
            </w:r>
          </w:p>
        </w:tc>
        <w:tc>
          <w:tcPr>
            <w:tcW w:w="1860" w:type="dxa"/>
            <w:vAlign w:val="bottom"/>
          </w:tcPr>
          <w:p>
            <w:pPr>
              <w:jc w:val="center"/>
              <w:ind w:left="365"/>
              <w:spacing w:after="0"/>
              <w:rPr>
                <w:sz w:val="20"/>
                <w:szCs w:val="20"/>
                <w:color w:val="auto"/>
              </w:rPr>
            </w:pPr>
            <w:r>
              <w:rPr>
                <w:rFonts w:ascii="Arial" w:cs="Arial" w:eastAsia="Arial" w:hAnsi="Arial"/>
                <w:sz w:val="19"/>
                <w:szCs w:val="19"/>
                <w:b w:val="1"/>
                <w:bCs w:val="1"/>
                <w:color w:val="auto"/>
                <w:w w:val="90"/>
              </w:rPr>
              <w:t>98-1268150</w:t>
            </w:r>
          </w:p>
        </w:tc>
      </w:tr>
      <w:tr>
        <w:trPr>
          <w:trHeight w:val="257"/>
        </w:trPr>
        <w:tc>
          <w:tcPr>
            <w:tcW w:w="2320" w:type="dxa"/>
            <w:vAlign w:val="bottom"/>
          </w:tcPr>
          <w:p>
            <w:pPr>
              <w:jc w:val="center"/>
              <w:ind w:right="165"/>
              <w:spacing w:after="0"/>
              <w:rPr>
                <w:sz w:val="20"/>
                <w:szCs w:val="20"/>
                <w:color w:val="auto"/>
              </w:rPr>
            </w:pPr>
            <w:r>
              <w:rPr>
                <w:rFonts w:ascii="Arial" w:cs="Arial" w:eastAsia="Arial" w:hAnsi="Arial"/>
                <w:sz w:val="19"/>
                <w:szCs w:val="19"/>
                <w:color w:val="auto"/>
                <w:w w:val="91"/>
              </w:rPr>
              <w:t>(State or Other Jurisdiction</w:t>
            </w:r>
          </w:p>
        </w:tc>
        <w:tc>
          <w:tcPr>
            <w:tcW w:w="5720" w:type="dxa"/>
            <w:vAlign w:val="bottom"/>
          </w:tcPr>
          <w:p>
            <w:pPr>
              <w:jc w:val="center"/>
              <w:ind w:right="25"/>
              <w:spacing w:after="0"/>
              <w:rPr>
                <w:sz w:val="20"/>
                <w:szCs w:val="20"/>
                <w:color w:val="auto"/>
              </w:rPr>
            </w:pPr>
            <w:r>
              <w:rPr>
                <w:rFonts w:ascii="Arial" w:cs="Arial" w:eastAsia="Arial" w:hAnsi="Arial"/>
                <w:sz w:val="19"/>
                <w:szCs w:val="19"/>
                <w:color w:val="auto"/>
                <w:w w:val="93"/>
              </w:rPr>
              <w:t>(Commission</w:t>
            </w:r>
          </w:p>
        </w:tc>
        <w:tc>
          <w:tcPr>
            <w:tcW w:w="1860" w:type="dxa"/>
            <w:vAlign w:val="bottom"/>
          </w:tcPr>
          <w:p>
            <w:pPr>
              <w:jc w:val="center"/>
              <w:ind w:left="345"/>
              <w:spacing w:after="0"/>
              <w:rPr>
                <w:sz w:val="20"/>
                <w:szCs w:val="20"/>
                <w:color w:val="auto"/>
              </w:rPr>
            </w:pPr>
            <w:r>
              <w:rPr>
                <w:rFonts w:ascii="Arial" w:cs="Arial" w:eastAsia="Arial" w:hAnsi="Arial"/>
                <w:sz w:val="19"/>
                <w:szCs w:val="19"/>
                <w:color w:val="auto"/>
                <w:w w:val="92"/>
              </w:rPr>
              <w:t>(IRS Employer</w:t>
            </w:r>
          </w:p>
        </w:tc>
      </w:tr>
      <w:tr>
        <w:trPr>
          <w:trHeight w:val="257"/>
        </w:trPr>
        <w:tc>
          <w:tcPr>
            <w:tcW w:w="2320" w:type="dxa"/>
            <w:vAlign w:val="bottom"/>
          </w:tcPr>
          <w:p>
            <w:pPr>
              <w:jc w:val="center"/>
              <w:ind w:right="125"/>
              <w:spacing w:after="0"/>
              <w:rPr>
                <w:sz w:val="20"/>
                <w:szCs w:val="20"/>
                <w:color w:val="auto"/>
              </w:rPr>
            </w:pPr>
            <w:r>
              <w:rPr>
                <w:rFonts w:ascii="Arial" w:cs="Arial" w:eastAsia="Arial" w:hAnsi="Arial"/>
                <w:sz w:val="19"/>
                <w:szCs w:val="19"/>
                <w:color w:val="auto"/>
                <w:w w:val="93"/>
              </w:rPr>
              <w:t>of Incorporation)</w:t>
            </w:r>
          </w:p>
        </w:tc>
        <w:tc>
          <w:tcPr>
            <w:tcW w:w="5720" w:type="dxa"/>
            <w:vAlign w:val="bottom"/>
          </w:tcPr>
          <w:p>
            <w:pPr>
              <w:jc w:val="center"/>
              <w:ind w:right="25"/>
              <w:spacing w:after="0"/>
              <w:rPr>
                <w:sz w:val="20"/>
                <w:szCs w:val="20"/>
                <w:color w:val="auto"/>
              </w:rPr>
            </w:pPr>
            <w:r>
              <w:rPr>
                <w:rFonts w:ascii="Arial" w:cs="Arial" w:eastAsia="Arial" w:hAnsi="Arial"/>
                <w:sz w:val="19"/>
                <w:szCs w:val="19"/>
                <w:color w:val="auto"/>
                <w:w w:val="94"/>
              </w:rPr>
              <w:t>File Number)</w:t>
            </w:r>
          </w:p>
        </w:tc>
        <w:tc>
          <w:tcPr>
            <w:tcW w:w="1860" w:type="dxa"/>
            <w:vAlign w:val="bottom"/>
          </w:tcPr>
          <w:p>
            <w:pPr>
              <w:jc w:val="center"/>
              <w:ind w:left="345"/>
              <w:spacing w:after="0"/>
              <w:rPr>
                <w:sz w:val="20"/>
                <w:szCs w:val="20"/>
                <w:color w:val="auto"/>
              </w:rPr>
            </w:pPr>
            <w:r>
              <w:rPr>
                <w:rFonts w:ascii="Arial" w:cs="Arial" w:eastAsia="Arial" w:hAnsi="Arial"/>
                <w:sz w:val="19"/>
                <w:szCs w:val="19"/>
                <w:color w:val="auto"/>
                <w:w w:val="96"/>
              </w:rPr>
              <w:t>Identification No.)</w:t>
            </w:r>
          </w:p>
        </w:tc>
      </w:tr>
      <w:tr>
        <w:trPr>
          <w:trHeight w:val="480"/>
        </w:trPr>
        <w:tc>
          <w:tcPr>
            <w:tcW w:w="2320" w:type="dxa"/>
            <w:vAlign w:val="bottom"/>
          </w:tcPr>
          <w:p>
            <w:pPr>
              <w:spacing w:after="0"/>
              <w:rPr>
                <w:sz w:val="24"/>
                <w:szCs w:val="24"/>
                <w:color w:val="auto"/>
              </w:rPr>
            </w:pPr>
          </w:p>
        </w:tc>
        <w:tc>
          <w:tcPr>
            <w:tcW w:w="5720" w:type="dxa"/>
            <w:vAlign w:val="bottom"/>
          </w:tcPr>
          <w:p>
            <w:pPr>
              <w:jc w:val="center"/>
              <w:ind w:right="65"/>
              <w:spacing w:after="0"/>
              <w:rPr>
                <w:sz w:val="20"/>
                <w:szCs w:val="20"/>
                <w:color w:val="auto"/>
              </w:rPr>
            </w:pPr>
            <w:r>
              <w:rPr>
                <w:rFonts w:ascii="Arial" w:cs="Arial" w:eastAsia="Arial" w:hAnsi="Arial"/>
                <w:sz w:val="19"/>
                <w:szCs w:val="19"/>
                <w:b w:val="1"/>
                <w:bCs w:val="1"/>
                <w:color w:val="auto"/>
                <w:w w:val="89"/>
              </w:rPr>
              <w:t>20 Eastbourne Terrace</w:t>
            </w:r>
          </w:p>
        </w:tc>
        <w:tc>
          <w:tcPr>
            <w:tcW w:w="1860" w:type="dxa"/>
            <w:vAlign w:val="bottom"/>
          </w:tcPr>
          <w:p>
            <w:pPr>
              <w:spacing w:after="0"/>
              <w:rPr>
                <w:sz w:val="24"/>
                <w:szCs w:val="24"/>
                <w:color w:val="auto"/>
              </w:rPr>
            </w:pPr>
          </w:p>
        </w:tc>
      </w:tr>
      <w:tr>
        <w:trPr>
          <w:trHeight w:val="228"/>
        </w:trPr>
        <w:tc>
          <w:tcPr>
            <w:tcW w:w="2320" w:type="dxa"/>
            <w:vAlign w:val="bottom"/>
          </w:tcPr>
          <w:p>
            <w:pPr>
              <w:spacing w:after="0"/>
              <w:rPr>
                <w:sz w:val="19"/>
                <w:szCs w:val="19"/>
                <w:color w:val="auto"/>
              </w:rPr>
            </w:pPr>
          </w:p>
        </w:tc>
        <w:tc>
          <w:tcPr>
            <w:tcW w:w="5720" w:type="dxa"/>
            <w:vAlign w:val="bottom"/>
          </w:tcPr>
          <w:p>
            <w:pPr>
              <w:jc w:val="center"/>
              <w:ind w:right="65"/>
              <w:spacing w:after="0"/>
              <w:rPr>
                <w:sz w:val="20"/>
                <w:szCs w:val="20"/>
                <w:color w:val="auto"/>
              </w:rPr>
            </w:pPr>
            <w:r>
              <w:rPr>
                <w:rFonts w:ascii="Arial" w:cs="Arial" w:eastAsia="Arial" w:hAnsi="Arial"/>
                <w:sz w:val="19"/>
                <w:szCs w:val="19"/>
                <w:b w:val="1"/>
                <w:bCs w:val="1"/>
                <w:color w:val="auto"/>
                <w:w w:val="95"/>
              </w:rPr>
              <w:t>London, W2 6LG</w:t>
            </w:r>
          </w:p>
        </w:tc>
        <w:tc>
          <w:tcPr>
            <w:tcW w:w="1860" w:type="dxa"/>
            <w:vAlign w:val="bottom"/>
          </w:tcPr>
          <w:p>
            <w:pPr>
              <w:spacing w:after="0"/>
              <w:rPr>
                <w:sz w:val="19"/>
                <w:szCs w:val="19"/>
                <w:color w:val="auto"/>
              </w:rPr>
            </w:pPr>
          </w:p>
        </w:tc>
      </w:tr>
      <w:tr>
        <w:trPr>
          <w:trHeight w:val="234"/>
        </w:trPr>
        <w:tc>
          <w:tcPr>
            <w:tcW w:w="2320" w:type="dxa"/>
            <w:vAlign w:val="bottom"/>
          </w:tcPr>
          <w:p>
            <w:pPr>
              <w:spacing w:after="0"/>
              <w:rPr>
                <w:sz w:val="20"/>
                <w:szCs w:val="20"/>
                <w:color w:val="auto"/>
              </w:rPr>
            </w:pPr>
          </w:p>
        </w:tc>
        <w:tc>
          <w:tcPr>
            <w:tcW w:w="5720" w:type="dxa"/>
            <w:vAlign w:val="bottom"/>
          </w:tcPr>
          <w:p>
            <w:pPr>
              <w:jc w:val="center"/>
              <w:ind w:right="65"/>
              <w:spacing w:after="0"/>
              <w:rPr>
                <w:sz w:val="20"/>
                <w:szCs w:val="20"/>
                <w:color w:val="auto"/>
              </w:rPr>
            </w:pPr>
            <w:r>
              <w:rPr>
                <w:rFonts w:ascii="Arial" w:cs="Arial" w:eastAsia="Arial" w:hAnsi="Arial"/>
                <w:sz w:val="19"/>
                <w:szCs w:val="19"/>
                <w:b w:val="1"/>
                <w:bCs w:val="1"/>
                <w:color w:val="auto"/>
                <w:w w:val="92"/>
              </w:rPr>
              <w:t>United Kingdom</w:t>
            </w:r>
          </w:p>
        </w:tc>
        <w:tc>
          <w:tcPr>
            <w:tcW w:w="1860" w:type="dxa"/>
            <w:vAlign w:val="bottom"/>
          </w:tcPr>
          <w:p>
            <w:pPr>
              <w:spacing w:after="0"/>
              <w:rPr>
                <w:sz w:val="20"/>
                <w:szCs w:val="20"/>
                <w:color w:val="auto"/>
              </w:rPr>
            </w:pPr>
          </w:p>
        </w:tc>
      </w:tr>
      <w:tr>
        <w:trPr>
          <w:trHeight w:val="241"/>
        </w:trPr>
        <w:tc>
          <w:tcPr>
            <w:tcW w:w="2320" w:type="dxa"/>
            <w:vAlign w:val="bottom"/>
          </w:tcPr>
          <w:p>
            <w:pPr>
              <w:spacing w:after="0"/>
              <w:rPr>
                <w:sz w:val="20"/>
                <w:szCs w:val="20"/>
                <w:color w:val="auto"/>
              </w:rPr>
            </w:pPr>
          </w:p>
        </w:tc>
        <w:tc>
          <w:tcPr>
            <w:tcW w:w="5720" w:type="dxa"/>
            <w:vAlign w:val="bottom"/>
          </w:tcPr>
          <w:p>
            <w:pPr>
              <w:jc w:val="center"/>
              <w:ind w:right="85"/>
              <w:spacing w:after="0"/>
              <w:rPr>
                <w:sz w:val="20"/>
                <w:szCs w:val="20"/>
                <w:color w:val="auto"/>
              </w:rPr>
            </w:pPr>
            <w:r>
              <w:rPr>
                <w:rFonts w:ascii="Arial" w:cs="Arial" w:eastAsia="Arial" w:hAnsi="Arial"/>
                <w:sz w:val="19"/>
                <w:szCs w:val="19"/>
                <w:color w:val="auto"/>
                <w:w w:val="92"/>
              </w:rPr>
              <w:t>(Address of Principal Executive Offices)</w:t>
            </w:r>
          </w:p>
        </w:tc>
        <w:tc>
          <w:tcPr>
            <w:tcW w:w="1860" w:type="dxa"/>
            <w:vAlign w:val="bottom"/>
          </w:tcPr>
          <w:p>
            <w:pPr>
              <w:spacing w:after="0"/>
              <w:rPr>
                <w:sz w:val="20"/>
                <w:szCs w:val="20"/>
                <w:color w:val="auto"/>
              </w:rPr>
            </w:pPr>
          </w:p>
        </w:tc>
      </w:tr>
      <w:tr>
        <w:trPr>
          <w:trHeight w:val="443"/>
        </w:trPr>
        <w:tc>
          <w:tcPr>
            <w:tcW w:w="2320" w:type="dxa"/>
            <w:vAlign w:val="bottom"/>
          </w:tcPr>
          <w:p>
            <w:pPr>
              <w:spacing w:after="0"/>
              <w:rPr>
                <w:sz w:val="24"/>
                <w:szCs w:val="24"/>
                <w:color w:val="auto"/>
              </w:rPr>
            </w:pPr>
          </w:p>
        </w:tc>
        <w:tc>
          <w:tcPr>
            <w:tcW w:w="5720" w:type="dxa"/>
            <w:vAlign w:val="bottom"/>
          </w:tcPr>
          <w:p>
            <w:pPr>
              <w:jc w:val="center"/>
              <w:ind w:right="65"/>
              <w:spacing w:after="0"/>
              <w:rPr>
                <w:sz w:val="20"/>
                <w:szCs w:val="20"/>
                <w:color w:val="auto"/>
              </w:rPr>
            </w:pPr>
            <w:r>
              <w:rPr>
                <w:rFonts w:ascii="Arial" w:cs="Arial" w:eastAsia="Arial" w:hAnsi="Arial"/>
                <w:sz w:val="19"/>
                <w:szCs w:val="19"/>
                <w:b w:val="1"/>
                <w:bCs w:val="1"/>
                <w:color w:val="auto"/>
                <w:w w:val="91"/>
              </w:rPr>
              <w:t>+44 20 33250660</w:t>
            </w:r>
          </w:p>
        </w:tc>
        <w:tc>
          <w:tcPr>
            <w:tcW w:w="1860" w:type="dxa"/>
            <w:vAlign w:val="bottom"/>
          </w:tcPr>
          <w:p>
            <w:pPr>
              <w:spacing w:after="0"/>
              <w:rPr>
                <w:sz w:val="24"/>
                <w:szCs w:val="24"/>
                <w:color w:val="auto"/>
              </w:rPr>
            </w:pPr>
          </w:p>
        </w:tc>
      </w:tr>
      <w:tr>
        <w:trPr>
          <w:trHeight w:val="241"/>
        </w:trPr>
        <w:tc>
          <w:tcPr>
            <w:tcW w:w="2320" w:type="dxa"/>
            <w:vAlign w:val="bottom"/>
          </w:tcPr>
          <w:p>
            <w:pPr>
              <w:spacing w:after="0"/>
              <w:rPr>
                <w:sz w:val="20"/>
                <w:szCs w:val="20"/>
                <w:color w:val="auto"/>
              </w:rPr>
            </w:pPr>
          </w:p>
        </w:tc>
        <w:tc>
          <w:tcPr>
            <w:tcW w:w="5720" w:type="dxa"/>
            <w:vAlign w:val="bottom"/>
          </w:tcPr>
          <w:p>
            <w:pPr>
              <w:jc w:val="center"/>
              <w:ind w:right="85"/>
              <w:spacing w:after="0"/>
              <w:rPr>
                <w:sz w:val="20"/>
                <w:szCs w:val="20"/>
                <w:color w:val="auto"/>
              </w:rPr>
            </w:pPr>
            <w:r>
              <w:rPr>
                <w:rFonts w:ascii="Arial" w:cs="Arial" w:eastAsia="Arial" w:hAnsi="Arial"/>
                <w:sz w:val="19"/>
                <w:szCs w:val="19"/>
                <w:color w:val="auto"/>
                <w:w w:val="91"/>
              </w:rPr>
              <w:t>(Registrant’s Telephone Number, Including Area Code)</w:t>
            </w:r>
          </w:p>
        </w:tc>
        <w:tc>
          <w:tcPr>
            <w:tcW w:w="1860" w:type="dxa"/>
            <w:vAlign w:val="bottom"/>
          </w:tcPr>
          <w:p>
            <w:pPr>
              <w:spacing w:after="0"/>
              <w:rPr>
                <w:sz w:val="20"/>
                <w:szCs w:val="20"/>
                <w:color w:val="auto"/>
              </w:rPr>
            </w:pPr>
          </w:p>
        </w:tc>
      </w:tr>
      <w:tr>
        <w:trPr>
          <w:trHeight w:val="443"/>
        </w:trPr>
        <w:tc>
          <w:tcPr>
            <w:tcW w:w="2320" w:type="dxa"/>
            <w:vAlign w:val="bottom"/>
          </w:tcPr>
          <w:p>
            <w:pPr>
              <w:spacing w:after="0"/>
              <w:rPr>
                <w:sz w:val="24"/>
                <w:szCs w:val="24"/>
                <w:color w:val="auto"/>
              </w:rPr>
            </w:pPr>
          </w:p>
        </w:tc>
        <w:tc>
          <w:tcPr>
            <w:tcW w:w="5720" w:type="dxa"/>
            <w:vAlign w:val="bottom"/>
          </w:tcPr>
          <w:p>
            <w:pPr>
              <w:jc w:val="center"/>
              <w:ind w:right="65"/>
              <w:spacing w:after="0"/>
              <w:rPr>
                <w:sz w:val="20"/>
                <w:szCs w:val="20"/>
                <w:color w:val="auto"/>
              </w:rPr>
            </w:pPr>
            <w:r>
              <w:rPr>
                <w:rFonts w:ascii="Arial" w:cs="Arial" w:eastAsia="Arial" w:hAnsi="Arial"/>
                <w:sz w:val="19"/>
                <w:szCs w:val="19"/>
                <w:b w:val="1"/>
                <w:bCs w:val="1"/>
                <w:color w:val="auto"/>
                <w:w w:val="97"/>
              </w:rPr>
              <w:t>N/A</w:t>
            </w:r>
          </w:p>
        </w:tc>
        <w:tc>
          <w:tcPr>
            <w:tcW w:w="1860" w:type="dxa"/>
            <w:vAlign w:val="bottom"/>
          </w:tcPr>
          <w:p>
            <w:pPr>
              <w:spacing w:after="0"/>
              <w:rPr>
                <w:sz w:val="24"/>
                <w:szCs w:val="24"/>
                <w:color w:val="auto"/>
              </w:rPr>
            </w:pPr>
          </w:p>
        </w:tc>
      </w:tr>
      <w:tr>
        <w:trPr>
          <w:trHeight w:val="241"/>
        </w:trPr>
        <w:tc>
          <w:tcPr>
            <w:tcW w:w="2320" w:type="dxa"/>
            <w:vAlign w:val="bottom"/>
          </w:tcPr>
          <w:p>
            <w:pPr>
              <w:spacing w:after="0"/>
              <w:rPr>
                <w:sz w:val="20"/>
                <w:szCs w:val="20"/>
                <w:color w:val="auto"/>
              </w:rPr>
            </w:pPr>
          </w:p>
        </w:tc>
        <w:tc>
          <w:tcPr>
            <w:tcW w:w="5720" w:type="dxa"/>
            <w:vAlign w:val="bottom"/>
          </w:tcPr>
          <w:p>
            <w:pPr>
              <w:jc w:val="center"/>
              <w:ind w:right="65"/>
              <w:spacing w:after="0"/>
              <w:rPr>
                <w:sz w:val="20"/>
                <w:szCs w:val="20"/>
                <w:color w:val="auto"/>
              </w:rPr>
            </w:pPr>
            <w:r>
              <w:rPr>
                <w:rFonts w:ascii="Arial" w:cs="Arial" w:eastAsia="Arial" w:hAnsi="Arial"/>
                <w:sz w:val="19"/>
                <w:szCs w:val="19"/>
                <w:color w:val="auto"/>
                <w:w w:val="90"/>
              </w:rPr>
              <w:t>(Former Name or Former Address, if Changed Since Last Report)</w:t>
            </w:r>
          </w:p>
        </w:tc>
        <w:tc>
          <w:tcPr>
            <w:tcW w:w="1860" w:type="dxa"/>
            <w:vAlign w:val="bottom"/>
          </w:tcPr>
          <w:p>
            <w:pPr>
              <w:spacing w:after="0"/>
              <w:rPr>
                <w:sz w:val="20"/>
                <w:szCs w:val="20"/>
                <w:color w:val="auto"/>
              </w:rPr>
            </w:pPr>
          </w:p>
        </w:tc>
      </w:tr>
    </w:tbl>
    <w:p>
      <w:pPr>
        <w:spacing w:after="0" w:line="215" w:lineRule="exact"/>
        <w:rPr>
          <w:sz w:val="24"/>
          <w:szCs w:val="24"/>
          <w:color w:val="auto"/>
        </w:rPr>
      </w:pPr>
    </w:p>
    <w:p>
      <w:pPr>
        <w:ind w:left="6" w:right="540"/>
        <w:spacing w:after="0" w:line="275" w:lineRule="auto"/>
        <w:rPr>
          <w:sz w:val="20"/>
          <w:szCs w:val="20"/>
          <w:color w:val="auto"/>
        </w:rPr>
      </w:pPr>
      <w:r>
        <w:rPr>
          <w:rFonts w:ascii="Arial" w:cs="Arial" w:eastAsia="Arial" w:hAnsi="Arial"/>
          <w:sz w:val="19"/>
          <w:szCs w:val="19"/>
          <w:color w:val="auto"/>
        </w:rPr>
        <w:t>Check the appropriate box below if the Form 8-K is intended to simultaneously satisfy the filing obligation of the registrant under any of the following provisions (see General Instructions A.2. below):</w:t>
      </w:r>
    </w:p>
    <w:p>
      <w:pPr>
        <w:spacing w:after="0" w:line="198" w:lineRule="exact"/>
        <w:rPr>
          <w:sz w:val="24"/>
          <w:szCs w:val="24"/>
          <w:color w:val="auto"/>
        </w:rPr>
      </w:pPr>
    </w:p>
    <w:p>
      <w:pPr>
        <w:ind w:left="226" w:hanging="226"/>
        <w:spacing w:after="0"/>
        <w:tabs>
          <w:tab w:leader="none" w:pos="226" w:val="left"/>
        </w:tabs>
        <w:numPr>
          <w:ilvl w:val="0"/>
          <w:numId w:val="1"/>
        </w:numPr>
        <w:rPr>
          <w:rFonts w:ascii="MS PGothic" w:cs="MS PGothic" w:eastAsia="MS PGothic" w:hAnsi="MS PGothic"/>
          <w:sz w:val="19"/>
          <w:szCs w:val="19"/>
          <w:color w:val="auto"/>
        </w:rPr>
      </w:pPr>
      <w:r>
        <w:rPr>
          <w:rFonts w:ascii="Arial" w:cs="Arial" w:eastAsia="Arial" w:hAnsi="Arial"/>
          <w:sz w:val="19"/>
          <w:szCs w:val="19"/>
          <w:color w:val="auto"/>
        </w:rPr>
        <w:t>Written communications pursuant to Rule 425 under the Securities Act (17 CFR 230.425)</w:t>
      </w:r>
    </w:p>
    <w:p>
      <w:pPr>
        <w:spacing w:after="0" w:line="237" w:lineRule="exact"/>
        <w:rPr>
          <w:rFonts w:ascii="MS PGothic" w:cs="MS PGothic" w:eastAsia="MS PGothic" w:hAnsi="MS PGothic"/>
          <w:sz w:val="19"/>
          <w:szCs w:val="19"/>
          <w:color w:val="auto"/>
        </w:rPr>
      </w:pPr>
    </w:p>
    <w:p>
      <w:pPr>
        <w:ind w:left="226" w:hanging="226"/>
        <w:spacing w:after="0"/>
        <w:tabs>
          <w:tab w:leader="none" w:pos="226" w:val="left"/>
        </w:tabs>
        <w:numPr>
          <w:ilvl w:val="0"/>
          <w:numId w:val="1"/>
        </w:numPr>
        <w:rPr>
          <w:rFonts w:ascii="MS PGothic" w:cs="MS PGothic" w:eastAsia="MS PGothic" w:hAnsi="MS PGothic"/>
          <w:sz w:val="19"/>
          <w:szCs w:val="19"/>
          <w:color w:val="auto"/>
        </w:rPr>
      </w:pPr>
      <w:r>
        <w:rPr>
          <w:rFonts w:ascii="Arial" w:cs="Arial" w:eastAsia="Arial" w:hAnsi="Arial"/>
          <w:sz w:val="19"/>
          <w:szCs w:val="19"/>
          <w:color w:val="auto"/>
        </w:rPr>
        <w:t>Soliciting material pursuant to Rule 14a-12 under the Exchange Act (17 CFR 240.14a-12)</w:t>
      </w:r>
    </w:p>
    <w:p>
      <w:pPr>
        <w:spacing w:after="0" w:line="237" w:lineRule="exact"/>
        <w:rPr>
          <w:rFonts w:ascii="MS PGothic" w:cs="MS PGothic" w:eastAsia="MS PGothic" w:hAnsi="MS PGothic"/>
          <w:sz w:val="19"/>
          <w:szCs w:val="19"/>
          <w:color w:val="auto"/>
        </w:rPr>
      </w:pPr>
    </w:p>
    <w:p>
      <w:pPr>
        <w:ind w:left="226" w:hanging="226"/>
        <w:spacing w:after="0"/>
        <w:tabs>
          <w:tab w:leader="none" w:pos="226" w:val="left"/>
        </w:tabs>
        <w:numPr>
          <w:ilvl w:val="0"/>
          <w:numId w:val="1"/>
        </w:numPr>
        <w:rPr>
          <w:rFonts w:ascii="MS PGothic" w:cs="MS PGothic" w:eastAsia="MS PGothic" w:hAnsi="MS PGothic"/>
          <w:sz w:val="19"/>
          <w:szCs w:val="19"/>
          <w:color w:val="auto"/>
        </w:rPr>
      </w:pPr>
      <w:r>
        <w:rPr>
          <w:rFonts w:ascii="Arial" w:cs="Arial" w:eastAsia="Arial" w:hAnsi="Arial"/>
          <w:sz w:val="19"/>
          <w:szCs w:val="19"/>
          <w:color w:val="auto"/>
        </w:rPr>
        <w:t>Pre-commencement communications pursuant to Rule 14d-2(b) under the Exchange Act (17 CFR 240.14d-2(b))</w:t>
      </w:r>
    </w:p>
    <w:p>
      <w:pPr>
        <w:spacing w:after="0" w:line="237" w:lineRule="exact"/>
        <w:rPr>
          <w:rFonts w:ascii="MS PGothic" w:cs="MS PGothic" w:eastAsia="MS PGothic" w:hAnsi="MS PGothic"/>
          <w:sz w:val="19"/>
          <w:szCs w:val="19"/>
          <w:color w:val="auto"/>
        </w:rPr>
      </w:pPr>
    </w:p>
    <w:p>
      <w:pPr>
        <w:ind w:left="226" w:hanging="226"/>
        <w:spacing w:after="0"/>
        <w:tabs>
          <w:tab w:leader="none" w:pos="226" w:val="left"/>
        </w:tabs>
        <w:numPr>
          <w:ilvl w:val="0"/>
          <w:numId w:val="1"/>
        </w:numPr>
        <w:rPr>
          <w:rFonts w:ascii="MS PGothic" w:cs="MS PGothic" w:eastAsia="MS PGothic" w:hAnsi="MS PGothic"/>
          <w:sz w:val="19"/>
          <w:szCs w:val="19"/>
          <w:color w:val="auto"/>
        </w:rPr>
      </w:pPr>
      <w:r>
        <w:rPr>
          <w:rFonts w:ascii="Arial" w:cs="Arial" w:eastAsia="Arial" w:hAnsi="Arial"/>
          <w:sz w:val="19"/>
          <w:szCs w:val="19"/>
          <w:color w:val="auto"/>
        </w:rPr>
        <w:t>Pre-commencement communications pursuant to Rule 13e-4(c) under the Exchange Act (17 CFR 240.13e-4(c))</w:t>
      </w:r>
    </w:p>
    <w:p>
      <w:pPr>
        <w:spacing w:after="0" w:line="238" w:lineRule="exact"/>
        <w:rPr>
          <w:sz w:val="24"/>
          <w:szCs w:val="24"/>
          <w:color w:val="auto"/>
        </w:rPr>
      </w:pPr>
    </w:p>
    <w:p>
      <w:pPr>
        <w:ind w:left="6" w:right="20"/>
        <w:spacing w:after="0" w:line="275" w:lineRule="auto"/>
        <w:rPr>
          <w:sz w:val="20"/>
          <w:szCs w:val="20"/>
          <w:color w:val="auto"/>
        </w:rPr>
      </w:pPr>
      <w:r>
        <w:rPr>
          <w:rFonts w:ascii="Arial" w:cs="Arial" w:eastAsia="Arial" w:hAnsi="Arial"/>
          <w:sz w:val="19"/>
          <w:szCs w:val="19"/>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320" w:lineRule="exact"/>
        <w:rPr>
          <w:sz w:val="24"/>
          <w:szCs w:val="24"/>
          <w:color w:val="auto"/>
        </w:rPr>
      </w:pPr>
    </w:p>
    <w:p>
      <w:pPr>
        <w:ind w:left="8066"/>
        <w:spacing w:after="0" w:line="219" w:lineRule="exact"/>
        <w:tabs>
          <w:tab w:leader="none" w:pos="11646" w:val="left"/>
        </w:tabs>
        <w:rPr>
          <w:sz w:val="20"/>
          <w:szCs w:val="20"/>
          <w:color w:val="auto"/>
        </w:rPr>
      </w:pPr>
      <w:r>
        <w:rPr>
          <w:rFonts w:ascii="Arial" w:cs="Arial" w:eastAsia="Arial" w:hAnsi="Arial"/>
          <w:sz w:val="19"/>
          <w:szCs w:val="19"/>
          <w:color w:val="auto"/>
        </w:rPr>
        <w:t>Emerging growth company</w:t>
      </w:r>
      <w:r>
        <w:rPr>
          <w:sz w:val="20"/>
          <w:szCs w:val="20"/>
          <w:color w:val="auto"/>
        </w:rPr>
        <w:tab/>
      </w:r>
      <w:r>
        <w:rPr>
          <w:rFonts w:ascii="MS PGothic" w:cs="MS PGothic" w:eastAsia="MS PGothic" w:hAnsi="MS PGothic"/>
          <w:sz w:val="18"/>
          <w:szCs w:val="18"/>
          <w:color w:val="auto"/>
        </w:rPr>
        <w:t>☐</w:t>
      </w:r>
    </w:p>
    <w:p>
      <w:pPr>
        <w:spacing w:after="0" w:line="301" w:lineRule="exact"/>
        <w:rPr>
          <w:sz w:val="24"/>
          <w:szCs w:val="24"/>
          <w:color w:val="auto"/>
        </w:rPr>
      </w:pPr>
    </w:p>
    <w:p>
      <w:pPr>
        <w:ind w:left="6"/>
        <w:spacing w:after="0" w:line="275" w:lineRule="auto"/>
        <w:rPr>
          <w:sz w:val="20"/>
          <w:szCs w:val="20"/>
          <w:color w:val="auto"/>
        </w:rPr>
      </w:pPr>
      <w:r>
        <w:rPr>
          <w:rFonts w:ascii="Arial" w:cs="Arial" w:eastAsia="Arial" w:hAnsi="Arial"/>
          <w:sz w:val="19"/>
          <w:szCs w:val="19"/>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spacing w:after="0" w:line="92" w:lineRule="exact"/>
        <w:rPr>
          <w:sz w:val="24"/>
          <w:szCs w:val="24"/>
          <w:color w:val="auto"/>
        </w:rPr>
      </w:pPr>
    </w:p>
    <w:p>
      <w:pPr>
        <w:ind w:left="11666"/>
        <w:spacing w:after="0" w:line="191" w:lineRule="exact"/>
        <w:rPr>
          <w:sz w:val="20"/>
          <w:szCs w:val="20"/>
          <w:color w:val="auto"/>
        </w:rPr>
      </w:pPr>
      <w:r>
        <w:rPr>
          <w:rFonts w:ascii="MS PGothic" w:cs="MS PGothic" w:eastAsia="MS PGothic" w:hAnsi="MS PGothic"/>
          <w:sz w:val="19"/>
          <w:szCs w:val="19"/>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133350</wp:posOffset>
            </wp:positionV>
            <wp:extent cx="7650480" cy="438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650480" cy="43815"/>
                    </a:xfrm>
                    <a:prstGeom prst="rect">
                      <a:avLst/>
                    </a:prstGeom>
                    <a:noFill/>
                  </pic:spPr>
                </pic:pic>
              </a:graphicData>
            </a:graphic>
          </wp:anchor>
        </w:drawing>
      </w:r>
    </w:p>
    <w:p>
      <w:pPr>
        <w:sectPr>
          <w:pgSz w:w="12240" w:h="15840" w:orient="portrait"/>
          <w:cols w:equalWidth="0" w:num="1">
            <w:col w:w="12006"/>
          </w:cols>
          <w:pgMar w:left="114" w:top="835" w:right="120" w:bottom="1440" w:gutter="0" w:footer="0" w:header="0"/>
        </w:sectPr>
      </w:pPr>
    </w:p>
    <w:bookmarkStart w:id="1" w:name="page2"/>
    <w:bookmarkEnd w:id="1"/>
    <w:p>
      <w:pPr>
        <w:spacing w:after="0"/>
        <w:rPr>
          <w:sz w:val="20"/>
          <w:szCs w:val="20"/>
          <w:color w:val="auto"/>
        </w:rPr>
      </w:pPr>
      <w:r>
        <w:rPr>
          <w:rFonts w:ascii="Arial" w:cs="Arial" w:eastAsia="Arial" w:hAnsi="Arial"/>
          <w:sz w:val="19"/>
          <w:szCs w:val="19"/>
          <w:b w:val="1"/>
          <w:bCs w:val="1"/>
          <w:color w:val="auto"/>
        </w:rPr>
        <w:t>Item 1.01 Entry into a Material Definitive Agreement</w:t>
      </w:r>
    </w:p>
    <w:p>
      <w:pPr>
        <w:spacing w:after="0" w:line="244" w:lineRule="exact"/>
        <w:rPr>
          <w:sz w:val="20"/>
          <w:szCs w:val="20"/>
          <w:color w:val="auto"/>
        </w:rPr>
      </w:pPr>
    </w:p>
    <w:p>
      <w:pPr>
        <w:spacing w:after="0"/>
        <w:rPr>
          <w:sz w:val="20"/>
          <w:szCs w:val="20"/>
          <w:color w:val="auto"/>
        </w:rPr>
      </w:pPr>
      <w:r>
        <w:rPr>
          <w:rFonts w:ascii="Arial" w:cs="Arial" w:eastAsia="Arial" w:hAnsi="Arial"/>
          <w:sz w:val="19"/>
          <w:szCs w:val="19"/>
          <w:i w:val="1"/>
          <w:iCs w:val="1"/>
          <w:color w:val="auto"/>
        </w:rPr>
        <w:t>Commitment Letter</w:t>
      </w:r>
    </w:p>
    <w:p>
      <w:pPr>
        <w:spacing w:after="0" w:line="238" w:lineRule="exact"/>
        <w:rPr>
          <w:sz w:val="20"/>
          <w:szCs w:val="20"/>
          <w:color w:val="auto"/>
        </w:rPr>
      </w:pPr>
    </w:p>
    <w:p>
      <w:pPr>
        <w:ind w:right="240"/>
        <w:spacing w:after="0" w:line="304" w:lineRule="auto"/>
        <w:rPr>
          <w:sz w:val="20"/>
          <w:szCs w:val="20"/>
          <w:color w:val="auto"/>
        </w:rPr>
      </w:pPr>
      <w:r>
        <w:rPr>
          <w:rFonts w:ascii="Arial" w:cs="Arial" w:eastAsia="Arial" w:hAnsi="Arial"/>
          <w:sz w:val="18"/>
          <w:szCs w:val="18"/>
          <w:color w:val="auto"/>
        </w:rPr>
        <w:t>On February 25, 2019, LivaNova Plc (the “Company”) entered into a commitment letter (the “Commitment Letter”) with Bank of America Merrill Lynch International DAC, Barclays Bank PLC, BNP Paribas, London Branch and Intesa Sanpaolo S.p.A. (the last four together, the “Banks”.)</w:t>
      </w:r>
    </w:p>
    <w:p>
      <w:pPr>
        <w:spacing w:after="0" w:line="160" w:lineRule="exact"/>
        <w:rPr>
          <w:sz w:val="20"/>
          <w:szCs w:val="20"/>
          <w:color w:val="auto"/>
        </w:rPr>
      </w:pPr>
    </w:p>
    <w:p>
      <w:pPr>
        <w:ind w:right="520"/>
        <w:spacing w:after="0" w:line="275" w:lineRule="auto"/>
        <w:rPr>
          <w:sz w:val="20"/>
          <w:szCs w:val="20"/>
          <w:color w:val="auto"/>
        </w:rPr>
      </w:pPr>
      <w:r>
        <w:rPr>
          <w:rFonts w:ascii="Arial" w:cs="Arial" w:eastAsia="Arial" w:hAnsi="Arial"/>
          <w:sz w:val="19"/>
          <w:szCs w:val="19"/>
          <w:color w:val="auto"/>
        </w:rPr>
        <w:t>Pursuant to the Commitment Letter, the Company appoints each of the Banks as a mandated lead arranger, underwriter and bookrunner in respect of a multicurrency term loan facility (the “Facility”) in the aggregate amount of $350 million.</w:t>
      </w:r>
    </w:p>
    <w:p>
      <w:pPr>
        <w:spacing w:after="0" w:line="184" w:lineRule="exact"/>
        <w:rPr>
          <w:sz w:val="20"/>
          <w:szCs w:val="20"/>
          <w:color w:val="auto"/>
        </w:rPr>
      </w:pPr>
    </w:p>
    <w:p>
      <w:pPr>
        <w:spacing w:after="0" w:line="291" w:lineRule="auto"/>
        <w:rPr>
          <w:sz w:val="20"/>
          <w:szCs w:val="20"/>
          <w:color w:val="auto"/>
        </w:rPr>
      </w:pPr>
      <w:r>
        <w:rPr>
          <w:rFonts w:ascii="Arial" w:cs="Arial" w:eastAsia="Arial" w:hAnsi="Arial"/>
          <w:sz w:val="17"/>
          <w:szCs w:val="17"/>
          <w:color w:val="auto"/>
        </w:rPr>
        <w:t>The commitment of the Banks to arrange and underwrite the Facility is made subject to the satisfaction of certain conditions precedent, including, but not limited to the following: (a) compliance by the Company with all the terms of the Commitment Letter, the appended term sheet, and the fee letter in respect of fees owed to the Banks (the “Fee Letter”) (one such condition precedent being the repayment of any funds drawn under the 2018 $70 million revolving facility made available by Barclays Bank PLC), (b) accuracy and completeness of the Company (or group company) representations and warranties required by each of the Commitment Letter, the associated term sheet and the Fee Letter, (c) the execution and delivery of the agreement in respect of the Facility and associated documents no later than April 26, 2019 and (d) satisfactory completion of client identification procedures.</w:t>
      </w:r>
    </w:p>
    <w:p>
      <w:pPr>
        <w:spacing w:after="0" w:line="175" w:lineRule="exact"/>
        <w:rPr>
          <w:sz w:val="20"/>
          <w:szCs w:val="20"/>
          <w:color w:val="auto"/>
        </w:rPr>
      </w:pPr>
    </w:p>
    <w:p>
      <w:pPr>
        <w:spacing w:after="0"/>
        <w:rPr>
          <w:sz w:val="20"/>
          <w:szCs w:val="20"/>
          <w:color w:val="auto"/>
        </w:rPr>
      </w:pPr>
      <w:r>
        <w:rPr>
          <w:rFonts w:ascii="Arial" w:cs="Arial" w:eastAsia="Arial" w:hAnsi="Arial"/>
          <w:sz w:val="19"/>
          <w:szCs w:val="19"/>
          <w:color w:val="auto"/>
        </w:rPr>
        <w:t>Pursuant to the Fee Letter, the Company is obligated to pay certain fees to the Banks.</w:t>
      </w:r>
    </w:p>
    <w:p>
      <w:pPr>
        <w:spacing w:after="0" w:line="23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Item 2.03 Creation of a Direct Financial Obligation</w:t>
      </w:r>
    </w:p>
    <w:p>
      <w:pPr>
        <w:spacing w:after="0" w:line="244" w:lineRule="exact"/>
        <w:rPr>
          <w:sz w:val="20"/>
          <w:szCs w:val="20"/>
          <w:color w:val="auto"/>
        </w:rPr>
      </w:pPr>
    </w:p>
    <w:p>
      <w:pPr>
        <w:spacing w:after="0"/>
        <w:rPr>
          <w:sz w:val="20"/>
          <w:szCs w:val="20"/>
          <w:color w:val="auto"/>
        </w:rPr>
      </w:pPr>
      <w:r>
        <w:rPr>
          <w:rFonts w:ascii="Arial" w:cs="Arial" w:eastAsia="Arial" w:hAnsi="Arial"/>
          <w:sz w:val="19"/>
          <w:szCs w:val="19"/>
          <w:color w:val="auto"/>
        </w:rPr>
        <w:t>The information set forth in Item 1.01 of this Current Report on Form 8-K is incorporated by reference into this Item 2.03.</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79"/>
        <w:spacing w:after="0"/>
        <w:rPr>
          <w:sz w:val="20"/>
          <w:szCs w:val="20"/>
          <w:color w:val="auto"/>
        </w:rPr>
      </w:pPr>
      <w:r>
        <w:rPr>
          <w:rFonts w:ascii="Arial" w:cs="Arial" w:eastAsia="Arial" w:hAnsi="Arial"/>
          <w:sz w:val="19"/>
          <w:szCs w:val="19"/>
          <w:color w:val="auto"/>
        </w:rPr>
        <w:t>2</w:t>
      </w:r>
    </w:p>
    <w:p>
      <w:pPr>
        <w:sectPr>
          <w:pgSz w:w="12240" w:h="15840" w:orient="portrait"/>
          <w:cols w:equalWidth="0" w:num="1">
            <w:col w:w="11920"/>
          </w:cols>
          <w:pgMar w:left="120" w:top="236" w:right="200" w:bottom="1440" w:gutter="0" w:footer="0" w:header="0"/>
        </w:sectPr>
      </w:pPr>
    </w:p>
    <w:bookmarkStart w:id="2" w:name="page3"/>
    <w:bookmarkEnd w:id="2"/>
    <w:p>
      <w:pPr>
        <w:jc w:val="center"/>
        <w:ind w:right="-339"/>
        <w:spacing w:after="0"/>
        <w:rPr>
          <w:sz w:val="20"/>
          <w:szCs w:val="20"/>
          <w:color w:val="auto"/>
        </w:rPr>
      </w:pPr>
      <w:r>
        <w:rPr>
          <w:rFonts w:ascii="Arial" w:cs="Arial" w:eastAsia="Arial" w:hAnsi="Arial"/>
          <w:sz w:val="19"/>
          <w:szCs w:val="19"/>
          <w:b w:val="1"/>
          <w:bCs w:val="1"/>
          <w:color w:val="auto"/>
        </w:rPr>
        <w:t>SIGNATURE</w:t>
      </w:r>
    </w:p>
    <w:p>
      <w:pPr>
        <w:spacing w:after="0" w:line="244" w:lineRule="exact"/>
        <w:rPr>
          <w:sz w:val="20"/>
          <w:szCs w:val="20"/>
          <w:color w:val="auto"/>
        </w:rPr>
      </w:pPr>
    </w:p>
    <w:p>
      <w:pPr>
        <w:ind w:firstLine="756"/>
        <w:spacing w:after="0" w:line="275" w:lineRule="auto"/>
        <w:rPr>
          <w:sz w:val="20"/>
          <w:szCs w:val="20"/>
          <w:color w:val="auto"/>
        </w:rPr>
      </w:pPr>
      <w:r>
        <w:rPr>
          <w:rFonts w:ascii="Arial" w:cs="Arial" w:eastAsia="Arial" w:hAnsi="Arial"/>
          <w:sz w:val="19"/>
          <w:szCs w:val="19"/>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69" w:lineRule="exact"/>
        <w:rPr>
          <w:sz w:val="20"/>
          <w:szCs w:val="20"/>
          <w:color w:val="auto"/>
        </w:rPr>
      </w:pPr>
    </w:p>
    <w:p>
      <w:pPr>
        <w:ind w:left="6040"/>
        <w:spacing w:after="0"/>
        <w:rPr>
          <w:sz w:val="20"/>
          <w:szCs w:val="20"/>
          <w:color w:val="auto"/>
        </w:rPr>
      </w:pPr>
      <w:r>
        <w:rPr>
          <w:rFonts w:ascii="Arial" w:cs="Arial" w:eastAsia="Arial" w:hAnsi="Arial"/>
          <w:sz w:val="19"/>
          <w:szCs w:val="19"/>
          <w:color w:val="auto"/>
        </w:rPr>
        <w:t>LivaNova PLC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40"/>
        <w:spacing w:after="0"/>
        <w:tabs>
          <w:tab w:leader="none" w:pos="6020" w:val="left"/>
        </w:tabs>
        <w:rPr>
          <w:sz w:val="20"/>
          <w:szCs w:val="20"/>
          <w:color w:val="auto"/>
        </w:rPr>
      </w:pPr>
      <w:r>
        <w:rPr>
          <w:rFonts w:ascii="Arial" w:cs="Arial" w:eastAsia="Arial" w:hAnsi="Arial"/>
          <w:sz w:val="19"/>
          <w:szCs w:val="19"/>
          <w:color w:val="auto"/>
        </w:rPr>
        <w:t>Date: March 1, 2019</w:t>
      </w:r>
      <w:r>
        <w:rPr>
          <w:sz w:val="20"/>
          <w:szCs w:val="20"/>
          <w:color w:val="auto"/>
        </w:rPr>
        <w:tab/>
      </w:r>
      <w:r>
        <w:rPr>
          <w:rFonts w:ascii="Arial" w:cs="Arial" w:eastAsia="Arial" w:hAnsi="Arial"/>
          <w:sz w:val="17"/>
          <w:szCs w:val="17"/>
          <w:color w:val="auto"/>
        </w:rPr>
        <w:t>By:</w:t>
      </w:r>
      <w:r>
        <w:rPr>
          <w:rFonts w:ascii="Arial" w:cs="Arial" w:eastAsia="Arial" w:hAnsi="Arial"/>
          <w:sz w:val="17"/>
          <w:szCs w:val="17"/>
          <w:u w:val="single" w:color="auto"/>
          <w:color w:val="auto"/>
        </w:rPr>
        <w:t>/s/ Catherine Moroz</w:t>
      </w:r>
    </w:p>
    <w:p>
      <w:pPr>
        <w:spacing w:after="0" w:line="67" w:lineRule="exact"/>
        <w:rPr>
          <w:sz w:val="20"/>
          <w:szCs w:val="20"/>
          <w:color w:val="auto"/>
        </w:rPr>
      </w:pPr>
    </w:p>
    <w:p>
      <w:pPr>
        <w:ind w:left="6260"/>
        <w:spacing w:after="0"/>
        <w:rPr>
          <w:sz w:val="20"/>
          <w:szCs w:val="20"/>
          <w:color w:val="auto"/>
        </w:rPr>
      </w:pPr>
      <w:r>
        <w:rPr>
          <w:rFonts w:ascii="Arial" w:cs="Arial" w:eastAsia="Arial" w:hAnsi="Arial"/>
          <w:sz w:val="19"/>
          <w:szCs w:val="19"/>
          <w:color w:val="auto"/>
        </w:rPr>
        <w:t>Name: Catherine Moroz</w:t>
      </w:r>
    </w:p>
    <w:p>
      <w:pPr>
        <w:spacing w:after="0" w:line="67" w:lineRule="exact"/>
        <w:rPr>
          <w:sz w:val="20"/>
          <w:szCs w:val="20"/>
          <w:color w:val="auto"/>
        </w:rPr>
      </w:pPr>
    </w:p>
    <w:p>
      <w:pPr>
        <w:ind w:left="6260"/>
        <w:spacing w:after="0"/>
        <w:rPr>
          <w:sz w:val="20"/>
          <w:szCs w:val="20"/>
          <w:color w:val="auto"/>
        </w:rPr>
      </w:pPr>
      <w:r>
        <w:rPr>
          <w:rFonts w:ascii="Arial" w:cs="Arial" w:eastAsia="Arial" w:hAnsi="Arial"/>
          <w:sz w:val="19"/>
          <w:szCs w:val="19"/>
          <w:color w:val="auto"/>
        </w:rPr>
        <w:t>Title: Company Secretary</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339"/>
        <w:spacing w:after="0"/>
        <w:rPr>
          <w:sz w:val="20"/>
          <w:szCs w:val="20"/>
          <w:color w:val="auto"/>
        </w:rPr>
      </w:pPr>
      <w:r>
        <w:rPr>
          <w:rFonts w:ascii="Arial" w:cs="Arial" w:eastAsia="Arial" w:hAnsi="Arial"/>
          <w:sz w:val="19"/>
          <w:szCs w:val="19"/>
          <w:color w:val="auto"/>
        </w:rPr>
        <w:t>3</w:t>
      </w:r>
    </w:p>
    <w:sectPr>
      <w:pgSz w:w="12240" w:h="15840" w:orient="portrait"/>
      <w:cols w:equalWidth="0" w:num="1">
        <w:col w:w="11660"/>
      </w:cols>
      <w:pgMar w:left="120" w:top="236" w:right="46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2019-12-15T19:19:44Z</dcterms:created>
  <dcterms:modified xsi:type="dcterms:W3CDTF">2019-12-15T19:19:44Z</dcterms:modified>
</cp:coreProperties>
</file>