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572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7276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Poletti Franco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38"/>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10"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700" w:type="dxa"/>
            <w:vAlign w:val="bottom"/>
            <w:gridSpan w:val="7"/>
            <w:vMerge w:val="restart"/>
          </w:tcPr>
          <w:p>
            <w:pPr>
              <w:jc w:val="center"/>
              <w:ind w:right="96"/>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X0</w:t>
            </w:r>
          </w:p>
        </w:tc>
        <w:tc>
          <w:tcPr>
            <w:tcW w:w="88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W2 6LA</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jc w:val="center"/>
              <w:ind w:left="61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Pr>
          <w:p>
            <w:pPr>
              <w:spacing w:after="0"/>
              <w:rPr>
                <w:sz w:val="22"/>
                <w:szCs w:val="22"/>
                <w:color w:val="auto"/>
              </w:rPr>
            </w:pPr>
          </w:p>
        </w:tc>
        <w:tc>
          <w:tcPr>
            <w:tcW w:w="186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03/11/2026</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0000FF"/>
                <w:w w:val="99"/>
              </w:rPr>
              <w:t>2,140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57.6</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10,990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16"/>
              <w:spacing w:after="0"/>
              <w:rPr>
                <w:sz w:val="20"/>
                <w:szCs w:val="20"/>
                <w:color w:val="auto"/>
              </w:rPr>
            </w:pPr>
            <w:r>
              <w:rPr>
                <w:rFonts w:ascii="Times New Roman" w:cs="Times New Roman" w:eastAsia="Times New Roman" w:hAnsi="Times New Roman"/>
                <w:sz w:val="17"/>
                <w:szCs w:val="17"/>
                <w:color w:val="0000FF"/>
                <w:w w:val="91"/>
              </w:rPr>
              <w:t>1,980</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62.26</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9,010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116"/>
              <w:spacing w:after="0" w:line="309" w:lineRule="exact"/>
              <w:rPr>
                <w:sz w:val="20"/>
                <w:szCs w:val="20"/>
                <w:color w:val="auto"/>
              </w:rPr>
            </w:pPr>
            <w:r>
              <w:rPr>
                <w:rFonts w:ascii="Times New Roman" w:cs="Times New Roman" w:eastAsia="Times New Roman" w:hAnsi="Times New Roman"/>
                <w:sz w:val="33"/>
                <w:szCs w:val="33"/>
                <w:color w:val="0000FF"/>
                <w:w w:val="85"/>
                <w:vertAlign w:val="subscript"/>
              </w:rPr>
              <w:t>69</w:t>
            </w:r>
            <w:r>
              <w:rPr>
                <w:rFonts w:ascii="Times New Roman" w:cs="Times New Roman" w:eastAsia="Times New Roman" w:hAnsi="Times New Roman"/>
                <w:sz w:val="11"/>
                <w:szCs w:val="11"/>
                <w:color w:val="008000"/>
                <w:w w:val="85"/>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62.26</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8,941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219</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88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03/11/2026</w:t>
            </w: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2,140</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03/11/2026</w:t>
            </w: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-2087245</wp:posOffset>
            </wp:positionV>
            <wp:extent cx="29210" cy="2092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23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stock appreciation right ("SAR") base price settlement.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40" w:right="3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granted SARs on March 11, 2016 that vested in four equal annual installments beginning March 11, 2017 under the LivaNova PLC 2015 Incentive Award Plan and were automatically exercised upon their March 11, 2026 expiration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2026-03-13T16:33:27Z</dcterms:created>
  <dcterms:modified xsi:type="dcterms:W3CDTF">2026-03-13T16:33:27Z</dcterms:modified>
</cp:coreProperties>
</file>