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6995160" cy="7965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7965440"/>
                    </a:xfrm>
                    <a:prstGeom prst="rect">
                      <a:avLst/>
                    </a:prstGeom>
                    <a:noFill/>
                  </pic:spPr>
                </pic:pic>
              </a:graphicData>
            </a:graphic>
          </wp:anchor>
        </w:drawing>
      </w:r>
    </w:p>
    <w:p>
      <w:pPr>
        <w:spacing w:after="0" w:line="96" w:lineRule="exact"/>
        <w:rPr>
          <w:sz w:val="24"/>
          <w:szCs w:val="24"/>
          <w:color w:val="auto"/>
        </w:rPr>
      </w:pPr>
    </w:p>
    <w:p>
      <w:pPr>
        <w:sectPr>
          <w:pgSz w:w="11900" w:h="16899" w:orient="portrait"/>
          <w:cols w:equalWidth="0" w:num="2">
            <w:col w:w="2240" w:space="340"/>
            <w:col w:w="850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Hebbelinck Trui</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000" w:type="dxa"/>
            <w:vAlign w:val="bottom"/>
          </w:tcPr>
          <w:p>
            <w:pPr>
              <w:ind w:left="40"/>
              <w:spacing w:after="0"/>
              <w:rPr>
                <w:sz w:val="20"/>
                <w:szCs w:val="20"/>
                <w:color w:val="auto"/>
              </w:rPr>
            </w:pPr>
            <w:r>
              <w:rPr>
                <w:rFonts w:ascii="Arial" w:cs="Arial" w:eastAsia="Arial" w:hAnsi="Arial"/>
                <w:sz w:val="13"/>
                <w:szCs w:val="13"/>
                <w:color w:val="auto"/>
              </w:rPr>
              <w:t>(Last)</w:t>
            </w:r>
          </w:p>
        </w:tc>
        <w:tc>
          <w:tcPr>
            <w:tcW w:w="1300" w:type="dxa"/>
            <w:vAlign w:val="bottom"/>
          </w:tcPr>
          <w:p>
            <w:pPr>
              <w:ind w:left="260"/>
              <w:spacing w:after="0"/>
              <w:rPr>
                <w:sz w:val="20"/>
                <w:szCs w:val="20"/>
                <w:color w:val="auto"/>
              </w:rPr>
            </w:pPr>
            <w:r>
              <w:rPr>
                <w:rFonts w:ascii="Arial" w:cs="Arial" w:eastAsia="Arial" w:hAnsi="Arial"/>
                <w:sz w:val="13"/>
                <w:szCs w:val="13"/>
                <w:color w:val="auto"/>
              </w:rPr>
              <w:t>(First)</w:t>
            </w:r>
          </w:p>
        </w:tc>
        <w:tc>
          <w:tcPr>
            <w:tcW w:w="76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65"/>
        </w:trPr>
        <w:tc>
          <w:tcPr>
            <w:tcW w:w="230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20 EASTBOURNE TERRACE</w:t>
            </w:r>
          </w:p>
        </w:tc>
        <w:tc>
          <w:tcPr>
            <w:tcW w:w="760" w:type="dxa"/>
            <w:vAlign w:val="bottom"/>
          </w:tcPr>
          <w:p>
            <w:pPr>
              <w:spacing w:after="0"/>
              <w:rPr>
                <w:sz w:val="23"/>
                <w:szCs w:val="23"/>
                <w:color w:val="auto"/>
              </w:rPr>
            </w:pPr>
          </w:p>
        </w:tc>
      </w:tr>
      <w:tr>
        <w:trPr>
          <w:trHeight w:val="474"/>
        </w:trPr>
        <w:tc>
          <w:tcPr>
            <w:tcW w:w="1000" w:type="dxa"/>
            <w:vAlign w:val="bottom"/>
          </w:tcPr>
          <w:p>
            <w:pPr>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226"/>
        </w:trPr>
        <w:tc>
          <w:tcPr>
            <w:tcW w:w="10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LONDON</w:t>
            </w:r>
          </w:p>
        </w:tc>
        <w:tc>
          <w:tcPr>
            <w:tcW w:w="130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760" w:type="dxa"/>
            <w:vAlign w:val="bottom"/>
          </w:tcPr>
          <w:p>
            <w:pPr>
              <w:ind w:left="180"/>
              <w:spacing w:after="0"/>
              <w:rPr>
                <w:sz w:val="20"/>
                <w:szCs w:val="20"/>
                <w:color w:val="auto"/>
              </w:rPr>
            </w:pPr>
            <w:r>
              <w:rPr>
                <w:rFonts w:ascii="Times New Roman" w:cs="Times New Roman" w:eastAsia="Times New Roman" w:hAnsi="Times New Roman"/>
                <w:sz w:val="17"/>
                <w:szCs w:val="17"/>
                <w:color w:val="0000FF"/>
                <w:w w:val="93"/>
              </w:rPr>
              <w:t>W2 6LG</w:t>
            </w:r>
          </w:p>
        </w:tc>
      </w:tr>
      <w:tr>
        <w:trPr>
          <w:trHeight w:val="461"/>
        </w:trPr>
        <w:tc>
          <w:tcPr>
            <w:tcW w:w="1000" w:type="dxa"/>
            <w:vAlign w:val="bottom"/>
          </w:tcPr>
          <w:p>
            <w:pPr>
              <w:ind w:left="40"/>
              <w:spacing w:after="0"/>
              <w:rPr>
                <w:sz w:val="20"/>
                <w:szCs w:val="20"/>
                <w:color w:val="auto"/>
              </w:rPr>
            </w:pPr>
            <w:r>
              <w:rPr>
                <w:rFonts w:ascii="Arial" w:cs="Arial" w:eastAsia="Arial" w:hAnsi="Arial"/>
                <w:sz w:val="13"/>
                <w:szCs w:val="13"/>
                <w:color w:val="auto"/>
              </w:rPr>
              <w:t>(City)</w:t>
            </w:r>
          </w:p>
        </w:tc>
        <w:tc>
          <w:tcPr>
            <w:tcW w:w="1300" w:type="dxa"/>
            <w:vAlign w:val="bottom"/>
          </w:tcPr>
          <w:p>
            <w:pPr>
              <w:ind w:left="260"/>
              <w:spacing w:after="0"/>
              <w:rPr>
                <w:sz w:val="20"/>
                <w:szCs w:val="20"/>
                <w:color w:val="auto"/>
              </w:rPr>
            </w:pPr>
            <w:r>
              <w:rPr>
                <w:rFonts w:ascii="Arial" w:cs="Arial" w:eastAsia="Arial" w:hAnsi="Arial"/>
                <w:sz w:val="13"/>
                <w:szCs w:val="13"/>
                <w:color w:val="auto"/>
              </w:rPr>
              <w:t>(State)</w:t>
            </w:r>
          </w:p>
        </w:tc>
        <w:tc>
          <w:tcPr>
            <w:tcW w:w="76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LivaNova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LIVN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820" w:type="dxa"/>
            <w:vAlign w:val="bottom"/>
            <w:gridSpan w:val="3"/>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20" w:type="dxa"/>
            <w:vAlign w:val="bottom"/>
            <w:tcBorders>
              <w:bottom w:val="single" w:sz="8" w:color="0000EE"/>
            </w:tcBorders>
          </w:tcPr>
          <w:p>
            <w:pPr>
              <w:spacing w:after="0"/>
              <w:rPr>
                <w:sz w:val="3"/>
                <w:szCs w:val="3"/>
                <w:color w:val="auto"/>
              </w:rPr>
            </w:pPr>
          </w:p>
        </w:tc>
        <w:tc>
          <w:tcPr>
            <w:tcW w:w="2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2"/>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1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2520" w:type="dxa"/>
            <w:vAlign w:val="bottom"/>
            <w:tcBorders>
              <w:bottom w:val="single" w:sz="8" w:color="2C2C2C"/>
            </w:tcBorders>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34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20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40" w:type="dxa"/>
            <w:vAlign w:val="bottom"/>
          </w:tcPr>
          <w:p>
            <w:pPr>
              <w:ind w:left="1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3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03/30/2024</w:t>
            </w:r>
          </w:p>
        </w:tc>
        <w:tc>
          <w:tcPr>
            <w:tcW w:w="2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Chief Human Resources Officer</w:t>
            </w: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2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99" w:orient="portrait"/>
          <w:cols w:equalWidth="0" w:num="2">
            <w:col w:w="3140" w:space="7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4"/>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0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5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57"/>
              <w:spacing w:after="0"/>
              <w:rPr>
                <w:sz w:val="20"/>
                <w:szCs w:val="20"/>
                <w:color w:val="auto"/>
              </w:rPr>
            </w:pPr>
            <w:r>
              <w:rPr>
                <w:rFonts w:ascii="Arial" w:cs="Arial" w:eastAsia="Arial" w:hAnsi="Arial"/>
                <w:sz w:val="11"/>
                <w:szCs w:val="11"/>
                <w:b w:val="1"/>
                <w:bCs w:val="1"/>
                <w:color w:val="auto"/>
              </w:rPr>
              <w:t>(D)</w:t>
            </w:r>
          </w:p>
        </w:tc>
        <w:tc>
          <w:tcPr>
            <w:tcW w:w="5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03/30/2024</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ind w:right="3"/>
              <w:spacing w:after="0"/>
              <w:rPr>
                <w:sz w:val="20"/>
                <w:szCs w:val="20"/>
                <w:color w:val="auto"/>
              </w:rPr>
            </w:pPr>
            <w:r>
              <w:rPr>
                <w:rFonts w:ascii="Times New Roman" w:cs="Times New Roman" w:eastAsia="Times New Roman" w:hAnsi="Times New Roman"/>
                <w:sz w:val="17"/>
                <w:szCs w:val="17"/>
                <w:color w:val="0000FF"/>
              </w:rPr>
              <w:t>11,779</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05"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19,320</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03/30/2024</w:t>
            </w:r>
          </w:p>
        </w:tc>
        <w:tc>
          <w:tcPr>
            <w:tcW w:w="1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5,541</w:t>
            </w:r>
            <w:r>
              <w:rPr>
                <w:rFonts w:ascii="Times New Roman" w:cs="Times New Roman" w:eastAsia="Times New Roman" w:hAnsi="Times New Roman"/>
                <w:sz w:val="21"/>
                <w:szCs w:val="21"/>
                <w:color w:val="008000"/>
                <w:vertAlign w:val="superscript"/>
              </w:rPr>
              <w:t>(2)</w:t>
            </w:r>
          </w:p>
        </w:tc>
        <w:tc>
          <w:tcPr>
            <w:tcW w:w="6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55.94</w:t>
            </w:r>
          </w:p>
        </w:tc>
        <w:tc>
          <w:tcPr>
            <w:tcW w:w="1260" w:type="dxa"/>
            <w:vAlign w:val="bottom"/>
            <w:tcBorders>
              <w:bottom w:val="single" w:sz="8" w:color="2C2C2C"/>
            </w:tcBorders>
            <w:gridSpan w:val="3"/>
          </w:tcPr>
          <w:p>
            <w:pPr>
              <w:jc w:val="right"/>
              <w:ind w:right="339"/>
              <w:spacing w:after="0"/>
              <w:rPr>
                <w:sz w:val="20"/>
                <w:szCs w:val="20"/>
                <w:color w:val="auto"/>
              </w:rPr>
            </w:pPr>
            <w:r>
              <w:rPr>
                <w:rFonts w:ascii="Times New Roman" w:cs="Times New Roman" w:eastAsia="Times New Roman" w:hAnsi="Times New Roman"/>
                <w:sz w:val="17"/>
                <w:szCs w:val="17"/>
                <w:color w:val="0000FF"/>
              </w:rPr>
              <w:t>13,779</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7160" w:type="dxa"/>
            <w:vAlign w:val="bottom"/>
            <w:tcBorders>
              <w:top w:val="single" w:sz="8" w:color="2C2C2C"/>
            </w:tcBorders>
            <w:gridSpan w:val="13"/>
          </w:tcPr>
          <w:p>
            <w:pPr>
              <w:jc w:val="right"/>
              <w:ind w:right="16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2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4"/>
                <w:szCs w:val="14"/>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43"/>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46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right"/>
              <w:ind w:right="163"/>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60" w:type="dxa"/>
            <w:vAlign w:val="bottom"/>
          </w:tcPr>
          <w:p>
            <w:pPr>
              <w:spacing w:after="0"/>
              <w:rPr>
                <w:sz w:val="13"/>
                <w:szCs w:val="13"/>
                <w:color w:val="auto"/>
              </w:rPr>
            </w:pPr>
          </w:p>
        </w:tc>
        <w:tc>
          <w:tcPr>
            <w:tcW w:w="44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1,147</w:t>
            </w: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1,147</w:t>
            </w:r>
          </w:p>
        </w:tc>
        <w:tc>
          <w:tcPr>
            <w:tcW w:w="40" w:type="dxa"/>
            <w:vAlign w:val="bottom"/>
          </w:tcPr>
          <w:p>
            <w:pPr>
              <w:spacing w:after="0"/>
              <w:rPr>
                <w:sz w:val="19"/>
                <w:szCs w:val="19"/>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683</w:t>
            </w: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rPr>
              <w:t>(5)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3"/>
              </w:rPr>
              <w:t>683</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rPr>
              <w:t>682</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2"/>
              </w:rPr>
              <w:t>685</w:t>
            </w: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rPr>
              <w:t>(6)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(6)</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3"/>
              </w:rPr>
              <w:t>685</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5"/>
              </w:rPr>
              <w:t>1,371</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1,330</w:t>
            </w: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rPr>
              <w:t>(8)</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1,330</w:t>
            </w:r>
          </w:p>
        </w:tc>
        <w:tc>
          <w:tcPr>
            <w:tcW w:w="40" w:type="dxa"/>
            <w:vAlign w:val="bottom"/>
          </w:tcPr>
          <w:p>
            <w:pPr>
              <w:spacing w:after="0"/>
              <w:rPr>
                <w:sz w:val="19"/>
                <w:szCs w:val="19"/>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3,989</w:t>
            </w:r>
          </w:p>
        </w:tc>
        <w:tc>
          <w:tcPr>
            <w:tcW w:w="3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2,730</w:t>
            </w: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(10)</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2,730</w:t>
            </w:r>
          </w:p>
        </w:tc>
        <w:tc>
          <w:tcPr>
            <w:tcW w:w="40" w:type="dxa"/>
            <w:vAlign w:val="bottom"/>
          </w:tcPr>
          <w:p>
            <w:pPr>
              <w:spacing w:after="0"/>
              <w:rPr>
                <w:sz w:val="19"/>
                <w:szCs w:val="19"/>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2,065</w:t>
            </w: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008000"/>
                <w:w w:val="97"/>
              </w:rPr>
              <w:t>(11)</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(11)</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2,065</w:t>
            </w:r>
          </w:p>
        </w:tc>
        <w:tc>
          <w:tcPr>
            <w:tcW w:w="40" w:type="dxa"/>
            <w:vAlign w:val="bottom"/>
          </w:tcPr>
          <w:p>
            <w:pPr>
              <w:spacing w:after="0"/>
              <w:rPr>
                <w:sz w:val="19"/>
                <w:szCs w:val="19"/>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3,139</w:t>
            </w: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008000"/>
                <w:w w:val="97"/>
              </w:rPr>
              <w:t>(12)</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(12)</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3,139</w:t>
            </w:r>
          </w:p>
        </w:tc>
        <w:tc>
          <w:tcPr>
            <w:tcW w:w="40" w:type="dxa"/>
            <w:vAlign w:val="bottom"/>
          </w:tcPr>
          <w:p>
            <w:pPr>
              <w:spacing w:after="0"/>
              <w:rPr>
                <w:sz w:val="19"/>
                <w:szCs w:val="19"/>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79"/>
              <w:spacing w:after="0"/>
              <w:rPr>
                <w:sz w:val="20"/>
                <w:szCs w:val="20"/>
                <w:color w:val="auto"/>
              </w:rPr>
            </w:pPr>
            <w:r>
              <w:rPr>
                <w:rFonts w:ascii="Times New Roman" w:cs="Times New Roman" w:eastAsia="Times New Roman" w:hAnsi="Times New Roman"/>
                <w:sz w:val="13"/>
                <w:szCs w:val="13"/>
                <w:color w:val="0000FF"/>
                <w:w w:val="91"/>
              </w:rPr>
              <w:t>0</w:t>
            </w:r>
          </w:p>
        </w:tc>
        <w:tc>
          <w:tcPr>
            <w:tcW w:w="3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4,022</w:t>
            </w:r>
          </w:p>
        </w:tc>
        <w:tc>
          <w:tcPr>
            <w:tcW w:w="460" w:type="dxa"/>
            <w:vAlign w:val="bottom"/>
          </w:tcPr>
          <w:p>
            <w:pPr>
              <w:spacing w:after="0"/>
              <w:rPr>
                <w:sz w:val="19"/>
                <w:szCs w:val="19"/>
                <w:color w:val="auto"/>
              </w:rPr>
            </w:pP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008000"/>
                <w:w w:val="97"/>
              </w:rPr>
              <w:t>(13)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(13)</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4,022</w:t>
            </w:r>
          </w:p>
        </w:tc>
        <w:tc>
          <w:tcPr>
            <w:tcW w:w="40" w:type="dxa"/>
            <w:vAlign w:val="bottom"/>
          </w:tcPr>
          <w:p>
            <w:pPr>
              <w:spacing w:after="0"/>
              <w:rPr>
                <w:sz w:val="19"/>
                <w:szCs w:val="19"/>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4,022</w:t>
            </w:r>
          </w:p>
        </w:tc>
        <w:tc>
          <w:tcPr>
            <w:tcW w:w="3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2,011</w:t>
            </w:r>
          </w:p>
        </w:tc>
        <w:tc>
          <w:tcPr>
            <w:tcW w:w="460" w:type="dxa"/>
            <w:vAlign w:val="bottom"/>
          </w:tcPr>
          <w:p>
            <w:pPr>
              <w:spacing w:after="0"/>
              <w:rPr>
                <w:sz w:val="15"/>
                <w:szCs w:val="15"/>
                <w:color w:val="auto"/>
              </w:rPr>
            </w:pP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7"/>
              </w:rPr>
              <w:t>(15)</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(15)</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3"/>
              </w:rPr>
              <w:t>2,011</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5"/>
              </w:rPr>
              <w:t>2,011</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87"/>
              </w:rPr>
              <w:t>(14)</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5"/>
                <w:szCs w:val="15"/>
                <w:color w:val="auto"/>
              </w:rPr>
            </w:pPr>
          </w:p>
        </w:tc>
        <w:tc>
          <w:tcPr>
            <w:tcW w:w="6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5"/>
                <w:szCs w:val="15"/>
                <w:color w:val="auto"/>
              </w:rPr>
            </w:pPr>
          </w:p>
        </w:tc>
        <w:tc>
          <w:tcPr>
            <w:tcW w:w="44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2,011</w:t>
            </w:r>
          </w:p>
        </w:tc>
        <w:tc>
          <w:tcPr>
            <w:tcW w:w="460" w:type="dxa"/>
            <w:vAlign w:val="bottom"/>
          </w:tcPr>
          <w:p>
            <w:pPr>
              <w:spacing w:after="0"/>
              <w:rPr>
                <w:sz w:val="15"/>
                <w:szCs w:val="15"/>
                <w:color w:val="auto"/>
              </w:rPr>
            </w:pP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7"/>
              </w:rPr>
              <w:t>(16)</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(16)</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ind w:right="6"/>
              <w:spacing w:after="0"/>
              <w:rPr>
                <w:sz w:val="20"/>
                <w:szCs w:val="20"/>
                <w:color w:val="auto"/>
              </w:rPr>
            </w:pPr>
            <w:r>
              <w:rPr>
                <w:rFonts w:ascii="Times New Roman" w:cs="Times New Roman" w:eastAsia="Times New Roman" w:hAnsi="Times New Roman"/>
                <w:sz w:val="17"/>
                <w:szCs w:val="17"/>
                <w:color w:val="0000FF"/>
                <w:w w:val="93"/>
              </w:rPr>
              <w:t>2,011</w:t>
            </w:r>
          </w:p>
        </w:tc>
        <w:tc>
          <w:tcPr>
            <w:tcW w:w="40" w:type="dxa"/>
            <w:vAlign w:val="bottom"/>
          </w:tcPr>
          <w:p>
            <w:pPr>
              <w:spacing w:after="0"/>
              <w:rPr>
                <w:sz w:val="15"/>
                <w:szCs w:val="15"/>
                <w:color w:val="auto"/>
              </w:rPr>
            </w:pPr>
          </w:p>
        </w:tc>
        <w:tc>
          <w:tcPr>
            <w:tcW w:w="680" w:type="dxa"/>
            <w:vAlign w:val="bottom"/>
            <w:gridSpan w:val="2"/>
            <w:vMerge w:val="restart"/>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99"/>
              <w:spacing w:after="0"/>
              <w:rPr>
                <w:sz w:val="20"/>
                <w:szCs w:val="20"/>
                <w:color w:val="auto"/>
              </w:rPr>
            </w:pPr>
            <w:r>
              <w:rPr>
                <w:rFonts w:ascii="Times New Roman" w:cs="Times New Roman" w:eastAsia="Times New Roman" w:hAnsi="Times New Roman"/>
                <w:sz w:val="13"/>
                <w:szCs w:val="13"/>
                <w:color w:val="0000FF"/>
                <w:w w:val="95"/>
              </w:rPr>
              <w:t>2,011</w:t>
            </w:r>
          </w:p>
        </w:tc>
        <w:tc>
          <w:tcPr>
            <w:tcW w:w="300" w:type="dxa"/>
            <w:vAlign w:val="bottom"/>
          </w:tcPr>
          <w:p>
            <w:pPr>
              <w:spacing w:after="0"/>
              <w:rPr>
                <w:sz w:val="15"/>
                <w:szCs w:val="15"/>
                <w:color w:val="auto"/>
              </w:rPr>
            </w:pP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right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0" w:type="dxa"/>
            <w:vAlign w:val="bottom"/>
            <w:vMerge w:val="continue"/>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6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87"/>
              </w:rPr>
              <w:t>(14)</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9"/>
                <w:szCs w:val="19"/>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9"/>
                <w:szCs w:val="19"/>
                <w:color w:val="auto"/>
              </w:rPr>
            </w:pPr>
          </w:p>
        </w:tc>
        <w:tc>
          <w:tcPr>
            <w:tcW w:w="44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4,022</w:t>
            </w:r>
          </w:p>
        </w:tc>
        <w:tc>
          <w:tcPr>
            <w:tcW w:w="460" w:type="dxa"/>
            <w:vAlign w:val="bottom"/>
          </w:tcPr>
          <w:p>
            <w:pPr>
              <w:spacing w:after="0"/>
              <w:rPr>
                <w:sz w:val="19"/>
                <w:szCs w:val="19"/>
                <w:color w:val="auto"/>
              </w:rPr>
            </w:pPr>
          </w:p>
        </w:tc>
        <w:tc>
          <w:tcPr>
            <w:tcW w:w="760" w:type="dxa"/>
            <w:vAlign w:val="bottom"/>
          </w:tcPr>
          <w:p>
            <w:pPr>
              <w:jc w:val="center"/>
              <w:ind w:right="4"/>
              <w:spacing w:after="0"/>
              <w:rPr>
                <w:sz w:val="20"/>
                <w:szCs w:val="20"/>
                <w:color w:val="auto"/>
              </w:rPr>
            </w:pPr>
            <w:r>
              <w:rPr>
                <w:rFonts w:ascii="Times New Roman" w:cs="Times New Roman" w:eastAsia="Times New Roman" w:hAnsi="Times New Roman"/>
                <w:sz w:val="11"/>
                <w:szCs w:val="11"/>
                <w:color w:val="008000"/>
                <w:w w:val="97"/>
              </w:rPr>
              <w:t>(17)</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7"/>
              </w:rPr>
              <w:t>(17)</w:t>
            </w: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4,022</w:t>
            </w:r>
          </w:p>
        </w:tc>
        <w:tc>
          <w:tcPr>
            <w:tcW w:w="40" w:type="dxa"/>
            <w:vAlign w:val="bottom"/>
          </w:tcPr>
          <w:p>
            <w:pPr>
              <w:spacing w:after="0"/>
              <w:rPr>
                <w:sz w:val="19"/>
                <w:szCs w:val="19"/>
                <w:color w:val="auto"/>
              </w:rPr>
            </w:pPr>
          </w:p>
        </w:tc>
        <w:tc>
          <w:tcPr>
            <w:tcW w:w="680" w:type="dxa"/>
            <w:vAlign w:val="bottom"/>
            <w:gridSpan w:val="2"/>
          </w:tcPr>
          <w:p>
            <w:pPr>
              <w:jc w:val="center"/>
              <w:ind w:right="23"/>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99"/>
              <w:spacing w:after="0"/>
              <w:rPr>
                <w:sz w:val="20"/>
                <w:szCs w:val="20"/>
                <w:color w:val="auto"/>
              </w:rPr>
            </w:pPr>
            <w:r>
              <w:rPr>
                <w:rFonts w:ascii="Times New Roman" w:cs="Times New Roman" w:eastAsia="Times New Roman" w:hAnsi="Times New Roman"/>
                <w:sz w:val="13"/>
                <w:szCs w:val="13"/>
                <w:color w:val="0000FF"/>
                <w:w w:val="95"/>
              </w:rPr>
              <w:t>4,022</w:t>
            </w:r>
          </w:p>
        </w:tc>
        <w:tc>
          <w:tcPr>
            <w:tcW w:w="300" w:type="dxa"/>
            <w:vAlign w:val="bottom"/>
          </w:tcPr>
          <w:p>
            <w:pPr>
              <w:spacing w:after="0"/>
              <w:rPr>
                <w:sz w:val="19"/>
                <w:szCs w:val="19"/>
                <w:color w:val="auto"/>
              </w:rPr>
            </w:pPr>
          </w:p>
        </w:tc>
        <w:tc>
          <w:tcPr>
            <w:tcW w:w="6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3"/>
                <w:szCs w:val="13"/>
                <w:color w:val="0000FF"/>
              </w:rPr>
              <w:t>Stock Units</w:t>
            </w:r>
          </w:p>
        </w:tc>
        <w:tc>
          <w:tcPr>
            <w:tcW w:w="760" w:type="dxa"/>
            <w:vAlign w:val="bottom"/>
            <w:tcBorders>
              <w:bottom w:val="single" w:sz="8" w:color="2C2C2C"/>
            </w:tcBorders>
          </w:tcPr>
          <w:p>
            <w:pPr>
              <w:spacing w:after="0"/>
              <w:rPr>
                <w:sz w:val="13"/>
                <w:szCs w:val="13"/>
                <w:color w:val="auto"/>
              </w:rPr>
            </w:pPr>
          </w:p>
        </w:tc>
        <w:tc>
          <w:tcPr>
            <w:tcW w:w="10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jc w:val="center"/>
              <w:ind w:right="37"/>
              <w:spacing w:after="0"/>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vMerge w:val="restart"/>
          </w:tcPr>
          <w:p>
            <w:pPr>
              <w:jc w:val="center"/>
              <w:ind w:right="4"/>
              <w:spacing w:after="0"/>
              <w:rPr>
                <w:sz w:val="20"/>
                <w:szCs w:val="20"/>
                <w:color w:val="auto"/>
              </w:rPr>
            </w:pPr>
            <w:r>
              <w:rPr>
                <w:rFonts w:ascii="Times New Roman" w:cs="Times New Roman" w:eastAsia="Times New Roman" w:hAnsi="Times New Roman"/>
                <w:sz w:val="11"/>
                <w:szCs w:val="11"/>
                <w:color w:val="008000"/>
                <w:w w:val="97"/>
              </w:rPr>
              <w:t>(18)</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w w:val="97"/>
              </w:rPr>
              <w:t>(18)</w:t>
            </w:r>
          </w:p>
        </w:tc>
        <w:tc>
          <w:tcPr>
            <w:tcW w:w="640" w:type="dxa"/>
            <w:vAlign w:val="bottom"/>
            <w:vMerge w:val="restart"/>
          </w:tcPr>
          <w:p>
            <w:pPr>
              <w:jc w:val="center"/>
              <w:ind w:right="37"/>
              <w:spacing w:after="0"/>
              <w:rPr>
                <w:sz w:val="20"/>
                <w:szCs w:val="20"/>
                <w:color w:val="auto"/>
              </w:rPr>
            </w:pPr>
            <w:r>
              <w:rPr>
                <w:rFonts w:ascii="Times New Roman" w:cs="Times New Roman" w:eastAsia="Times New Roman" w:hAnsi="Times New Roman"/>
                <w:sz w:val="13"/>
                <w:szCs w:val="13"/>
                <w:color w:val="0000FF"/>
                <w:w w:val="97"/>
              </w:rPr>
              <w:t>Ordinary</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8,792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Appreciation</w:t>
            </w:r>
          </w:p>
        </w:tc>
        <w:tc>
          <w:tcPr>
            <w:tcW w:w="760" w:type="dxa"/>
            <w:vAlign w:val="bottom"/>
          </w:tcPr>
          <w:p>
            <w:pPr>
              <w:jc w:val="center"/>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55.94</w:t>
            </w:r>
          </w:p>
        </w:tc>
        <w:tc>
          <w:tcPr>
            <w:tcW w:w="10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color w:val="0000FF"/>
                <w:w w:val="97"/>
              </w:rPr>
              <w:t>03/30/2024</w:t>
            </w:r>
          </w:p>
        </w:tc>
        <w:tc>
          <w:tcPr>
            <w:tcW w:w="1080" w:type="dxa"/>
            <w:vAlign w:val="bottom"/>
          </w:tcPr>
          <w:p>
            <w:pPr>
              <w:spacing w:after="0"/>
              <w:rPr>
                <w:sz w:val="11"/>
                <w:szCs w:val="11"/>
                <w:color w:val="auto"/>
              </w:rPr>
            </w:pPr>
          </w:p>
        </w:tc>
        <w:tc>
          <w:tcPr>
            <w:tcW w:w="62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1"/>
                <w:szCs w:val="11"/>
                <w:color w:val="auto"/>
              </w:rPr>
            </w:pPr>
          </w:p>
        </w:tc>
        <w:tc>
          <w:tcPr>
            <w:tcW w:w="44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8,792</w:t>
            </w:r>
          </w:p>
        </w:tc>
        <w:tc>
          <w:tcPr>
            <w:tcW w:w="46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3"/>
              <w:spacing w:after="0" w:line="127" w:lineRule="exact"/>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99"/>
              <w:spacing w:after="0" w:line="128" w:lineRule="exact"/>
              <w:rPr>
                <w:sz w:val="20"/>
                <w:szCs w:val="20"/>
                <w:color w:val="auto"/>
              </w:rPr>
            </w:pPr>
            <w:r>
              <w:rPr>
                <w:rFonts w:ascii="Times New Roman" w:cs="Times New Roman" w:eastAsia="Times New Roman" w:hAnsi="Times New Roman"/>
                <w:sz w:val="13"/>
                <w:szCs w:val="13"/>
                <w:color w:val="0000FF"/>
                <w:w w:val="95"/>
              </w:rPr>
              <w:t>8,792</w:t>
            </w:r>
          </w:p>
        </w:tc>
        <w:tc>
          <w:tcPr>
            <w:tcW w:w="300" w:type="dxa"/>
            <w:vAlign w:val="bottom"/>
          </w:tcPr>
          <w:p>
            <w:pPr>
              <w:spacing w:after="0"/>
              <w:rPr>
                <w:sz w:val="11"/>
                <w:szCs w:val="11"/>
                <w:color w:val="auto"/>
              </w:rPr>
            </w:pPr>
          </w:p>
        </w:tc>
        <w:tc>
          <w:tcPr>
            <w:tcW w:w="6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jc w:val="center"/>
              <w:ind w:right="37"/>
              <w:spacing w:after="0" w:line="140" w:lineRule="exact"/>
              <w:rPr>
                <w:sz w:val="20"/>
                <w:szCs w:val="20"/>
                <w:color w:val="auto"/>
              </w:rPr>
            </w:pPr>
            <w:r>
              <w:rPr>
                <w:rFonts w:ascii="Times New Roman" w:cs="Times New Roman" w:eastAsia="Times New Roman" w:hAnsi="Times New Roman"/>
                <w:sz w:val="13"/>
                <w:szCs w:val="13"/>
                <w:color w:val="0000FF"/>
                <w:w w:val="97"/>
              </w:rPr>
              <w:t>Shares</w:t>
            </w: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-4669155</wp:posOffset>
            </wp:positionV>
            <wp:extent cx="28575" cy="467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46748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and performance stock units (PSUs) settled in Ordinary Shares of LivaNova PLC (the Company).</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to satisfy tax liability.</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LivaNova PLC 2015 Incentive Award Plan (the 2015 Plan) and the award agreement.</w:t>
      </w:r>
    </w:p>
    <w:p>
      <w:pPr>
        <w:spacing w:after="0" w:line="41" w:lineRule="exact"/>
        <w:rPr>
          <w:rFonts w:ascii="Times New Roman" w:cs="Times New Roman" w:eastAsia="Times New Roman" w:hAnsi="Times New Roman"/>
          <w:sz w:val="13"/>
          <w:szCs w:val="13"/>
          <w:color w:val="008000"/>
        </w:rPr>
      </w:pPr>
    </w:p>
    <w:p>
      <w:pPr>
        <w:ind w:left="40" w:right="3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2020, reporting person was granted RSUs subject to a four-year vesting in equal annual installments, the first vesting for which occurred on March 30, 2021. The RSUs were subject to forfeiture prior to vesting in accordance with the terms of the 2015 Plan and the award agreement.</w:t>
      </w:r>
    </w:p>
    <w:p>
      <w:pPr>
        <w:spacing w:after="0" w:line="19" w:lineRule="exact"/>
        <w:rPr>
          <w:rFonts w:ascii="Times New Roman" w:cs="Times New Roman" w:eastAsia="Times New Roman" w:hAnsi="Times New Roman"/>
          <w:sz w:val="13"/>
          <w:szCs w:val="13"/>
          <w:color w:val="008000"/>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reporting person was granted RSUs subject to a four-year vesting in equal annual installments, the first vesting for which occurred on March 30, 2022. The RSUs are subject to forfeiture prior to vesting in accordance with the terms of the 2015 Plan and the award agreement.</w:t>
      </w:r>
    </w:p>
    <w:p>
      <w:pPr>
        <w:spacing w:after="0" w:line="19" w:lineRule="exact"/>
        <w:rPr>
          <w:rFonts w:ascii="Times New Roman" w:cs="Times New Roman" w:eastAsia="Times New Roman" w:hAnsi="Times New Roman"/>
          <w:sz w:val="13"/>
          <w:szCs w:val="13"/>
          <w:color w:val="008000"/>
        </w:rPr>
      </w:pPr>
    </w:p>
    <w:p>
      <w:pPr>
        <w:ind w:left="40" w:right="40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2022, reporting person was granted RSUs subject to a four-year vesting in equal annual installments, the first vesting for which occurred on March 30, 2023. The RSUs are subject to forfeiture prior to vesting in accordance with the terms of the 2015 Plan and the award agreement.</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in accordance with the terms of the LivaNova PLC 2022 Incentive Award Plan (the 2022 Plan) and the award agreement.</w:t>
      </w:r>
    </w:p>
    <w:p>
      <w:pPr>
        <w:spacing w:after="0" w:line="41" w:lineRule="exact"/>
        <w:rPr>
          <w:rFonts w:ascii="Times New Roman" w:cs="Times New Roman" w:eastAsia="Times New Roman" w:hAnsi="Times New Roman"/>
          <w:sz w:val="13"/>
          <w:szCs w:val="13"/>
          <w:color w:val="008000"/>
        </w:rPr>
      </w:pPr>
    </w:p>
    <w:p>
      <w:pPr>
        <w:ind w:left="40" w:right="4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2023, reporting person was granted RSUs subject to a four-year vesting in equal annual installments, the first vesting occurring on March 30, 2024. The RSUs are subject to forfeiture prior to vesting in accordance with the terms of the 2022 Plan and the award agreement.</w:t>
      </w:r>
    </w:p>
    <w:p>
      <w:pPr>
        <w:sectPr>
          <w:pgSz w:w="11900" w:h="16899"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represents a contingent right to receive one Ordinary Share of the Company in accordance with the terms of the 2015 Plan and the award agreement.</w:t>
      </w:r>
    </w:p>
    <w:p>
      <w:pPr>
        <w:spacing w:after="0" w:line="41" w:lineRule="exact"/>
        <w:rPr>
          <w:rFonts w:ascii="Times New Roman" w:cs="Times New Roman" w:eastAsia="Times New Roman" w:hAnsi="Times New Roman"/>
          <w:sz w:val="13"/>
          <w:szCs w:val="13"/>
          <w:color w:val="008000"/>
        </w:rPr>
      </w:pPr>
    </w:p>
    <w:p>
      <w:pPr>
        <w:ind w:right="26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the reporting person received a grant of 1,365 PSUs. The number of PSUs that vested was the result of the Company's performance against a target related to Free Cash Flow (FCF) for fiscal years 2021 with additional two years service condition. The performance achieved was 200%, and the actual number of vested shares is presented as the quantity that was acquired.</w:t>
      </w:r>
    </w:p>
    <w:p>
      <w:pPr>
        <w:spacing w:after="0" w:line="19" w:lineRule="exact"/>
        <w:rPr>
          <w:rFonts w:ascii="Times New Roman" w:cs="Times New Roman" w:eastAsia="Times New Roman" w:hAnsi="Times New Roman"/>
          <w:sz w:val="13"/>
          <w:szCs w:val="13"/>
          <w:color w:val="008000"/>
        </w:rPr>
      </w:pPr>
    </w:p>
    <w:p>
      <w:pPr>
        <w:ind w:right="380"/>
        <w:spacing w:after="0" w:line="250" w:lineRule="auto"/>
        <w:tabs>
          <w:tab w:leader="none" w:pos="18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the reporting person received a grant of 1,365 PSUs. The number of PSUs that vested was the result of the Company's Return on Investment Capital (ROIC) for fiscal year 2021 with additional two years service condition. The performance achieved was 151.30%, and the actual number of vested shares is presented as the quantity that was acquired.</w:t>
      </w:r>
    </w:p>
    <w:p>
      <w:pPr>
        <w:spacing w:after="0" w:line="19" w:lineRule="exact"/>
        <w:rPr>
          <w:rFonts w:ascii="Times New Roman" w:cs="Times New Roman" w:eastAsia="Times New Roman" w:hAnsi="Times New Roman"/>
          <w:sz w:val="13"/>
          <w:szCs w:val="13"/>
          <w:color w:val="008000"/>
        </w:rPr>
      </w:pPr>
    </w:p>
    <w:p>
      <w:pPr>
        <w:ind w:right="8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2021, the reporting person was granted 2,730 PSUs. The vesting of the PSUs depended on the Company's performance against a target of the total shareholder return (TSR) for fiscal years 2021, 2022, and 2023, compared to our peer companies. The Company's performance achieved a result of 115%, and the actual number of vested shares is presented as the quantity that was acquired.</w:t>
      </w:r>
    </w:p>
    <w:p>
      <w:pPr>
        <w:spacing w:after="0" w:line="19" w:lineRule="exact"/>
        <w:rPr>
          <w:rFonts w:ascii="Times New Roman" w:cs="Times New Roman" w:eastAsia="Times New Roman" w:hAnsi="Times New Roman"/>
          <w:sz w:val="13"/>
          <w:szCs w:val="13"/>
          <w:color w:val="008000"/>
        </w:rPr>
      </w:pPr>
    </w:p>
    <w:p>
      <w:pPr>
        <w:ind w:right="24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RSUs subject to a four-year vesting in equal annual installments, the first vesting occurring on March 30, 2025. The RSUs are subject to forfeiture prior to vesting in accordance with the terms of the 2022 Plan and the award agreement.</w:t>
      </w:r>
    </w:p>
    <w:p>
      <w:pPr>
        <w:spacing w:after="0" w:line="19" w:lineRule="exact"/>
        <w:rPr>
          <w:rFonts w:ascii="Times New Roman" w:cs="Times New Roman" w:eastAsia="Times New Roman" w:hAnsi="Times New Roman"/>
          <w:sz w:val="13"/>
          <w:szCs w:val="13"/>
          <w:color w:val="008000"/>
        </w:rPr>
      </w:pPr>
    </w:p>
    <w:p>
      <w:pPr>
        <w:ind w:left="200" w:hanging="200"/>
        <w:spacing w:after="0"/>
        <w:tabs>
          <w:tab w:leader="none" w:pos="20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 stock unit (PSU) represents a contingent right to receive one Ordinary Share of the Company in accordance with the terms of the 2022 Plan and the award agreement.</w:t>
      </w:r>
    </w:p>
    <w:p>
      <w:pPr>
        <w:spacing w:after="0" w:line="41" w:lineRule="exact"/>
        <w:rPr>
          <w:rFonts w:ascii="Times New Roman" w:cs="Times New Roman" w:eastAsia="Times New Roman" w:hAnsi="Times New Roman"/>
          <w:sz w:val="13"/>
          <w:szCs w:val="13"/>
          <w:color w:val="008000"/>
        </w:rPr>
      </w:pPr>
    </w:p>
    <w:p>
      <w:pPr>
        <w:ind w:right="40"/>
        <w:spacing w:after="0" w:line="238"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how the Company's free cash flow (FCF) for performance period 2024-2026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right="20"/>
        <w:spacing w:after="0" w:line="238"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how the Company's Return on Investment Capital (ROIC) calculated for the performance period 2024-2026 compares to a target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spacing w:after="0" w:line="238"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PSUs to vest or lapse on March 30, 2027 based on the Company's TSR for the three-year period beginning on January 1, 2024 and ending December 31, 2026 relative to the TSR of an index of companies, as determined by the 2022 Plan Administrator. The number included in column 5 of Table II reflects the target number of PSUs eligible for vesting subject to continued service during the vesting period and the award agreement.</w:t>
      </w:r>
    </w:p>
    <w:p>
      <w:pPr>
        <w:spacing w:after="0" w:line="26" w:lineRule="exact"/>
        <w:rPr>
          <w:rFonts w:ascii="Times New Roman" w:cs="Times New Roman" w:eastAsia="Times New Roman" w:hAnsi="Times New Roman"/>
          <w:sz w:val="13"/>
          <w:szCs w:val="13"/>
          <w:color w:val="008000"/>
        </w:rPr>
      </w:pPr>
    </w:p>
    <w:p>
      <w:pPr>
        <w:ind w:right="320"/>
        <w:spacing w:after="0" w:line="250" w:lineRule="auto"/>
        <w:tabs>
          <w:tab w:leader="none" w:pos="19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30, 2024, reporting person was granted stock appreciation rights (SARs) subject to a four-year vesting in equal annual installments, the first vesting occurring on March 30, 2025. The SARs are subject to forfeiture prior to vesting in accordance with the terms of the 2022 Plan and the award agreement.</w:t>
      </w:r>
    </w:p>
    <w:p>
      <w:pPr>
        <w:sectPr>
          <w:pgSz w:w="11900" w:h="16838" w:orient="portrait"/>
          <w:cols w:equalWidth="0" w:num="1">
            <w:col w:w="10880"/>
          </w:cols>
          <w:pgMar w:left="500" w:top="139" w:right="519" w:bottom="1440" w:gutter="0" w:footer="0" w:header="0"/>
        </w:sectPr>
      </w:pP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Sarah K. Mohr,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-3175</wp:posOffset>
            </wp:positionV>
            <wp:extent cx="1327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spacing w:after="0" w:line="12"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80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04/02/2024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-3175</wp:posOffset>
            </wp:positionV>
            <wp:extent cx="4787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2" w:lineRule="exact"/>
        <w:rPr>
          <w:sz w:val="20"/>
          <w:szCs w:val="20"/>
          <w:color w:val="auto"/>
        </w:rPr>
      </w:pPr>
    </w:p>
    <w:p>
      <w:pPr>
        <w:sectPr>
          <w:pgSz w:w="11900" w:h="16838" w:orient="portrait"/>
          <w:cols w:equalWidth="0" w:num="2">
            <w:col w:w="8640" w:space="120"/>
            <w:col w:w="2120"/>
          </w:cols>
          <w:pgMar w:left="500" w:top="139" w:right="51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40"/>
        <w:spacing w:after="0" w:line="332" w:lineRule="auto"/>
        <w:tabs>
          <w:tab w:leader="none" w:pos="13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13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9"/>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73051"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2024-04-02T20:30:45Z</dcterms:created>
  <dcterms:modified xsi:type="dcterms:W3CDTF">2024-04-02T20:30:45Z</dcterms:modified>
</cp:coreProperties>
</file>