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9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5417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41718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Bianchi Francesco</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260"/>
              <w:spacing w:after="0"/>
              <w:rPr>
                <w:sz w:val="20"/>
                <w:szCs w:val="20"/>
                <w:color w:val="auto"/>
              </w:rPr>
            </w:pPr>
            <w:r>
              <w:rPr>
                <w:rFonts w:ascii="Arial" w:cs="Arial" w:eastAsia="Arial" w:hAnsi="Arial"/>
                <w:sz w:val="13"/>
                <w:szCs w:val="13"/>
                <w:color w:val="auto"/>
              </w:rPr>
              <w:t>(First)</w:t>
            </w:r>
          </w:p>
        </w:tc>
        <w:tc>
          <w:tcPr>
            <w:tcW w:w="134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67"/>
        </w:trPr>
        <w:tc>
          <w:tcPr>
            <w:tcW w:w="20" w:type="dxa"/>
            <w:vAlign w:val="bottom"/>
          </w:tcPr>
          <w:p>
            <w:pPr>
              <w:spacing w:after="0"/>
              <w:rPr>
                <w:sz w:val="23"/>
                <w:szCs w:val="23"/>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 EASTBOURNE TERRACE</w:t>
            </w:r>
          </w:p>
        </w:tc>
        <w:tc>
          <w:tcPr>
            <w:tcW w:w="1340" w:type="dxa"/>
            <w:vAlign w:val="bottom"/>
          </w:tcPr>
          <w:p>
            <w:pPr>
              <w:spacing w:after="0"/>
              <w:rPr>
                <w:sz w:val="23"/>
                <w:szCs w:val="23"/>
                <w:color w:val="auto"/>
              </w:rPr>
            </w:pPr>
          </w:p>
        </w:tc>
      </w:tr>
      <w:tr>
        <w:trPr>
          <w:trHeight w:val="200"/>
        </w:trPr>
        <w:tc>
          <w:tcPr>
            <w:tcW w:w="20" w:type="dxa"/>
            <w:vAlign w:val="bottom"/>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r>
      <w:tr>
        <w:trPr>
          <w:trHeight w:val="25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3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W2 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260"/>
              <w:spacing w:after="0"/>
              <w:rPr>
                <w:sz w:val="20"/>
                <w:szCs w:val="20"/>
                <w:color w:val="auto"/>
              </w:rPr>
            </w:pPr>
            <w:r>
              <w:rPr>
                <w:rFonts w:ascii="Arial" w:cs="Arial" w:eastAsia="Arial" w:hAnsi="Arial"/>
                <w:sz w:val="13"/>
                <w:szCs w:val="13"/>
                <w:color w:val="auto"/>
              </w:rPr>
              <w:t>(State)</w:t>
            </w:r>
          </w:p>
        </w:tc>
        <w:tc>
          <w:tcPr>
            <w:tcW w:w="134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LivaNova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LIVN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4"/>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25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06/15/2024</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5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20" w:right="32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600" w:type="dxa"/>
            <w:vAlign w:val="bottom"/>
            <w:gridSpan w:val="6"/>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06/15/2024</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6"/>
              </w:rPr>
              <w:t>M</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2,680</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(1)(2)</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10,857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06/15/2024</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2"/>
              </w:rPr>
              <w:t>F</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5"/>
              </w:rPr>
              <w:t>585</w:t>
            </w:r>
            <w:r>
              <w:rPr>
                <w:rFonts w:ascii="Times New Roman" w:cs="Times New Roman" w:eastAsia="Times New Roman" w:hAnsi="Times New Roman"/>
                <w:sz w:val="21"/>
                <w:szCs w:val="21"/>
                <w:color w:val="008000"/>
                <w:w w:val="95"/>
                <w:vertAlign w:val="superscript"/>
              </w:rPr>
              <w:t>(3)</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52.68</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10,272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2,680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06/15/2024</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5"/>
                <w:szCs w:val="5"/>
                <w:color w:val="auto"/>
              </w:rPr>
            </w:pPr>
          </w:p>
        </w:tc>
        <w:tc>
          <w:tcPr>
            <w:tcW w:w="4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2,680</w:t>
            </w: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3,416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06/15/2024</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3,416</w:t>
            </w:r>
          </w:p>
        </w:tc>
        <w:tc>
          <w:tcPr>
            <w:tcW w:w="4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3,416</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settled into ordinary shares of LivaNova PLC ("the Company"), GBP 1.00 par value.</w:t>
      </w:r>
    </w:p>
    <w:p>
      <w:pPr>
        <w:spacing w:after="0" w:line="43" w:lineRule="exact"/>
        <w:rPr>
          <w:rFonts w:ascii="Times New Roman" w:cs="Times New Roman" w:eastAsia="Times New Roman" w:hAnsi="Times New Roman"/>
          <w:sz w:val="13"/>
          <w:szCs w:val="13"/>
          <w:color w:val="008000"/>
        </w:rPr>
      </w:pPr>
    </w:p>
    <w:p>
      <w:pPr>
        <w:ind w:left="40" w:right="460" w:firstLine="2"/>
        <w:spacing w:after="0" w:line="254"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Company's 2015 Incentive Award Plan ("the Plan") and the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to satisfy tax liability.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2023 the reporting person was granted RSUs vesting on June 15, 2024.</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on June 15, 2025, subject to continued service during the vesting period and the award agreement.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06/18/2024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0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82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560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2024-06-18T15:10:28Z</dcterms:created>
  <dcterms:modified xsi:type="dcterms:W3CDTF">2024-06-18T15:10:28Z</dcterms:modified>
</cp:coreProperties>
</file>