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-235585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6996430" cy="636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636968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20" w:space="400"/>
            <w:col w:w="8460"/>
          </w:cols>
          <w:pgMar w:left="460" w:top="215" w:right="359" w:bottom="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Hutchinson Michael Damon</w:t>
        </w:r>
      </w:hyperlink>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00" w:type="dxa"/>
            <w:vAlign w:val="bottom"/>
          </w:tcPr>
          <w:p>
            <w:pPr>
              <w:ind w:left="40"/>
              <w:spacing w:after="0"/>
              <w:rPr>
                <w:sz w:val="20"/>
                <w:szCs w:val="20"/>
                <w:color w:val="auto"/>
              </w:rPr>
            </w:pPr>
            <w:r>
              <w:rPr>
                <w:rFonts w:ascii="Arial" w:cs="Arial" w:eastAsia="Arial" w:hAnsi="Arial"/>
                <w:sz w:val="13"/>
                <w:szCs w:val="13"/>
                <w:color w:val="auto"/>
              </w:rPr>
              <w:t>(Last)</w:t>
            </w:r>
          </w:p>
        </w:tc>
        <w:tc>
          <w:tcPr>
            <w:tcW w:w="1300" w:type="dxa"/>
            <w:vAlign w:val="bottom"/>
          </w:tcPr>
          <w:p>
            <w:pPr>
              <w:ind w:left="260"/>
              <w:spacing w:after="0"/>
              <w:rPr>
                <w:sz w:val="20"/>
                <w:szCs w:val="20"/>
                <w:color w:val="auto"/>
              </w:rPr>
            </w:pPr>
            <w:r>
              <w:rPr>
                <w:rFonts w:ascii="Arial" w:cs="Arial" w:eastAsia="Arial" w:hAnsi="Arial"/>
                <w:sz w:val="13"/>
                <w:szCs w:val="13"/>
                <w:color w:val="auto"/>
              </w:rPr>
              <w:t>(First)</w:t>
            </w:r>
          </w:p>
        </w:tc>
        <w:tc>
          <w:tcPr>
            <w:tcW w:w="72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63"/>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20 EASTBOURNE TERRACE</w:t>
            </w:r>
          </w:p>
        </w:tc>
        <w:tc>
          <w:tcPr>
            <w:tcW w:w="720" w:type="dxa"/>
            <w:vAlign w:val="bottom"/>
          </w:tcPr>
          <w:p>
            <w:pPr>
              <w:spacing w:after="0"/>
              <w:rPr>
                <w:sz w:val="22"/>
                <w:szCs w:val="22"/>
                <w:color w:val="auto"/>
              </w:rPr>
            </w:pPr>
          </w:p>
        </w:tc>
      </w:tr>
      <w:tr>
        <w:trPr>
          <w:trHeight w:val="471"/>
        </w:trPr>
        <w:tc>
          <w:tcPr>
            <w:tcW w:w="1000" w:type="dxa"/>
            <w:vAlign w:val="bottom"/>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5"/>
        </w:trPr>
        <w:tc>
          <w:tcPr>
            <w:tcW w:w="10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LONDON</w:t>
            </w: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X0</w:t>
            </w:r>
          </w:p>
        </w:tc>
        <w:tc>
          <w:tcPr>
            <w:tcW w:w="720" w:type="dxa"/>
            <w:vAlign w:val="bottom"/>
          </w:tcPr>
          <w:p>
            <w:pPr>
              <w:ind w:left="180"/>
              <w:spacing w:after="0"/>
              <w:rPr>
                <w:sz w:val="20"/>
                <w:szCs w:val="20"/>
                <w:color w:val="auto"/>
              </w:rPr>
            </w:pPr>
            <w:r>
              <w:rPr>
                <w:rFonts w:ascii="Times New Roman" w:cs="Times New Roman" w:eastAsia="Times New Roman" w:hAnsi="Times New Roman"/>
                <w:sz w:val="16"/>
                <w:szCs w:val="16"/>
                <w:color w:val="0000FF"/>
                <w:w w:val="99"/>
              </w:rPr>
              <w:t>W26LG</w:t>
            </w:r>
          </w:p>
        </w:tc>
      </w:tr>
      <w:tr>
        <w:trPr>
          <w:trHeight w:val="458"/>
        </w:trPr>
        <w:tc>
          <w:tcPr>
            <w:tcW w:w="1000" w:type="dxa"/>
            <w:vAlign w:val="bottom"/>
          </w:tcPr>
          <w:p>
            <w:pPr>
              <w:ind w:left="40"/>
              <w:spacing w:after="0"/>
              <w:rPr>
                <w:sz w:val="20"/>
                <w:szCs w:val="20"/>
                <w:color w:val="auto"/>
              </w:rPr>
            </w:pPr>
            <w:r>
              <w:rPr>
                <w:rFonts w:ascii="Arial" w:cs="Arial" w:eastAsia="Arial" w:hAnsi="Arial"/>
                <w:sz w:val="13"/>
                <w:szCs w:val="13"/>
                <w:color w:val="auto"/>
              </w:rPr>
              <w:t>(City)</w:t>
            </w:r>
          </w:p>
        </w:tc>
        <w:tc>
          <w:tcPr>
            <w:tcW w:w="1300" w:type="dxa"/>
            <w:vAlign w:val="bottom"/>
          </w:tcPr>
          <w:p>
            <w:pPr>
              <w:ind w:left="260"/>
              <w:spacing w:after="0"/>
              <w:rPr>
                <w:sz w:val="20"/>
                <w:szCs w:val="20"/>
                <w:color w:val="auto"/>
              </w:rPr>
            </w:pPr>
            <w:r>
              <w:rPr>
                <w:rFonts w:ascii="Arial" w:cs="Arial" w:eastAsia="Arial" w:hAnsi="Arial"/>
                <w:sz w:val="13"/>
                <w:szCs w:val="13"/>
                <w:color w:val="auto"/>
              </w:rPr>
              <w:t>(State)</w:t>
            </w:r>
          </w:p>
        </w:tc>
        <w:tc>
          <w:tcPr>
            <w:tcW w:w="72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LivaNova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LIVN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100" w:type="dxa"/>
            <w:vAlign w:val="bottom"/>
            <w:tcBorders>
              <w:bottom w:val="single" w:sz="8" w:color="0000EE"/>
            </w:tcBorders>
          </w:tcPr>
          <w:p>
            <w:pPr>
              <w:spacing w:after="0"/>
              <w:rPr>
                <w:sz w:val="3"/>
                <w:szCs w:val="3"/>
                <w:color w:val="auto"/>
              </w:rPr>
            </w:pPr>
          </w:p>
        </w:tc>
        <w:tc>
          <w:tcPr>
            <w:tcW w:w="2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03/30/2024</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0000FF"/>
              </w:rPr>
              <w:t>Chief Legal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7" w:lineRule="auto"/>
        <w:tabs>
          <w:tab w:leader="none" w:pos="442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29"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4" w:lineRule="exact"/>
        <w:rPr>
          <w:sz w:val="24"/>
          <w:szCs w:val="24"/>
          <w:color w:val="auto"/>
        </w:rPr>
      </w:pPr>
    </w:p>
    <w:p>
      <w:pPr>
        <w:ind w:left="320" w:right="420"/>
        <w:spacing w:after="0" w:line="28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120" w:space="72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74"/>
              <w:spacing w:after="0"/>
              <w:rPr>
                <w:sz w:val="20"/>
                <w:szCs w:val="20"/>
                <w:color w:val="auto"/>
              </w:rPr>
            </w:pPr>
            <w:r>
              <w:rPr>
                <w:rFonts w:ascii="Times New Roman" w:cs="Times New Roman" w:eastAsia="Times New Roman" w:hAnsi="Times New Roman"/>
                <w:sz w:val="16"/>
                <w:szCs w:val="16"/>
                <w:color w:val="0000FF"/>
              </w:rPr>
              <w:t>03/30/2024</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1,478</w:t>
            </w:r>
          </w:p>
        </w:tc>
        <w:tc>
          <w:tcPr>
            <w:tcW w:w="6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ind w:left="120"/>
              <w:spacing w:after="0" w:line="304"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128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6"/>
                <w:szCs w:val="16"/>
                <w:color w:val="0000FF"/>
              </w:rPr>
              <w:t>2,828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74"/>
              <w:spacing w:after="0"/>
              <w:rPr>
                <w:sz w:val="20"/>
                <w:szCs w:val="20"/>
                <w:color w:val="auto"/>
              </w:rPr>
            </w:pPr>
            <w:r>
              <w:rPr>
                <w:rFonts w:ascii="Times New Roman" w:cs="Times New Roman" w:eastAsia="Times New Roman" w:hAnsi="Times New Roman"/>
                <w:sz w:val="16"/>
                <w:szCs w:val="16"/>
                <w:color w:val="0000FF"/>
              </w:rPr>
              <w:t>03/30/2024</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542</w:t>
            </w:r>
            <w:r>
              <w:rPr>
                <w:rFonts w:ascii="Times New Roman" w:cs="Times New Roman" w:eastAsia="Times New Roman" w:hAnsi="Times New Roman"/>
                <w:sz w:val="21"/>
                <w:szCs w:val="21"/>
                <w:color w:val="008000"/>
                <w:vertAlign w:val="superscript"/>
              </w:rPr>
              <w:t>(2)</w:t>
            </w:r>
          </w:p>
        </w:tc>
        <w:tc>
          <w:tcPr>
            <w:tcW w:w="6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55.94</w:t>
            </w:r>
          </w:p>
        </w:tc>
        <w:tc>
          <w:tcPr>
            <w:tcW w:w="128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6"/>
                <w:szCs w:val="16"/>
                <w:color w:val="0000FF"/>
              </w:rPr>
              <w:t>2,286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160" w:type="dxa"/>
            <w:vAlign w:val="bottom"/>
            <w:tcBorders>
              <w:top w:val="single" w:sz="8" w:color="2C2C2C"/>
            </w:tcBorders>
            <w:gridSpan w:val="10"/>
          </w:tcPr>
          <w:p>
            <w:pP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60" w:type="dxa"/>
            <w:vAlign w:val="bottom"/>
            <w:gridSpan w:val="8"/>
          </w:tcPr>
          <w:p>
            <w:pPr>
              <w:ind w:left="7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jc w:val="center"/>
              <w:ind w:right="42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0"/>
                <w:szCs w:val="10"/>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2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4 and 5)</w:t>
            </w: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03/30/2024</w:t>
            </w:r>
          </w:p>
        </w:tc>
        <w:tc>
          <w:tcPr>
            <w:tcW w:w="1120" w:type="dxa"/>
            <w:vAlign w:val="bottom"/>
          </w:tcPr>
          <w:p>
            <w:pPr>
              <w:spacing w:after="0"/>
              <w:rPr>
                <w:sz w:val="15"/>
                <w:szCs w:val="15"/>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1,478</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1,478</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rPr>
              <w:t>4,432</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03/30/2024</w:t>
            </w:r>
          </w:p>
        </w:tc>
        <w:tc>
          <w:tcPr>
            <w:tcW w:w="112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ind w:left="1"/>
              <w:spacing w:after="0"/>
              <w:rPr>
                <w:sz w:val="20"/>
                <w:szCs w:val="20"/>
                <w:color w:val="auto"/>
              </w:rPr>
            </w:pPr>
            <w:r>
              <w:rPr>
                <w:rFonts w:ascii="Times New Roman" w:cs="Times New Roman" w:eastAsia="Times New Roman" w:hAnsi="Times New Roman"/>
                <w:sz w:val="13"/>
                <w:szCs w:val="13"/>
                <w:color w:val="0000FF"/>
              </w:rPr>
              <w:t>5,809</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5,809</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rPr>
              <w:t>5,809</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03/30/2024</w:t>
            </w:r>
          </w:p>
        </w:tc>
        <w:tc>
          <w:tcPr>
            <w:tcW w:w="112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ind w:left="1"/>
              <w:spacing w:after="0"/>
              <w:rPr>
                <w:sz w:val="20"/>
                <w:szCs w:val="20"/>
                <w:color w:val="auto"/>
              </w:rPr>
            </w:pPr>
            <w:r>
              <w:rPr>
                <w:rFonts w:ascii="Times New Roman" w:cs="Times New Roman" w:eastAsia="Times New Roman" w:hAnsi="Times New Roman"/>
                <w:sz w:val="13"/>
                <w:szCs w:val="13"/>
                <w:color w:val="0000FF"/>
              </w:rPr>
              <w:t>5,809</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5,809</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rPr>
              <w:t>5,809</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03/30/2024</w:t>
            </w:r>
          </w:p>
        </w:tc>
        <w:tc>
          <w:tcPr>
            <w:tcW w:w="112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ind w:left="1"/>
              <w:spacing w:after="0"/>
              <w:rPr>
                <w:sz w:val="20"/>
                <w:szCs w:val="20"/>
                <w:color w:val="auto"/>
              </w:rPr>
            </w:pPr>
            <w:r>
              <w:rPr>
                <w:rFonts w:ascii="Times New Roman" w:cs="Times New Roman" w:eastAsia="Times New Roman" w:hAnsi="Times New Roman"/>
                <w:sz w:val="13"/>
                <w:szCs w:val="13"/>
                <w:color w:val="0000FF"/>
              </w:rPr>
              <w:t>2,904</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2,904</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rPr>
              <w:t>2,904</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03/30/2024</w:t>
            </w:r>
          </w:p>
        </w:tc>
        <w:tc>
          <w:tcPr>
            <w:tcW w:w="112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ind w:left="1"/>
              <w:spacing w:after="0"/>
              <w:rPr>
                <w:sz w:val="20"/>
                <w:szCs w:val="20"/>
                <w:color w:val="auto"/>
              </w:rPr>
            </w:pPr>
            <w:r>
              <w:rPr>
                <w:rFonts w:ascii="Times New Roman" w:cs="Times New Roman" w:eastAsia="Times New Roman" w:hAnsi="Times New Roman"/>
                <w:sz w:val="13"/>
                <w:szCs w:val="13"/>
                <w:color w:val="0000FF"/>
              </w:rPr>
              <w:t>2,904</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2,904</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rPr>
              <w:t>2,904</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12,700</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Appreciation</w:t>
            </w:r>
          </w:p>
        </w:tc>
        <w:tc>
          <w:tcPr>
            <w:tcW w:w="760" w:type="dxa"/>
            <w:vAlign w:val="bottom"/>
          </w:tcPr>
          <w:p>
            <w:pPr>
              <w:jc w:val="center"/>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55.94</w:t>
            </w:r>
          </w:p>
        </w:tc>
        <w:tc>
          <w:tcPr>
            <w:tcW w:w="102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03/30/2024</w:t>
            </w:r>
          </w:p>
        </w:tc>
        <w:tc>
          <w:tcPr>
            <w:tcW w:w="1120" w:type="dxa"/>
            <w:vAlign w:val="bottom"/>
          </w:tcPr>
          <w:p>
            <w:pPr>
              <w:spacing w:after="0"/>
              <w:rPr>
                <w:sz w:val="11"/>
                <w:szCs w:val="11"/>
                <w:color w:val="auto"/>
              </w:rPr>
            </w:pPr>
          </w:p>
        </w:tc>
        <w:tc>
          <w:tcPr>
            <w:tcW w:w="700" w:type="dxa"/>
            <w:vAlign w:val="bottom"/>
          </w:tcPr>
          <w:p>
            <w:pPr>
              <w:ind w:left="160"/>
              <w:spacing w:after="0" w:line="127"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jc w:val="center"/>
              <w:ind w:left="1"/>
              <w:spacing w:after="0" w:line="127" w:lineRule="exact"/>
              <w:rPr>
                <w:sz w:val="20"/>
                <w:szCs w:val="20"/>
                <w:color w:val="auto"/>
              </w:rPr>
            </w:pPr>
            <w:r>
              <w:rPr>
                <w:rFonts w:ascii="Times New Roman" w:cs="Times New Roman" w:eastAsia="Times New Roman" w:hAnsi="Times New Roman"/>
                <w:sz w:val="13"/>
                <w:szCs w:val="13"/>
                <w:color w:val="0000FF"/>
                <w:w w:val="94"/>
              </w:rPr>
              <w:t>12,700</w:t>
            </w:r>
          </w:p>
        </w:tc>
        <w:tc>
          <w:tcPr>
            <w:tcW w:w="4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gridSpan w:val="2"/>
          </w:tcPr>
          <w:p>
            <w:pPr>
              <w:jc w:val="center"/>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12,700</w:t>
            </w:r>
          </w:p>
        </w:tc>
        <w:tc>
          <w:tcPr>
            <w:tcW w:w="64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-3095625</wp:posOffset>
            </wp:positionV>
            <wp:extent cx="28575" cy="3101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10134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and vested performance stock units (PSUs) settled in Ordinary Shares of LivaNova PLC (the Company).</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referenced shares were withheld from distribution to satisfy tax liability.</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LivaNova PLC 2022 Incentive Award Plan (the 2022 Plan) and the award agreement.</w:t>
      </w:r>
    </w:p>
    <w:p>
      <w:pPr>
        <w:spacing w:after="0" w:line="40" w:lineRule="exact"/>
        <w:rPr>
          <w:rFonts w:ascii="Times New Roman" w:cs="Times New Roman" w:eastAsia="Times New Roman" w:hAnsi="Times New Roman"/>
          <w:sz w:val="13"/>
          <w:szCs w:val="13"/>
          <w:color w:val="008000"/>
        </w:rPr>
      </w:pPr>
    </w:p>
    <w:p>
      <w:pPr>
        <w:ind w:left="40" w:right="20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RSUs subject to a four-year vesting in equal annual installments, the first vesting having occurred on March 30, 2024. The RSUs are subject to forfeiture prior to vesting in accordance with the terms of the 2022 Plan and the award agreement.</w:t>
      </w:r>
    </w:p>
    <w:p>
      <w:pPr>
        <w:spacing w:after="0" w:line="21" w:lineRule="exact"/>
        <w:rPr>
          <w:rFonts w:ascii="Times New Roman" w:cs="Times New Roman" w:eastAsia="Times New Roman" w:hAnsi="Times New Roman"/>
          <w:sz w:val="13"/>
          <w:szCs w:val="13"/>
          <w:color w:val="008000"/>
        </w:rPr>
      </w:pPr>
    </w:p>
    <w:p>
      <w:pPr>
        <w:ind w:left="40" w:right="14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RSUs subject to a four-year vesting in equal annual installments, the first vesting occurring on March 30, 2025. The RSUs are subject to forfeiture prior to vesting in accordance with the terms of the 2022 Plan and the award agreement.</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PSU represents a contingent right to receive one Ordinary Share of the Company in accordance with the terms of the 2022 Plan and the award agreement.</w:t>
      </w:r>
    </w:p>
    <w:p>
      <w:pPr>
        <w:spacing w:after="0" w:line="40" w:lineRule="exact"/>
        <w:rPr>
          <w:rFonts w:ascii="Times New Roman" w:cs="Times New Roman" w:eastAsia="Times New Roman" w:hAnsi="Times New Roman"/>
          <w:sz w:val="13"/>
          <w:szCs w:val="13"/>
          <w:color w:val="008000"/>
        </w:rPr>
      </w:pPr>
    </w:p>
    <w:p>
      <w:pPr>
        <w:ind w:left="40" w:right="280" w:hanging="1"/>
        <w:spacing w:after="0" w:line="23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PSUs to vest or lapse on March 30, 2027 based on the Company's total shareholder return (TSR) for the three-year period beginning on January 1, 2024 and ending December 31, 2026 relative to the TSR of an index of companies, as determined by the 2022 Plan Administrator. The number included in column 5 of Table II reflects the target number of PSUs eligible for vesting subject to continued service during the vesting period and the award agreement.</w:t>
      </w:r>
    </w:p>
    <w:p>
      <w:pPr>
        <w:spacing w:after="0" w:line="25" w:lineRule="exact"/>
        <w:rPr>
          <w:rFonts w:ascii="Times New Roman" w:cs="Times New Roman" w:eastAsia="Times New Roman" w:hAnsi="Times New Roman"/>
          <w:sz w:val="13"/>
          <w:szCs w:val="13"/>
          <w:color w:val="008000"/>
        </w:rPr>
      </w:pPr>
    </w:p>
    <w:p>
      <w:pPr>
        <w:ind w:left="40" w:right="26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PSUs to vest or lapse on March 30, 2027 based on how the Company's free cash flow (FCF) for performance period 2024-2026 compares to a target determined by the 2022 Plan Administrator. The number included in column 5 of Table II reflects the target number of PSUs eligible for vesting.</w:t>
      </w:r>
    </w:p>
    <w:p>
      <w:pPr>
        <w:spacing w:after="0" w:line="21" w:lineRule="exact"/>
        <w:rPr>
          <w:rFonts w:ascii="Times New Roman" w:cs="Times New Roman" w:eastAsia="Times New Roman" w:hAnsi="Times New Roman"/>
          <w:sz w:val="13"/>
          <w:szCs w:val="13"/>
          <w:color w:val="008000"/>
        </w:rPr>
      </w:pPr>
    </w:p>
    <w:p>
      <w:pPr>
        <w:jc w:val="both"/>
        <w:ind w:left="40" w:right="320" w:hanging="1"/>
        <w:spacing w:after="0" w:line="23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PSUs to vest or lapse on March 30, 2027 based on how the Company's Return on Investment Capital (ROIC) calculated for the performance period 2024-2026 compares to a target determined by the 2022 Plan Administrator. The number included in column 5 of Table II reflects the target number of PSUs eligible for vesting subject to continued service during the vesting period and the award agreement.</w:t>
      </w:r>
    </w:p>
    <w:p>
      <w:pPr>
        <w:spacing w:after="0" w:line="25" w:lineRule="exact"/>
        <w:rPr>
          <w:rFonts w:ascii="Times New Roman" w:cs="Times New Roman" w:eastAsia="Times New Roman" w:hAnsi="Times New Roman"/>
          <w:sz w:val="13"/>
          <w:szCs w:val="13"/>
          <w:color w:val="008000"/>
        </w:rPr>
      </w:pPr>
    </w:p>
    <w:p>
      <w:pPr>
        <w:ind w:left="40" w:right="160" w:hanging="1"/>
        <w:spacing w:after="0" w:line="247" w:lineRule="auto"/>
        <w:tabs>
          <w:tab w:leader="none" w:pos="2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stock appreciation rights (SARs) subject to a four-year vesting in equal annual installments, the first vesting occurring on March 30, 2025. The SARs are subject to forfeiture prior to vesting in accordance with the terms of the Plan and the award agreement.</w:t>
      </w:r>
    </w:p>
    <w:p>
      <w:pPr>
        <w:sectPr>
          <w:pgSz w:w="11900" w:h="16838" w:orient="portrait"/>
          <w:cols w:equalWidth="0" w:num="1">
            <w:col w:w="11080"/>
          </w:cols>
          <w:pgMar w:left="460" w:top="215" w:right="359" w:bottom="0" w:gutter="0" w:footer="0" w:header="0"/>
          <w:type w:val="continuous"/>
        </w:sectPr>
      </w:pP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Sarah K. Mohr,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-3810</wp:posOffset>
            </wp:positionV>
            <wp:extent cx="1318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spacing w:after="0" w:line="1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179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37"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475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15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0" w:lineRule="exact"/>
        <w:rPr>
          <w:sz w:val="24"/>
          <w:szCs w:val="24"/>
          <w:color w:val="auto"/>
        </w:rPr>
      </w:pPr>
    </w:p>
    <w:p>
      <w:pPr>
        <w:sectPr>
          <w:pgSz w:w="11900" w:h="16838" w:orient="portrait"/>
          <w:cols w:equalWidth="0" w:num="2">
            <w:col w:w="8660" w:space="140"/>
            <w:col w:w="2280"/>
          </w:cols>
          <w:pgMar w:left="460" w:top="215" w:right="359" w:bottom="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w:t>
      </w:r>
    </w:p>
    <w:p>
      <w:pPr>
        <w:sectPr>
          <w:pgSz w:w="11900" w:h="16838" w:orient="portrait"/>
          <w:cols w:equalWidth="0" w:num="1">
            <w:col w:w="11080"/>
          </w:cols>
          <w:pgMar w:left="460" w:top="21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06626"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2024-04-02T20:23:12Z</dcterms:created>
  <dcterms:modified xsi:type="dcterms:W3CDTF">2024-04-02T20:23:12Z</dcterms:modified>
</cp:coreProperties>
</file>