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31221d1_8k.htm"/>
      <w:bookmarkStart w:id="1" w:name="kstm2331221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3112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November 20,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0025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6762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B_edei--EntityRegistrantName_c2023"/>
      <w:bookmarkEnd w:id="4"/>
      <w:r>
        <w:rPr>
          <w:rFonts w:ascii="Times New Roman;Times;Serif" w:hAnsi="Times New Roman;Times;Serif"/>
          <w:b/>
          <w:i w:val="false"/>
          <w:caps w:val="false"/>
          <w:smallCaps w:val="false"/>
          <w:sz w:val="28"/>
        </w:rPr>
        <w:t>LivaNova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b/>
                <w:sz w:val="20"/>
              </w:rPr>
            </w:pPr>
            <w:bookmarkStart w:id="5" w:name="xdx_90C_edei--EntityIncorporationStateCo"/>
            <w:bookmarkEnd w:id="5"/>
            <w:r>
              <w:rPr>
                <w:b/>
                <w:sz w:val="20"/>
              </w:rPr>
              <w:t>England and Wales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sz w:val="20"/>
              </w:rPr>
            </w:pPr>
            <w:bookmarkStart w:id="6" w:name="xdx_907_edei--EntityFileNumber_c20231120"/>
            <w:bookmarkEnd w:id="6"/>
            <w:r>
              <w:rPr>
                <w:b/>
                <w:sz w:val="20"/>
              </w:rPr>
              <w:t>001-37599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C_edei--EntityTaxIdentificationNum"/>
            <w:bookmarkEnd w:id="7"/>
            <w:r>
              <w:rPr>
                <w:b/>
                <w:sz w:val="20"/>
              </w:rPr>
              <w:t>98-1268150</w:t>
            </w:r>
          </w:p>
        </w:tc>
      </w:tr>
      <w:tr>
        <w:trPr/>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20 Eastbourne Terrace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London, </w:t>
      </w:r>
      <w:bookmarkStart w:id="10" w:name="xdx_90B_edei--EntityAddressPostalZipCode"/>
      <w:bookmarkEnd w:id="10"/>
      <w:r>
        <w:rPr>
          <w:rFonts w:ascii="Times New Roman;Times;Serif" w:hAnsi="Times New Roman;Times;Serif"/>
          <w:b/>
          <w:i w:val="false"/>
          <w:caps w:val="false"/>
          <w:smallCaps w:val="false"/>
          <w:sz w:val="20"/>
        </w:rPr>
        <w:t>W2 6LG</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5_edei--EntityAddressCountry_dxL_c"/>
      <w:bookmarkEnd w:id="11"/>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D_edei--CountryRegion_c20231120__2"/>
      <w:bookmarkEnd w:id="12"/>
      <w:r>
        <w:rPr>
          <w:rFonts w:ascii="Times New Roman;Times;Serif" w:hAnsi="Times New Roman;Times;Serif"/>
          <w:b/>
          <w:i w:val="false"/>
          <w:caps w:val="false"/>
          <w:smallCaps w:val="false"/>
          <w:sz w:val="20"/>
        </w:rPr>
        <w:t xml:space="preserve">44 </w:t>
      </w:r>
      <w:bookmarkStart w:id="13" w:name="xdx_906_edei--CityAreaCode_c20231120__20"/>
      <w:bookmarkEnd w:id="13"/>
      <w:r>
        <w:rPr>
          <w:rFonts w:ascii="Times New Roman;Times;Serif" w:hAnsi="Times New Roman;Times;Serif"/>
          <w:b/>
          <w:i w:val="false"/>
          <w:caps w:val="false"/>
          <w:smallCaps w:val="false"/>
          <w:sz w:val="20"/>
        </w:rPr>
        <w:t xml:space="preserve">20 </w:t>
      </w:r>
      <w:bookmarkStart w:id="14" w:name="xdx_90E_edei--LocalPhoneNumber_c20231120"/>
      <w:bookmarkEnd w:id="14"/>
      <w:r>
        <w:rPr>
          <w:rFonts w:ascii="Times New Roman;Times;Serif" w:hAnsi="Times New Roman;Times;Serif"/>
          <w:b/>
          <w:i w:val="false"/>
          <w:caps w:val="false"/>
          <w:smallCaps w:val="false"/>
          <w:sz w:val="20"/>
        </w:rPr>
        <w:t>33250660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5" w:name="xdx_90D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6" w:name="xdx_906_edei--SolicitingMaterial_c202311"/>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7" w:name="xdx_90F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8" w:name="xdx_904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8670" w:type="dxa"/>
        <w:jc w:val="left"/>
        <w:tblInd w:w="-10" w:type="dxa"/>
        <w:tblLayout w:type="fixed"/>
        <w:tblCellMar>
          <w:top w:w="33" w:type="dxa"/>
          <w:left w:w="28" w:type="dxa"/>
          <w:bottom w:w="30" w:type="dxa"/>
          <w:right w:w="0" w:type="dxa"/>
        </w:tblCellMar>
      </w:tblPr>
      <w:tblGrid>
        <w:gridCol w:w="3500"/>
        <w:gridCol w:w="1535"/>
        <w:gridCol w:w="3635"/>
      </w:tblGrid>
      <w:tr>
        <w:trPr/>
        <w:tc>
          <w:tcPr>
            <w:tcW w:w="350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sz w:val="20"/>
              </w:rPr>
            </w:pPr>
            <w:r>
              <w:rPr>
                <w:sz w:val="20"/>
              </w:rPr>
              <w:t>Trading Symbol(s)</w:t>
            </w:r>
          </w:p>
        </w:tc>
        <w:tc>
          <w:tcPr>
            <w:tcW w:w="363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sz w:val="20"/>
              </w:rPr>
            </w:pPr>
            <w:r>
              <w:rPr>
                <w:sz w:val="20"/>
              </w:rPr>
              <w:t>Name on each exchange on which registered</w:t>
            </w:r>
          </w:p>
        </w:tc>
      </w:tr>
      <w:tr>
        <w:trPr/>
        <w:tc>
          <w:tcPr>
            <w:tcW w:w="350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bookmarkStart w:id="19" w:name="xdx_90F_edei--Security12bTitle_c20231120"/>
            <w:bookmarkEnd w:id="19"/>
            <w:r>
              <w:rPr>
                <w:sz w:val="20"/>
              </w:rPr>
              <w:t>Ordinary Shares - £1.00 par value per share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bookmarkStart w:id="20" w:name="xdx_901_edei--TradingSymbol_c20231120__2"/>
            <w:bookmarkEnd w:id="20"/>
            <w:r>
              <w:rPr>
                <w:sz w:val="20"/>
              </w:rPr>
              <w:t>LIVN</w:t>
            </w:r>
          </w:p>
        </w:tc>
        <w:tc>
          <w:tcPr>
            <w:tcW w:w="363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bookmarkStart w:id="21" w:name="xdx_905_edei--SecurityExchangeName_c2023"/>
            <w:bookmarkEnd w:id="21"/>
            <w:r>
              <w:rPr>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144"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righ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Other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LivaNova PLC (the “Company”) has detected a cybersecurity incident that has resulted in a disruption of portions of its information technology systems. Promptly after detecting the issue, the Company began an investigation with assistance from external cybersecurity experts and is coordinating with law enforcement. The Company continues to assess what information and systems were impacted and is executing its incident response plan, including implementing remediation measures to mitigate the impact of the incident. The Company has and will continue to take actions to remediate the issue, such as taking certain systems offline. The incident, however, has caused, and is expected to continue to cause, disruption to parts of the Company’s business operations. The Company cannot determine at this time the extent of the impact from such event on its business, results of operations, cash flows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Section 27A of the Securities Act and Section 21E of the Exchange Act. These statements include, but are not limited to, express or implied forward-looking statements relating to the Company’s expectations regarding its ability to contain, assess and remediate the cybersecurity incident referenced herein and the impact of the event on the Company’s business, results of operations, cash flows or financial condition. There are a number of risks, uncertainties and other important factors, many of which are beyond the Company’s control, that could cause the Company’s actual results to differ materially from the forward-looking statements. Factors that could cause actual results to differ materially from those expressed or implied include the ongoing assessment of the incident, the legal, regulatory, reputational and financial risks resulting from the incident, the effectiveness of business continuity plans during the incident, and the other factors discussed under the section entitled “Risk Factors” of the Company’s Annual Reports on Form 10-K, Quarterly Reports on Form 10-Q, Current Reports on Form 8-K and other documents filed from time to time with the United States Securities and Exchange Commission by the Company. We caution you not to place undue reliance on any forward-looking statements, which are made only as of the date of this Current Report on Form 8-K. The Company does not undertake or assume any obligation to update publicly any of the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65"/>
        <w:gridCol w:w="60"/>
        <w:gridCol w:w="6485"/>
      </w:tblGrid>
      <w:tr>
        <w:trPr/>
        <w:tc>
          <w:tcPr>
            <w:tcW w:w="665" w:type="dxa"/>
            <w:tcBorders/>
            <w:vAlign w:val="center"/>
          </w:tcPr>
          <w:p>
            <w:pPr>
              <w:pStyle w:val="TableContents"/>
              <w:bidi w:val="0"/>
              <w:spacing w:before="0" w:after="283"/>
              <w:jc w:val="left"/>
              <w:rPr>
                <w:b/>
                <w:sz w:val="20"/>
                <w:u w:val="single"/>
              </w:rPr>
            </w:pPr>
            <w:r>
              <w:rPr>
                <w:b/>
                <w:sz w:val="20"/>
                <w:u w:val="single"/>
              </w:rPr>
              <w:t>Exhibit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b/>
                <w:sz w:val="20"/>
                <w:u w:val="single"/>
              </w:rPr>
            </w:pPr>
            <w:r>
              <w:rPr>
                <w:b/>
                <w:sz w:val="20"/>
                <w:u w:val="single"/>
              </w:rPr>
              <w:t>Description</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6615" w:type="dxa"/>
        <w:jc w:val="left"/>
        <w:tblInd w:w="0" w:type="dxa"/>
        <w:tblLayout w:type="fixed"/>
        <w:tblCellMar>
          <w:top w:w="0" w:type="dxa"/>
          <w:left w:w="0" w:type="dxa"/>
          <w:bottom w:w="0" w:type="dxa"/>
          <w:right w:w="0" w:type="dxa"/>
        </w:tblCellMar>
      </w:tblPr>
      <w:tblGrid>
        <w:gridCol w:w="2120"/>
        <w:gridCol w:w="635"/>
        <w:gridCol w:w="3860"/>
      </w:tblGrid>
      <w:tr>
        <w:trPr/>
        <w:tc>
          <w:tcPr>
            <w:tcW w:w="2120"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both"/>
              <w:rPr>
                <w:sz w:val="20"/>
              </w:rPr>
            </w:pPr>
            <w:r>
              <w:rPr>
                <w:sz w:val="20"/>
              </w:rPr>
              <w:t>LivaNova PLC</w:t>
            </w:r>
          </w:p>
        </w:tc>
      </w:tr>
      <w:tr>
        <w:trPr/>
        <w:tc>
          <w:tcPr>
            <w:tcW w:w="2120"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sz w:val="20"/>
              </w:rPr>
            </w:pPr>
            <w:r>
              <w:rPr>
                <w:sz w:val="20"/>
              </w:rPr>
              <w:t>Date: November 20, 2023</w:t>
            </w:r>
          </w:p>
        </w:tc>
        <w:tc>
          <w:tcPr>
            <w:tcW w:w="635" w:type="dxa"/>
            <w:tcBorders/>
            <w:vAlign w:val="center"/>
          </w:tcPr>
          <w:p>
            <w:pPr>
              <w:pStyle w:val="TableContents"/>
              <w:bidi w:val="0"/>
              <w:spacing w:before="0" w:after="283"/>
              <w:jc w:val="both"/>
              <w:rPr>
                <w:sz w:val="20"/>
              </w:rPr>
            </w:pPr>
            <w:r>
              <w:rPr>
                <w:sz w:val="20"/>
              </w:rPr>
              <w:t>By:</w:t>
            </w:r>
          </w:p>
        </w:tc>
        <w:tc>
          <w:tcPr>
            <w:tcW w:w="386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Michael Hutchinson</w:t>
            </w:r>
          </w:p>
        </w:tc>
      </w:tr>
      <w:tr>
        <w:trPr/>
        <w:tc>
          <w:tcPr>
            <w:tcW w:w="2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sz w:val="20"/>
              </w:rPr>
            </w:pPr>
            <w:r>
              <w:rPr>
                <w:sz w:val="20"/>
              </w:rPr>
              <w:t>Name:  </w:t>
            </w:r>
          </w:p>
        </w:tc>
        <w:tc>
          <w:tcPr>
            <w:tcW w:w="3860" w:type="dxa"/>
            <w:tcBorders/>
            <w:vAlign w:val="center"/>
          </w:tcPr>
          <w:p>
            <w:pPr>
              <w:pStyle w:val="TableContents"/>
              <w:bidi w:val="0"/>
              <w:spacing w:before="0" w:after="283"/>
              <w:jc w:val="both"/>
              <w:rPr>
                <w:sz w:val="20"/>
              </w:rPr>
            </w:pPr>
            <w:r>
              <w:rPr>
                <w:sz w:val="20"/>
              </w:rPr>
              <w:t>Michael Hutchinson</w:t>
            </w:r>
          </w:p>
        </w:tc>
      </w:tr>
      <w:tr>
        <w:trPr/>
        <w:tc>
          <w:tcPr>
            <w:tcW w:w="21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3860" w:type="dxa"/>
            <w:tcBorders/>
            <w:vAlign w:val="center"/>
          </w:tcPr>
          <w:p>
            <w:pPr>
              <w:pStyle w:val="TableContents"/>
              <w:bidi w:val="0"/>
              <w:spacing w:before="0" w:after="283"/>
              <w:jc w:val="left"/>
              <w:rPr>
                <w:sz w:val="20"/>
              </w:rPr>
            </w:pPr>
            <w:r>
              <w:rPr>
                <w:sz w:val="20"/>
              </w:rPr>
              <w:t>SVP, Company Secretary &amp; Chief Legal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830</Words>
  <Characters>4657</Characters>
  <CharactersWithSpaces>5502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