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40"/>
        <w:spacing w:after="0"/>
        <w:rPr>
          <w:sz w:val="20"/>
          <w:szCs w:val="20"/>
          <w:color w:val="auto"/>
        </w:rPr>
      </w:pPr>
      <w:r>
        <w:rPr>
          <w:rFonts w:ascii="Arial" w:cs="Arial" w:eastAsia="Arial" w:hAnsi="Arial"/>
          <w:sz w:val="32"/>
          <w:szCs w:val="32"/>
          <w:b w:val="1"/>
          <w:bCs w:val="1"/>
          <w:color w:val="auto"/>
        </w:rPr>
        <w:t>SECURITIES AND EXCHANGE COMMISSION</w:t>
      </w:r>
    </w:p>
    <w:p>
      <w:pPr>
        <w:ind w:left="40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NOTIFICATION OF LATE FILING</w:t>
      </w:r>
    </w:p>
    <w:p>
      <w:pPr>
        <w:spacing w:after="0" w:line="219"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SEC FILE NUMBER: 001-37599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CUSIP NUMBER: G5509L 101</w:t>
      </w:r>
    </w:p>
    <w:p>
      <w:pPr>
        <w:spacing w:after="0" w:line="220" w:lineRule="exact"/>
        <w:rPr>
          <w:sz w:val="24"/>
          <w:szCs w:val="24"/>
          <w:color w:val="auto"/>
        </w:rPr>
      </w:pPr>
    </w:p>
    <w:p>
      <w:pPr>
        <w:ind w:left="1600"/>
        <w:spacing w:after="0" w:line="207" w:lineRule="exact"/>
        <w:tabs>
          <w:tab w:leader="none" w:pos="286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 xml:space="preserve">  ☐ </w:t>
      </w:r>
      <w:r>
        <w:rPr>
          <w:rFonts w:ascii="Arial" w:cs="Arial" w:eastAsia="Arial" w:hAnsi="Arial"/>
          <w:sz w:val="18"/>
          <w:szCs w:val="18"/>
          <w:color w:val="auto"/>
        </w:rPr>
        <w:t>Form 20-F</w:t>
      </w:r>
      <w:r>
        <w:rPr>
          <w:rFonts w:ascii="MS PGothic" w:cs="MS PGothic" w:eastAsia="MS PGothic" w:hAnsi="MS PGothic"/>
          <w:sz w:val="18"/>
          <w:szCs w:val="18"/>
          <w:color w:val="auto"/>
        </w:rPr>
        <w:t xml:space="preserve">  ☐ </w:t>
      </w:r>
      <w:r>
        <w:rPr>
          <w:rFonts w:ascii="Arial" w:cs="Arial" w:eastAsia="Arial" w:hAnsi="Arial"/>
          <w:sz w:val="18"/>
          <w:szCs w:val="18"/>
          <w:color w:val="auto"/>
        </w:rPr>
        <w:t>Form 11-K</w:t>
      </w:r>
      <w:r>
        <w:rPr>
          <w:rFonts w:ascii="MS PGothic" w:cs="MS PGothic" w:eastAsia="MS PGothic" w:hAnsi="MS PGothic"/>
          <w:sz w:val="18"/>
          <w:szCs w:val="18"/>
          <w:color w:val="auto"/>
        </w:rPr>
        <w:t xml:space="preserve">  ☐ </w:t>
      </w:r>
      <w:r>
        <w:rPr>
          <w:rFonts w:ascii="Arial" w:cs="Arial" w:eastAsia="Arial" w:hAnsi="Arial"/>
          <w:sz w:val="18"/>
          <w:szCs w:val="18"/>
          <w:color w:val="auto"/>
        </w:rPr>
        <w:t>Form 10-Q</w:t>
      </w:r>
    </w:p>
    <w:p>
      <w:pPr>
        <w:spacing w:after="0" w:line="51" w:lineRule="exact"/>
        <w:rPr>
          <w:sz w:val="24"/>
          <w:szCs w:val="24"/>
          <w:color w:val="auto"/>
        </w:rPr>
      </w:pPr>
    </w:p>
    <w:p>
      <w:pPr>
        <w:ind w:left="2880" w:right="4259" w:hanging="10"/>
        <w:spacing w:after="0" w:line="333" w:lineRule="exact"/>
        <w:tabs>
          <w:tab w:leader="none" w:pos="31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 For Period Ended:</w:t>
      </w:r>
    </w:p>
    <w:p>
      <w:pPr>
        <w:spacing w:after="0" w:line="203" w:lineRule="exact"/>
        <w:rPr>
          <w:sz w:val="24"/>
          <w:szCs w:val="24"/>
          <w:color w:val="auto"/>
        </w:rPr>
      </w:pPr>
    </w:p>
    <w:p>
      <w:pPr>
        <w:ind w:left="3120" w:hanging="250"/>
        <w:spacing w:after="0"/>
        <w:tabs>
          <w:tab w:leader="none" w:pos="3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17" w:lineRule="exact"/>
        <w:rPr>
          <w:sz w:val="24"/>
          <w:szCs w:val="24"/>
          <w:color w:val="auto"/>
        </w:rPr>
      </w:pPr>
    </w:p>
    <w:p>
      <w:pPr>
        <w:ind w:left="3120" w:hanging="250"/>
        <w:spacing w:after="0"/>
        <w:tabs>
          <w:tab w:leader="none" w:pos="3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117" w:lineRule="exact"/>
        <w:rPr>
          <w:rFonts w:ascii="MS PGothic" w:cs="MS PGothic" w:eastAsia="MS PGothic" w:hAnsi="MS PGothic"/>
          <w:sz w:val="18"/>
          <w:szCs w:val="18"/>
          <w:color w:val="auto"/>
        </w:rPr>
      </w:pPr>
    </w:p>
    <w:p>
      <w:pPr>
        <w:ind w:left="3120" w:hanging="250"/>
        <w:spacing w:after="0"/>
        <w:tabs>
          <w:tab w:leader="none" w:pos="3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117" w:lineRule="exact"/>
        <w:rPr>
          <w:rFonts w:ascii="MS PGothic" w:cs="MS PGothic" w:eastAsia="MS PGothic" w:hAnsi="MS PGothic"/>
          <w:sz w:val="18"/>
          <w:szCs w:val="18"/>
          <w:color w:val="auto"/>
        </w:rPr>
      </w:pPr>
    </w:p>
    <w:p>
      <w:pPr>
        <w:ind w:left="3120" w:hanging="250"/>
        <w:spacing w:after="0"/>
        <w:tabs>
          <w:tab w:leader="none" w:pos="3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17" w:lineRule="exact"/>
        <w:rPr>
          <w:rFonts w:ascii="MS PGothic" w:cs="MS PGothic" w:eastAsia="MS PGothic" w:hAnsi="MS PGothic"/>
          <w:sz w:val="18"/>
          <w:szCs w:val="18"/>
          <w:color w:val="auto"/>
        </w:rPr>
      </w:pPr>
    </w:p>
    <w:p>
      <w:pPr>
        <w:ind w:left="3120" w:hanging="250"/>
        <w:spacing w:after="0"/>
        <w:tabs>
          <w:tab w:leader="none" w:pos="31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For the Transition Period Ended: </w:t>
      </w:r>
      <w:r>
        <w:rPr>
          <w:rFonts w:ascii="Arial" w:cs="Arial" w:eastAsia="Arial" w:hAnsi="Arial"/>
          <w:sz w:val="18"/>
          <w:szCs w:val="18"/>
          <w:u w:val="single" w:color="auto"/>
          <w:color w:val="auto"/>
        </w:rPr>
        <w:t>December 31, 2015</w:t>
      </w:r>
    </w:p>
    <w:p>
      <w:pPr>
        <w:spacing w:after="0" w:line="266" w:lineRule="exact"/>
        <w:rPr>
          <w:sz w:val="24"/>
          <w:szCs w:val="24"/>
          <w:color w:val="auto"/>
        </w:rPr>
      </w:pPr>
    </w:p>
    <w:p>
      <w:pPr>
        <w:jc w:val="center"/>
        <w:ind w:right="-76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-130175</wp:posOffset>
            </wp:positionV>
            <wp:extent cx="7254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spacing w:after="0" w:line="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Nothing in the form shall be construed to imply that the Commission has verified any information contained herein.</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ectPr>
          <w:pgSz w:w="11900" w:h="16838" w:orient="portrait"/>
          <w:cols w:equalWidth="0" w:num="1">
            <w:col w:w="9759"/>
          </w:cols>
          <w:pgMar w:left="700" w:top="517"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PART I — REGISTRANT INFORMATION</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Full Name of Registrant</w:t>
      </w:r>
    </w:p>
    <w:p>
      <w:pPr>
        <w:spacing w:after="0" w:line="3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Former Name if Applicable</w:t>
      </w:r>
    </w:p>
    <w:p>
      <w:pPr>
        <w:spacing w:after="0" w:line="3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5 Merchant Square, North Wharf Road</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London, United Kingdom W2 1AY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Address of Principal Executive Office (</w:t>
      </w:r>
      <w:r>
        <w:rPr>
          <w:rFonts w:ascii="Arial" w:cs="Arial" w:eastAsia="Arial" w:hAnsi="Arial"/>
          <w:sz w:val="18"/>
          <w:szCs w:val="18"/>
          <w:i w:val="1"/>
          <w:iCs w:val="1"/>
          <w:color w:val="auto"/>
        </w:rPr>
        <w:t>Street and number</w:t>
      </w:r>
      <w:r>
        <w:rPr>
          <w:rFonts w:ascii="Arial" w:cs="Arial" w:eastAsia="Arial" w:hAnsi="Arial"/>
          <w:sz w:val="18"/>
          <w:szCs w:val="18"/>
          <w:color w:val="auto"/>
        </w:rPr>
        <w: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PART II — RULE 12b-25(b) AND (c)</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0"/>
          <w:szCs w:val="20"/>
          <w:color w:val="auto"/>
        </w:rPr>
      </w:pPr>
    </w:p>
    <w:p>
      <w:pPr>
        <w:ind w:left="640" w:hanging="488"/>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  The reasons described in reasonable detail in Part III of this form could not be eliminated without unreasonable effort or expense;</w:t>
      </w:r>
    </w:p>
    <w:p>
      <w:pPr>
        <w:spacing w:after="0" w:line="225" w:lineRule="exact"/>
        <w:rPr>
          <w:rFonts w:ascii="MS PGothic" w:cs="MS PGothic" w:eastAsia="MS PGothic" w:hAnsi="MS PGothic"/>
          <w:sz w:val="18"/>
          <w:szCs w:val="18"/>
          <w:color w:val="auto"/>
        </w:rPr>
      </w:pPr>
    </w:p>
    <w:p>
      <w:pPr>
        <w:ind w:left="960" w:right="60" w:hanging="808"/>
        <w:spacing w:after="0" w:line="286" w:lineRule="auto"/>
        <w:tabs>
          <w:tab w:leader="none" w:pos="63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(b) The subject annual report, semi-annual report, transition report on Form 10-K, Form 20-F, 11-K, Form N-SAR or Form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-708660</wp:posOffset>
            </wp:positionV>
            <wp:extent cx="8890" cy="960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146" w:lineRule="exact"/>
        <w:rPr>
          <w:sz w:val="20"/>
          <w:szCs w:val="20"/>
          <w:color w:val="auto"/>
        </w:rPr>
      </w:pPr>
    </w:p>
    <w:p>
      <w:pPr>
        <w:ind w:left="640" w:hanging="488"/>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PART III — NARRATIVE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or portion thereof, could not be filed within the prescribed time period.</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 On October 19, 2015, and pursuant to the terms of a definitive Transaction Agreement entered into by LivaNova, Cyberonics, Sorin and Merger Sub, dated March 23, 2015,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LivaNova’s Transition Report on Form 10-K for the transition period from April 25, 2015 to December 31, 2015, cannot be filed within the prescribed time period without unreasonable effort or expense because of a delay in assembling the information necessary to complete the transitional annual report on Form 10-K due to the complexity and timing of the aforementioned transaction and the requirement to prepare financial information of Sorin in accordance with generally accepted accounting principles in the United States when it has historically only presented information prepared in accordance with International Financial Reporting Standards . LivaNova expects that the transitional annual report on Form 10-K that is the subject hereof will be filed within the time frame allowed by the extension.</w:t>
      </w:r>
    </w:p>
    <w:p>
      <w:pPr>
        <w:sectPr>
          <w:pgSz w:w="11900" w:h="16838" w:orient="portrait"/>
          <w:cols w:equalWidth="0" w:num="1">
            <w:col w:w="11380"/>
          </w:cols>
          <w:pgMar w:left="240" w:top="54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PART IV — OTHER INFORMATION</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Vivid Sehgal</w:t>
      </w:r>
    </w:p>
    <w:p>
      <w:pPr>
        <w:spacing w:after="0" w:line="4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(Area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44-0-203-786-5281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w:t>
      </w:r>
    </w:p>
    <w:p>
      <w:pPr>
        <w:spacing w:after="0" w:line="222" w:lineRule="exact"/>
        <w:rPr>
          <w:sz w:val="20"/>
          <w:szCs w:val="20"/>
          <w:color w:val="auto"/>
        </w:rPr>
      </w:pPr>
    </w:p>
    <w:p>
      <w:pPr>
        <w:sectPr>
          <w:pgSz w:w="11900" w:h="16838" w:orient="portrait"/>
          <w:cols w:equalWidth="0" w:num="3">
            <w:col w:w="4860" w:space="720"/>
            <w:col w:w="2600" w:space="720"/>
            <w:col w:w="2520"/>
          </w:cols>
          <w:pgMar w:left="240" w:top="692" w:right="239" w:bottom="1440" w:gutter="0" w:footer="0" w:header="0"/>
          <w:type w:val="continuous"/>
        </w:sectPr>
      </w:pPr>
    </w:p>
    <w:p>
      <w:pPr>
        <w:spacing w:after="0" w:line="11" w:lineRule="exact"/>
        <w:rPr>
          <w:sz w:val="20"/>
          <w:szCs w:val="20"/>
          <w:color w:val="auto"/>
        </w:rPr>
      </w:pPr>
    </w:p>
    <w:p>
      <w:pPr>
        <w:ind w:left="360" w:right="80" w:hanging="352"/>
        <w:spacing w:after="0" w:line="25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ind w:left="10460" w:hanging="244"/>
        <w:spacing w:after="0" w:line="207" w:lineRule="exact"/>
        <w:tabs>
          <w:tab w:leader="none" w:pos="1046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4" w:lineRule="exact"/>
        <w:rPr>
          <w:rFonts w:ascii="MS PGothic" w:cs="MS PGothic" w:eastAsia="MS PGothic" w:hAnsi="MS PGothic"/>
          <w:sz w:val="18"/>
          <w:szCs w:val="18"/>
          <w:color w:val="auto"/>
        </w:rPr>
      </w:pPr>
    </w:p>
    <w:p>
      <w:pPr>
        <w:ind w:left="360" w:right="80" w:hanging="352"/>
        <w:spacing w:after="0" w:line="25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ind w:left="10460" w:hanging="199"/>
        <w:spacing w:after="0" w:line="207" w:lineRule="exact"/>
        <w:tabs>
          <w:tab w:leader="none" w:pos="10460" w:val="left"/>
        </w:tabs>
        <w:numPr>
          <w:ilvl w:val="2"/>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4"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the Mergers, LivaNova became the holding company of the combined businesses of Cyberonics and Sorin and the successor company to Cyberonics. LivaNova utilizes a calendar year ending December 31st of each year. Prior to the Mergers, Cyberonics utilized a 52/53-week fiscal year that ended on the last Friday in April. In this Transition Report on Form 10-K, LivaNova will report results for Cyberonics and its consolidated subsidiaries for the transitional period April 25, 2015 to December 31, 2015. We will include as part of Item 7. Management’s Discussion and Analysis of Financial Condition and Results of Operations the equivalent unaudited prior year financial information covering the period April 26, 2014 to December 26, 2014, which is based on historical Cyberonics data and is matched to the current transitional year as closely as possible. In addition, the transitional year ended December 31, 2015 includes Sorin activity for the period October 19, 2015 to December 31, 2015.</w:t>
      </w:r>
    </w:p>
    <w:p>
      <w:pPr>
        <w:spacing w:after="0" w:line="178" w:lineRule="exact"/>
        <w:rPr>
          <w:sz w:val="20"/>
          <w:szCs w:val="20"/>
          <w:color w:val="auto"/>
        </w:rPr>
      </w:pPr>
    </w:p>
    <w:p>
      <w:pPr>
        <w:ind w:right="520" w:firstLine="456"/>
        <w:spacing w:after="0" w:line="279" w:lineRule="auto"/>
        <w:rPr>
          <w:sz w:val="20"/>
          <w:szCs w:val="20"/>
          <w:color w:val="auto"/>
        </w:rPr>
      </w:pPr>
      <w:r>
        <w:rPr>
          <w:rFonts w:ascii="Arial" w:cs="Arial" w:eastAsia="Arial" w:hAnsi="Arial"/>
          <w:sz w:val="17"/>
          <w:szCs w:val="17"/>
          <w:color w:val="auto"/>
        </w:rPr>
        <w:t>Upon completion of the Mergers, LivaNova also reorganized its reporting structure and aligned its operations into business segments, whereas Cyberonics did not previously divide its operations for purposes of segment reporting. The transition report will reflect that, following the Mergers, the Cyberonics operations and historical data are now included in LivaNova’s Neuromodulation Business Unit, and the Sorin businesses activities are now included under the Cardiac Surgery and Cardiac Rhythm Management Business Units from October 19, 2015.</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Among other differences, the condensed consolidated statement of operations for the transitional period April 25, 2015 to December 31, 2015 is expected to include merger, integration and restructuring related expenses of approximately $42 million, $14 million and $11 million, respectively, which will include professional fees for legal services, accounting services, due diligence, a fairness opinion, investment banking fees and the preparation of registration and regulatory filings in the United States and Europe, as well as logistics and other integration and restructuring related expenses, as compared to $9 million in merger-related expenses and $0 in integration and restructuring expenses for the prior fiscal year April 26, 2014 to April 24, 2015.</w:t>
      </w:r>
    </w:p>
    <w:p>
      <w:pPr>
        <w:sectPr>
          <w:pgSz w:w="11900" w:h="16838" w:orient="portrait"/>
          <w:cols w:equalWidth="0" w:num="1">
            <w:col w:w="11420"/>
          </w:cols>
          <w:pgMar w:left="240" w:top="692" w:right="239" w:bottom="1440" w:gutter="0" w:footer="0" w:header="0"/>
          <w:type w:val="continuous"/>
        </w:sectPr>
      </w:pPr>
    </w:p>
    <w:bookmarkStart w:id="3" w:name="page4"/>
    <w:bookmarkEnd w:id="3"/>
    <w:p>
      <w:pPr>
        <w:ind w:left="4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LivaNova PLC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00" w:lineRule="exact"/>
        <w:rPr>
          <w:sz w:val="20"/>
          <w:szCs w:val="20"/>
          <w:color w:val="auto"/>
        </w:rPr>
      </w:pPr>
    </w:p>
    <w:p>
      <w:pPr>
        <w:spacing w:after="0" w:line="26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H. Browne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Gregory H. Browne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Finance</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2019-12-09T01:06:29Z</dcterms:created>
  <dcterms:modified xsi:type="dcterms:W3CDTF">2019-12-09T01:06:29Z</dcterms:modified>
</cp:coreProperties>
</file>