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860"/>
        <w:spacing w:after="0"/>
        <w:rPr>
          <w:sz w:val="20"/>
          <w:szCs w:val="20"/>
          <w:color w:val="auto"/>
        </w:rPr>
      </w:pPr>
      <w:r>
        <w:rPr>
          <w:rFonts w:ascii="Times New Roman" w:cs="Times New Roman" w:eastAsia="Times New Roman" w:hAnsi="Times New Roman"/>
          <w:sz w:val="20"/>
          <w:szCs w:val="20"/>
          <w:b w:val="1"/>
          <w:bCs w:val="1"/>
          <w:color w:val="auto"/>
        </w:rPr>
        <w:t>UNITED STATES</w:t>
      </w:r>
    </w:p>
    <w:p>
      <w:pPr>
        <w:ind w:left="3500"/>
        <w:spacing w:after="0" w:line="196" w:lineRule="auto"/>
        <w:rPr>
          <w:sz w:val="20"/>
          <w:szCs w:val="20"/>
          <w:color w:val="auto"/>
        </w:rPr>
      </w:pPr>
      <w:r>
        <w:rPr>
          <w:rFonts w:ascii="Times New Roman" w:cs="Times New Roman" w:eastAsia="Times New Roman" w:hAnsi="Times New Roman"/>
          <w:sz w:val="20"/>
          <w:szCs w:val="20"/>
          <w:b w:val="1"/>
          <w:bCs w:val="1"/>
          <w:color w:val="auto"/>
        </w:rPr>
        <w:t>SECURITIES AND EXCHANGE COMMISSION</w:t>
      </w:r>
    </w:p>
    <w:p>
      <w:pPr>
        <w:jc w:val="center"/>
        <w:ind w:right="100"/>
        <w:spacing w:after="0" w:line="209" w:lineRule="auto"/>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1" w:lineRule="exact"/>
        <w:rPr>
          <w:sz w:val="24"/>
          <w:szCs w:val="24"/>
          <w:color w:val="auto"/>
        </w:rPr>
      </w:pPr>
    </w:p>
    <w:p>
      <w:pPr>
        <w:ind w:left="4960"/>
        <w:spacing w:after="0"/>
        <w:rPr>
          <w:sz w:val="20"/>
          <w:szCs w:val="20"/>
          <w:color w:val="auto"/>
        </w:rPr>
      </w:pPr>
      <w:r>
        <w:rPr>
          <w:rFonts w:ascii="Times New Roman" w:cs="Times New Roman" w:eastAsia="Times New Roman" w:hAnsi="Times New Roman"/>
          <w:sz w:val="11"/>
          <w:szCs w:val="11"/>
          <w:color w:val="auto"/>
        </w:rPr>
        <w:t>_________________________</w:t>
      </w:r>
    </w:p>
    <w:p>
      <w:pPr>
        <w:spacing w:after="0" w:line="39"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349"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6"/>
          <w:szCs w:val="16"/>
          <w:color w:val="auto"/>
        </w:rPr>
        <w:t>(Mark One)</w:t>
      </w:r>
    </w:p>
    <w:p>
      <w:pPr>
        <w:spacing w:after="0" w:line="26" w:lineRule="exact"/>
        <w:rPr>
          <w:sz w:val="24"/>
          <w:szCs w:val="24"/>
          <w:color w:val="auto"/>
        </w:rPr>
      </w:pPr>
    </w:p>
    <w:p>
      <w:pPr>
        <w:ind w:left="4160" w:right="1460" w:hanging="2788"/>
        <w:spacing w:after="0" w:line="262" w:lineRule="auto"/>
        <w:tabs>
          <w:tab w:leader="none" w:pos="1690" w:val="left"/>
        </w:tabs>
        <w:numPr>
          <w:ilvl w:val="1"/>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 xml:space="preserve">QUARTERLY REPORT PURSUANT TO SECTION 13 OR 15(d) OF THE SECURITIES EXCHANGE ACT OF 1934 </w:t>
      </w:r>
      <w:r>
        <w:rPr>
          <w:rFonts w:ascii="Times New Roman" w:cs="Times New Roman" w:eastAsia="Times New Roman" w:hAnsi="Times New Roman"/>
          <w:sz w:val="16"/>
          <w:szCs w:val="16"/>
          <w:color w:val="auto"/>
        </w:rPr>
        <w:t>For the quarterly period ended: June 30, 2025</w:t>
      </w:r>
    </w:p>
    <w:p>
      <w:pPr>
        <w:spacing w:after="0" w:line="1" w:lineRule="exact"/>
        <w:rPr>
          <w:rFonts w:ascii="MS PGothic" w:cs="MS PGothic" w:eastAsia="MS PGothic" w:hAnsi="MS PGothic"/>
          <w:sz w:val="16"/>
          <w:szCs w:val="16"/>
          <w:color w:val="auto"/>
        </w:rPr>
      </w:pPr>
    </w:p>
    <w:p>
      <w:pPr>
        <w:ind w:left="5540"/>
        <w:spacing w:after="0"/>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or</w:t>
      </w:r>
    </w:p>
    <w:p>
      <w:pPr>
        <w:spacing w:after="0" w:line="17" w:lineRule="exact"/>
        <w:rPr>
          <w:rFonts w:ascii="MS PGothic" w:cs="MS PGothic" w:eastAsia="MS PGothic" w:hAnsi="MS PGothic"/>
          <w:sz w:val="16"/>
          <w:szCs w:val="16"/>
          <w:color w:val="auto"/>
        </w:rPr>
      </w:pPr>
    </w:p>
    <w:p>
      <w:pPr>
        <w:ind w:left="3340" w:right="1460" w:hanging="1974"/>
        <w:spacing w:after="0" w:line="285" w:lineRule="auto"/>
        <w:tabs>
          <w:tab w:leader="none" w:pos="1682"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 xml:space="preserve">TRANSITION REPORT PURSUANT TO SECTION 13 OR 15(d) OF THE SECURITIES EXCHANGE ACT OF 1934 </w:t>
      </w:r>
      <w:r>
        <w:rPr>
          <w:rFonts w:ascii="Times New Roman" w:cs="Times New Roman" w:eastAsia="Times New Roman" w:hAnsi="Times New Roman"/>
          <w:sz w:val="16"/>
          <w:szCs w:val="16"/>
          <w:color w:val="auto"/>
        </w:rPr>
        <w:t>For the transition period from _______________ to _______________</w:t>
      </w:r>
    </w:p>
    <w:p>
      <w:pPr>
        <w:spacing w:after="0" w:line="198"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Commission file number: 001-37599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2538730</wp:posOffset>
            </wp:positionH>
            <wp:positionV relativeFrom="paragraph">
              <wp:posOffset>20955</wp:posOffset>
            </wp:positionV>
            <wp:extent cx="2065020" cy="4610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65020" cy="4610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29"/>
          <w:szCs w:val="29"/>
          <w:b w:val="1"/>
          <w:bCs w:val="1"/>
          <w:color w:val="auto"/>
        </w:rPr>
        <w:t>LivaNova PLC</w:t>
      </w:r>
    </w:p>
    <w:p>
      <w:pPr>
        <w:spacing w:after="0" w:line="78"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6"/>
          <w:szCs w:val="16"/>
          <w:i w:val="1"/>
          <w:iCs w:val="1"/>
          <w:color w:val="auto"/>
        </w:rPr>
        <w:t>(Exact name of registrant as specified in its charter)</w:t>
      </w:r>
    </w:p>
    <w:p>
      <w:pPr>
        <w:spacing w:after="0" w:line="152" w:lineRule="exact"/>
        <w:rPr>
          <w:sz w:val="24"/>
          <w:szCs w:val="24"/>
          <w:color w:val="auto"/>
        </w:rPr>
      </w:pPr>
    </w:p>
    <w:tbl>
      <w:tblPr>
        <w:tblLayout w:type="fixed"/>
        <w:tblInd w:w="160" w:type="dxa"/>
        <w:tblCellMar>
          <w:top w:w="0" w:type="dxa"/>
          <w:left w:w="0" w:type="dxa"/>
          <w:bottom w:w="0" w:type="dxa"/>
          <w:right w:w="0" w:type="dxa"/>
        </w:tblCellMar>
      </w:tblPr>
      <w:tr>
        <w:trPr>
          <w:trHeight w:val="188"/>
        </w:trPr>
        <w:tc>
          <w:tcPr>
            <w:tcW w:w="18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6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w w:val="95"/>
              </w:rPr>
              <w:t xml:space="preserve">England and Wales </w:t>
            </w:r>
            <w:r>
              <w:rPr>
                <w:rFonts w:ascii="Times New Roman" w:cs="Times New Roman" w:eastAsia="Times New Roman" w:hAnsi="Times New Roman"/>
                <w:sz w:val="16"/>
                <w:szCs w:val="16"/>
                <w:i w:val="1"/>
                <w:iCs w:val="1"/>
                <w:color w:val="FFFFFF"/>
                <w:w w:val="95"/>
              </w:rPr>
              <w:t>...................</w:t>
            </w:r>
          </w:p>
        </w:tc>
        <w:tc>
          <w:tcPr>
            <w:tcW w:w="1080" w:type="dxa"/>
            <w:vAlign w:val="bottom"/>
          </w:tcPr>
          <w:p>
            <w:pPr>
              <w:jc w:val="center"/>
              <w:ind w:left="99"/>
              <w:spacing w:after="0"/>
              <w:rPr>
                <w:sz w:val="20"/>
                <w:szCs w:val="20"/>
                <w:color w:val="auto"/>
              </w:rPr>
            </w:pPr>
            <w:r>
              <w:rPr>
                <w:rFonts w:ascii="Times New Roman" w:cs="Times New Roman" w:eastAsia="Times New Roman" w:hAnsi="Times New Roman"/>
                <w:sz w:val="16"/>
                <w:szCs w:val="16"/>
                <w:b w:val="1"/>
                <w:bCs w:val="1"/>
                <w:color w:val="auto"/>
              </w:rPr>
              <w:t>98-1268150</w:t>
            </w:r>
          </w:p>
        </w:tc>
        <w:tc>
          <w:tcPr>
            <w:tcW w:w="286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88"/>
        </w:trPr>
        <w:tc>
          <w:tcPr>
            <w:tcW w:w="18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000" w:type="dxa"/>
            <w:vAlign w:val="bottom"/>
            <w:gridSpan w:val="4"/>
          </w:tcPr>
          <w:p>
            <w:pPr>
              <w:jc w:val="right"/>
              <w:spacing w:after="0"/>
              <w:rPr>
                <w:sz w:val="20"/>
                <w:szCs w:val="20"/>
                <w:color w:val="auto"/>
              </w:rPr>
            </w:pPr>
            <w:r>
              <w:rPr>
                <w:rFonts w:ascii="Times New Roman" w:cs="Times New Roman" w:eastAsia="Times New Roman" w:hAnsi="Times New Roman"/>
                <w:sz w:val="16"/>
                <w:szCs w:val="16"/>
                <w:i w:val="1"/>
                <w:iCs w:val="1"/>
                <w:color w:val="auto"/>
              </w:rPr>
              <w:t xml:space="preserve">(State or other jurisdiction of </w:t>
            </w:r>
            <w:r>
              <w:rPr>
                <w:rFonts w:ascii="Times New Roman" w:cs="Times New Roman" w:eastAsia="Times New Roman" w:hAnsi="Times New Roman"/>
                <w:sz w:val="16"/>
                <w:szCs w:val="16"/>
                <w:i w:val="1"/>
                <w:iCs w:val="1"/>
                <w:color w:val="FFFFFF"/>
              </w:rPr>
              <w:t>..........</w:t>
            </w:r>
          </w:p>
        </w:tc>
        <w:tc>
          <w:tcPr>
            <w:tcW w:w="5180" w:type="dxa"/>
            <w:vAlign w:val="bottom"/>
            <w:gridSpan w:val="3"/>
          </w:tcPr>
          <w:p>
            <w:pPr>
              <w:jc w:val="center"/>
              <w:ind w:right="3880"/>
              <w:spacing w:after="0"/>
              <w:rPr>
                <w:sz w:val="20"/>
                <w:szCs w:val="20"/>
                <w:color w:val="auto"/>
              </w:rPr>
            </w:pPr>
            <w:r>
              <w:rPr>
                <w:rFonts w:ascii="Times New Roman" w:cs="Times New Roman" w:eastAsia="Times New Roman" w:hAnsi="Times New Roman"/>
                <w:sz w:val="16"/>
                <w:szCs w:val="16"/>
                <w:i w:val="1"/>
                <w:iCs w:val="1"/>
                <w:color w:val="auto"/>
                <w:w w:val="99"/>
              </w:rPr>
              <w:t>(I.R.S. Employer</w:t>
            </w:r>
          </w:p>
        </w:tc>
      </w:tr>
      <w:tr>
        <w:trPr>
          <w:trHeight w:val="212"/>
        </w:trPr>
        <w:tc>
          <w:tcPr>
            <w:tcW w:w="18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0" w:type="dxa"/>
            <w:vAlign w:val="bottom"/>
            <w:gridSpan w:val="4"/>
          </w:tcPr>
          <w:p>
            <w:pPr>
              <w:jc w:val="right"/>
              <w:spacing w:after="0"/>
              <w:rPr>
                <w:sz w:val="20"/>
                <w:szCs w:val="20"/>
                <w:color w:val="auto"/>
              </w:rPr>
            </w:pPr>
            <w:r>
              <w:rPr>
                <w:rFonts w:ascii="Times New Roman" w:cs="Times New Roman" w:eastAsia="Times New Roman" w:hAnsi="Times New Roman"/>
                <w:sz w:val="16"/>
                <w:szCs w:val="16"/>
                <w:i w:val="1"/>
                <w:iCs w:val="1"/>
                <w:color w:val="auto"/>
              </w:rPr>
              <w:t xml:space="preserve">incorporation or organization) </w:t>
            </w:r>
            <w:r>
              <w:rPr>
                <w:rFonts w:ascii="Times New Roman" w:cs="Times New Roman" w:eastAsia="Times New Roman" w:hAnsi="Times New Roman"/>
                <w:sz w:val="16"/>
                <w:szCs w:val="16"/>
                <w:i w:val="1"/>
                <w:iCs w:val="1"/>
                <w:color w:val="FFFFFF"/>
              </w:rPr>
              <w:t>........</w:t>
            </w:r>
          </w:p>
        </w:tc>
        <w:tc>
          <w:tcPr>
            <w:tcW w:w="5180" w:type="dxa"/>
            <w:vAlign w:val="bottom"/>
            <w:gridSpan w:val="3"/>
          </w:tcPr>
          <w:p>
            <w:pPr>
              <w:jc w:val="center"/>
              <w:ind w:right="3860"/>
              <w:spacing w:after="0"/>
              <w:rPr>
                <w:sz w:val="20"/>
                <w:szCs w:val="20"/>
                <w:color w:val="auto"/>
              </w:rPr>
            </w:pPr>
            <w:r>
              <w:rPr>
                <w:rFonts w:ascii="Times New Roman" w:cs="Times New Roman" w:eastAsia="Times New Roman" w:hAnsi="Times New Roman"/>
                <w:sz w:val="16"/>
                <w:szCs w:val="16"/>
                <w:i w:val="1"/>
                <w:iCs w:val="1"/>
                <w:color w:val="auto"/>
              </w:rPr>
              <w:t>Identification No.)</w:t>
            </w:r>
          </w:p>
        </w:tc>
      </w:tr>
      <w:tr>
        <w:trPr>
          <w:trHeight w:val="339"/>
        </w:trPr>
        <w:tc>
          <w:tcPr>
            <w:tcW w:w="18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180" w:type="dxa"/>
            <w:vAlign w:val="bottom"/>
            <w:gridSpan w:val="7"/>
          </w:tcPr>
          <w:p>
            <w:pPr>
              <w:jc w:val="center"/>
              <w:ind w:right="3240"/>
              <w:spacing w:after="0"/>
              <w:rPr>
                <w:sz w:val="20"/>
                <w:szCs w:val="20"/>
                <w:color w:val="auto"/>
              </w:rPr>
            </w:pPr>
            <w:r>
              <w:rPr>
                <w:rFonts w:ascii="Times New Roman" w:cs="Times New Roman" w:eastAsia="Times New Roman" w:hAnsi="Times New Roman"/>
                <w:sz w:val="16"/>
                <w:szCs w:val="16"/>
                <w:b w:val="1"/>
                <w:bCs w:val="1"/>
                <w:color w:val="auto"/>
              </w:rPr>
              <w:t>20 Eastbourne Terrace, London, United Kingdom</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 xml:space="preserve"> W2 6LG</w:t>
            </w:r>
          </w:p>
        </w:tc>
      </w:tr>
      <w:tr>
        <w:trPr>
          <w:trHeight w:val="212"/>
        </w:trPr>
        <w:tc>
          <w:tcPr>
            <w:tcW w:w="18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0" w:type="dxa"/>
            <w:vAlign w:val="bottom"/>
            <w:gridSpan w:val="4"/>
          </w:tcPr>
          <w:p>
            <w:pPr>
              <w:jc w:val="right"/>
              <w:spacing w:after="0"/>
              <w:rPr>
                <w:sz w:val="20"/>
                <w:szCs w:val="20"/>
                <w:color w:val="auto"/>
              </w:rPr>
            </w:pPr>
            <w:r>
              <w:rPr>
                <w:rFonts w:ascii="Times New Roman" w:cs="Times New Roman" w:eastAsia="Times New Roman" w:hAnsi="Times New Roman"/>
                <w:sz w:val="16"/>
                <w:szCs w:val="16"/>
                <w:i w:val="1"/>
                <w:iCs w:val="1"/>
                <w:color w:val="auto"/>
                <w:w w:val="85"/>
              </w:rPr>
              <w:t xml:space="preserve">(Address of principal executive offices) </w:t>
            </w:r>
            <w:r>
              <w:rPr>
                <w:rFonts w:ascii="Times New Roman" w:cs="Times New Roman" w:eastAsia="Times New Roman" w:hAnsi="Times New Roman"/>
                <w:sz w:val="16"/>
                <w:szCs w:val="16"/>
                <w:i w:val="1"/>
                <w:iCs w:val="1"/>
                <w:color w:val="FFFFFF"/>
                <w:w w:val="85"/>
              </w:rPr>
              <w:t>.......................</w:t>
            </w:r>
          </w:p>
        </w:tc>
        <w:tc>
          <w:tcPr>
            <w:tcW w:w="5180" w:type="dxa"/>
            <w:vAlign w:val="bottom"/>
            <w:gridSpan w:val="3"/>
          </w:tcPr>
          <w:p>
            <w:pPr>
              <w:ind w:left="880"/>
              <w:spacing w:after="0"/>
              <w:rPr>
                <w:sz w:val="20"/>
                <w:szCs w:val="20"/>
                <w:color w:val="auto"/>
              </w:rPr>
            </w:pPr>
            <w:r>
              <w:rPr>
                <w:rFonts w:ascii="Times New Roman" w:cs="Times New Roman" w:eastAsia="Times New Roman" w:hAnsi="Times New Roman"/>
                <w:sz w:val="16"/>
                <w:szCs w:val="16"/>
                <w:i w:val="1"/>
                <w:iCs w:val="1"/>
                <w:color w:val="auto"/>
              </w:rPr>
              <w:t>(Zip Code)</w:t>
            </w:r>
          </w:p>
        </w:tc>
      </w:tr>
      <w:tr>
        <w:trPr>
          <w:trHeight w:val="382"/>
        </w:trPr>
        <w:tc>
          <w:tcPr>
            <w:tcW w:w="18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180" w:type="dxa"/>
            <w:vAlign w:val="bottom"/>
            <w:gridSpan w:val="7"/>
          </w:tcPr>
          <w:p>
            <w:pPr>
              <w:jc w:val="center"/>
              <w:ind w:right="3260"/>
              <w:spacing w:after="0"/>
              <w:rPr>
                <w:sz w:val="20"/>
                <w:szCs w:val="20"/>
                <w:color w:val="auto"/>
              </w:rPr>
            </w:pPr>
            <w:r>
              <w:rPr>
                <w:rFonts w:ascii="Times New Roman" w:cs="Times New Roman" w:eastAsia="Times New Roman" w:hAnsi="Times New Roman"/>
                <w:sz w:val="16"/>
                <w:szCs w:val="16"/>
                <w:i w:val="1"/>
                <w:iCs w:val="1"/>
                <w:color w:val="auto"/>
              </w:rPr>
              <w:t>Registrant</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6"/>
                <w:szCs w:val="16"/>
                <w:i w:val="1"/>
                <w:iCs w:val="1"/>
                <w:color w:val="auto"/>
              </w:rPr>
              <w:t xml:space="preserve">s telephone number, including area code: </w:t>
            </w:r>
            <w:r>
              <w:rPr>
                <w:rFonts w:ascii="Times New Roman" w:cs="Times New Roman" w:eastAsia="Times New Roman" w:hAnsi="Times New Roman"/>
                <w:sz w:val="16"/>
                <w:szCs w:val="16"/>
                <w:b w:val="1"/>
                <w:bCs w:val="1"/>
                <w:color w:val="auto"/>
              </w:rPr>
              <w:t>(44) (0) 203 325-0660</w:t>
            </w:r>
          </w:p>
        </w:tc>
      </w:tr>
      <w:tr>
        <w:trPr>
          <w:trHeight w:val="222"/>
        </w:trPr>
        <w:tc>
          <w:tcPr>
            <w:tcW w:w="18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2"/>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spacing w:after="0"/>
              <w:rPr>
                <w:sz w:val="19"/>
                <w:szCs w:val="19"/>
                <w:color w:val="auto"/>
              </w:rPr>
            </w:pPr>
          </w:p>
        </w:tc>
        <w:tc>
          <w:tcPr>
            <w:tcW w:w="28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r>
      <w:tr>
        <w:trPr>
          <w:trHeight w:val="290"/>
        </w:trPr>
        <w:tc>
          <w:tcPr>
            <w:tcW w:w="18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180" w:type="dxa"/>
            <w:vAlign w:val="bottom"/>
            <w:gridSpan w:val="7"/>
          </w:tcPr>
          <w:p>
            <w:pPr>
              <w:ind w:left="68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r>
      <w:tr>
        <w:trPr>
          <w:trHeight w:val="315"/>
        </w:trPr>
        <w:tc>
          <w:tcPr>
            <w:tcW w:w="184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Trading Symbol(s)</w:t>
            </w: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100" w:type="dxa"/>
            <w:vAlign w:val="bottom"/>
            <w:gridSpan w:val="2"/>
          </w:tcPr>
          <w:p>
            <w:pPr>
              <w:jc w:val="center"/>
              <w:ind w:right="1240"/>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0"/>
        </w:trPr>
        <w:tc>
          <w:tcPr>
            <w:tcW w:w="18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6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30"/>
        </w:trPr>
        <w:tc>
          <w:tcPr>
            <w:tcW w:w="3940" w:type="dxa"/>
            <w:vAlign w:val="bottom"/>
            <w:gridSpan w:val="3"/>
          </w:tcPr>
          <w:p>
            <w:pPr>
              <w:jc w:val="center"/>
              <w:ind w:left="799"/>
              <w:spacing w:after="0"/>
              <w:rPr>
                <w:sz w:val="20"/>
                <w:szCs w:val="20"/>
                <w:color w:val="auto"/>
              </w:rPr>
            </w:pPr>
            <w:r>
              <w:rPr>
                <w:rFonts w:ascii="Times New Roman" w:cs="Times New Roman" w:eastAsia="Times New Roman" w:hAnsi="Times New Roman"/>
                <w:sz w:val="16"/>
                <w:szCs w:val="16"/>
                <w:color w:val="auto"/>
              </w:rPr>
              <w:t>Ordinary Shares - £1.00 par value per share</w:t>
            </w:r>
          </w:p>
        </w:tc>
        <w:tc>
          <w:tcPr>
            <w:tcW w:w="760" w:type="dxa"/>
            <w:vAlign w:val="bottom"/>
          </w:tcPr>
          <w:p>
            <w:pPr>
              <w:spacing w:after="0"/>
              <w:rPr>
                <w:sz w:val="19"/>
                <w:szCs w:val="19"/>
                <w:color w:val="auto"/>
              </w:rPr>
            </w:pPr>
          </w:p>
        </w:tc>
        <w:tc>
          <w:tcPr>
            <w:tcW w:w="130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color w:val="auto"/>
              </w:rPr>
              <w:t>LIVN</w:t>
            </w:r>
          </w:p>
        </w:tc>
        <w:tc>
          <w:tcPr>
            <w:tcW w:w="1080" w:type="dxa"/>
            <w:vAlign w:val="bottom"/>
          </w:tcPr>
          <w:p>
            <w:pPr>
              <w:spacing w:after="0"/>
              <w:rPr>
                <w:sz w:val="19"/>
                <w:szCs w:val="19"/>
                <w:color w:val="auto"/>
              </w:rPr>
            </w:pPr>
          </w:p>
        </w:tc>
        <w:tc>
          <w:tcPr>
            <w:tcW w:w="4100" w:type="dxa"/>
            <w:vAlign w:val="bottom"/>
            <w:gridSpan w:val="2"/>
          </w:tcPr>
          <w:p>
            <w:pPr>
              <w:jc w:val="center"/>
              <w:ind w:right="1220"/>
              <w:spacing w:after="0"/>
              <w:rPr>
                <w:sz w:val="20"/>
                <w:szCs w:val="20"/>
                <w:color w:val="auto"/>
              </w:rPr>
            </w:pPr>
            <w:r>
              <w:rPr>
                <w:rFonts w:ascii="Times New Roman" w:cs="Times New Roman" w:eastAsia="Times New Roman" w:hAnsi="Times New Roman"/>
                <w:sz w:val="16"/>
                <w:szCs w:val="16"/>
                <w:color w:val="auto"/>
              </w:rPr>
              <w:t>The Nasdaq Stock Market LLC</w:t>
            </w:r>
          </w:p>
        </w:tc>
      </w:tr>
    </w:tbl>
    <w:p>
      <w:pPr>
        <w:spacing w:after="0" w:line="86" w:lineRule="exact"/>
        <w:rPr>
          <w:sz w:val="24"/>
          <w:szCs w:val="24"/>
          <w:color w:val="auto"/>
        </w:rPr>
      </w:pPr>
    </w:p>
    <w:p>
      <w:pPr>
        <w:jc w:val="both"/>
        <w:ind w:right="100"/>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1" w:lineRule="exact"/>
        <w:rPr>
          <w:sz w:val="24"/>
          <w:szCs w:val="24"/>
          <w:color w:val="auto"/>
        </w:rPr>
      </w:pPr>
    </w:p>
    <w:p>
      <w:pPr>
        <w:jc w:val="both"/>
        <w:ind w:right="100"/>
        <w:spacing w:after="0" w:line="21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0" w:lineRule="exact"/>
        <w:rPr>
          <w:sz w:val="24"/>
          <w:szCs w:val="24"/>
          <w:color w:val="auto"/>
        </w:rPr>
      </w:pPr>
    </w:p>
    <w:p>
      <w:pPr>
        <w:jc w:val="both"/>
        <w:ind w:right="100"/>
        <w:spacing w:after="0" w:line="279"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8" w:lineRule="exact"/>
        <w:rPr>
          <w:sz w:val="24"/>
          <w:szCs w:val="24"/>
          <w:color w:val="auto"/>
        </w:rPr>
      </w:pPr>
    </w:p>
    <w:tbl>
      <w:tblPr>
        <w:tblLayout w:type="fixed"/>
        <w:tblInd w:w="20" w:type="dxa"/>
        <w:tblCellMar>
          <w:top w:w="0" w:type="dxa"/>
          <w:left w:w="0" w:type="dxa"/>
          <w:bottom w:w="0" w:type="dxa"/>
          <w:right w:w="0" w:type="dxa"/>
        </w:tblCellMar>
      </w:tblPr>
      <w:tr>
        <w:trPr>
          <w:trHeight w:val="215"/>
        </w:trPr>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720" w:type="dxa"/>
            <w:vAlign w:val="bottom"/>
          </w:tcPr>
          <w:p>
            <w:pPr>
              <w:ind w:left="420"/>
              <w:spacing w:after="0" w:line="161" w:lineRule="exact"/>
              <w:rPr>
                <w:sz w:val="20"/>
                <w:szCs w:val="20"/>
                <w:color w:val="auto"/>
              </w:rPr>
            </w:pPr>
            <w:r>
              <w:rPr>
                <w:rFonts w:ascii="MS PGothic" w:cs="MS PGothic" w:eastAsia="MS PGothic" w:hAnsi="MS PGothic"/>
                <w:sz w:val="16"/>
                <w:szCs w:val="16"/>
                <w:color w:val="auto"/>
              </w:rPr>
              <w:t>☑</w:t>
            </w:r>
          </w:p>
        </w:tc>
        <w:tc>
          <w:tcPr>
            <w:tcW w:w="2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Accelerated filer</w:t>
            </w:r>
          </w:p>
        </w:tc>
        <w:tc>
          <w:tcPr>
            <w:tcW w:w="580" w:type="dxa"/>
            <w:vAlign w:val="bottom"/>
          </w:tcPr>
          <w:p>
            <w:pPr>
              <w:ind w:left="4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5"/>
        </w:trPr>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720" w:type="dxa"/>
            <w:vAlign w:val="bottom"/>
          </w:tcPr>
          <w:p>
            <w:pPr>
              <w:ind w:left="420"/>
              <w:spacing w:after="0" w:line="161" w:lineRule="exact"/>
              <w:rPr>
                <w:sz w:val="20"/>
                <w:szCs w:val="20"/>
                <w:color w:val="auto"/>
              </w:rPr>
            </w:pPr>
            <w:r>
              <w:rPr>
                <w:rFonts w:ascii="MS PGothic" w:cs="MS PGothic" w:eastAsia="MS PGothic" w:hAnsi="MS PGothic"/>
                <w:sz w:val="16"/>
                <w:szCs w:val="16"/>
                <w:color w:val="auto"/>
              </w:rPr>
              <w:t>☐</w:t>
            </w:r>
          </w:p>
        </w:tc>
        <w:tc>
          <w:tcPr>
            <w:tcW w:w="2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580" w:type="dxa"/>
            <w:vAlign w:val="bottom"/>
          </w:tcPr>
          <w:p>
            <w:pPr>
              <w:ind w:left="4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720" w:type="dxa"/>
            <w:vAlign w:val="bottom"/>
          </w:tcPr>
          <w:p>
            <w:pPr>
              <w:ind w:left="420"/>
              <w:spacing w:after="0" w:line="161" w:lineRule="exact"/>
              <w:rPr>
                <w:sz w:val="20"/>
                <w:szCs w:val="20"/>
                <w:color w:val="auto"/>
              </w:rPr>
            </w:pPr>
            <w:r>
              <w:rPr>
                <w:rFonts w:ascii="MS PGothic" w:cs="MS PGothic" w:eastAsia="MS PGothic" w:hAnsi="MS PGothic"/>
                <w:sz w:val="16"/>
                <w:szCs w:val="16"/>
                <w:color w:val="auto"/>
              </w:rPr>
              <w:t>☐</w:t>
            </w:r>
          </w:p>
        </w:tc>
        <w:tc>
          <w:tcPr>
            <w:tcW w:w="2340" w:type="dxa"/>
            <w:vAlign w:val="bottom"/>
          </w:tcPr>
          <w:p>
            <w:pPr>
              <w:spacing w:after="0"/>
              <w:rPr>
                <w:sz w:val="23"/>
                <w:szCs w:val="23"/>
                <w:color w:val="auto"/>
              </w:rPr>
            </w:pPr>
          </w:p>
        </w:tc>
        <w:tc>
          <w:tcPr>
            <w:tcW w:w="580" w:type="dxa"/>
            <w:vAlign w:val="bottom"/>
          </w:tcPr>
          <w:p>
            <w:pPr>
              <w:spacing w:after="0"/>
              <w:rPr>
                <w:sz w:val="23"/>
                <w:szCs w:val="23"/>
                <w:color w:val="auto"/>
              </w:rPr>
            </w:pPr>
          </w:p>
        </w:tc>
      </w:tr>
    </w:tbl>
    <w:p>
      <w:pPr>
        <w:spacing w:after="0" w:line="114" w:lineRule="exact"/>
        <w:rPr>
          <w:sz w:val="24"/>
          <w:szCs w:val="24"/>
          <w:color w:val="auto"/>
        </w:rPr>
      </w:pPr>
    </w:p>
    <w:p>
      <w:pPr>
        <w:ind w:right="100"/>
        <w:spacing w:after="0" w:line="21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72"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602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rPr>
              <w:t>Class</w:t>
            </w:r>
          </w:p>
        </w:tc>
        <w:tc>
          <w:tcPr>
            <w:tcW w:w="522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w w:val="99"/>
              </w:rPr>
              <w:t>Outstanding at July 30, 2025</w:t>
            </w:r>
          </w:p>
        </w:tc>
      </w:tr>
      <w:tr>
        <w:trPr>
          <w:trHeight w:val="215"/>
        </w:trPr>
        <w:tc>
          <w:tcPr>
            <w:tcW w:w="602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rPr>
              <w:t>Ordinary Shares - £1.00 par value per share</w:t>
            </w:r>
          </w:p>
        </w:tc>
        <w:tc>
          <w:tcPr>
            <w:tcW w:w="5220" w:type="dxa"/>
            <w:vAlign w:val="bottom"/>
          </w:tcPr>
          <w:p>
            <w:pPr>
              <w:jc w:val="right"/>
              <w:ind w:right="2219"/>
              <w:spacing w:after="0"/>
              <w:rPr>
                <w:sz w:val="20"/>
                <w:szCs w:val="20"/>
                <w:color w:val="auto"/>
              </w:rPr>
            </w:pPr>
            <w:r>
              <w:rPr>
                <w:rFonts w:ascii="Times New Roman" w:cs="Times New Roman" w:eastAsia="Times New Roman" w:hAnsi="Times New Roman"/>
                <w:sz w:val="16"/>
                <w:szCs w:val="16"/>
                <w:color w:val="auto"/>
              </w:rPr>
              <w:t>54,601,073</w:t>
            </w:r>
          </w:p>
        </w:tc>
      </w:tr>
      <w:tr>
        <w:trPr>
          <w:trHeight w:val="684"/>
        </w:trPr>
        <w:tc>
          <w:tcPr>
            <w:tcW w:w="602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40"/>
          </w:cols>
          <w:pgMar w:left="320" w:top="957" w:right="2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21"/>
          <w:szCs w:val="21"/>
          <w:b w:val="1"/>
          <w:bCs w:val="1"/>
          <w:color w:val="auto"/>
        </w:rPr>
        <w:t>LIVANOVA PLC</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TABLE OF CONTENTS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04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Item</w:t>
            </w:r>
          </w:p>
        </w:tc>
        <w:tc>
          <w:tcPr>
            <w:tcW w:w="9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40" w:type="dxa"/>
            <w:vAlign w:val="bottom"/>
          </w:tcPr>
          <w:p>
            <w:pPr>
              <w:spacing w:after="0"/>
              <w:rPr>
                <w:sz w:val="20"/>
                <w:szCs w:val="20"/>
                <w:color w:val="auto"/>
              </w:rPr>
            </w:pPr>
          </w:p>
        </w:tc>
        <w:tc>
          <w:tcPr>
            <w:tcW w:w="96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22"/>
        </w:trPr>
        <w:tc>
          <w:tcPr>
            <w:tcW w:w="9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9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0000FF"/>
              </w:rPr>
              <w:t>Definitions</w:t>
            </w:r>
          </w:p>
        </w:tc>
        <w:tc>
          <w:tcPr>
            <w:tcW w:w="14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0000FF"/>
                <w:w w:val="88"/>
              </w:rPr>
              <w:t>1</w:t>
            </w:r>
          </w:p>
        </w:tc>
      </w:tr>
      <w:tr>
        <w:trPr>
          <w:trHeight w:val="228"/>
        </w:trPr>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10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Intellectual Property, Trademarks, and Trade Names</w:t>
            </w:r>
          </w:p>
        </w:tc>
        <w:tc>
          <w:tcPr>
            <w:tcW w:w="110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0000FF"/>
                <w:w w:val="88"/>
              </w:rPr>
              <w:t>4</w:t>
            </w:r>
          </w:p>
        </w:tc>
      </w:tr>
      <w:tr>
        <w:trPr>
          <w:trHeight w:val="228"/>
        </w:trPr>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0000FF"/>
              </w:rPr>
              <w:t>Cautionary Note About Forward-Looking Statements</w:t>
            </w:r>
          </w:p>
        </w:tc>
        <w:tc>
          <w:tcPr>
            <w:tcW w:w="110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0000FF"/>
                <w:w w:val="88"/>
              </w:rPr>
              <w:t>5</w:t>
            </w:r>
          </w:p>
        </w:tc>
      </w:tr>
      <w:tr>
        <w:trPr>
          <w:trHeight w:val="228"/>
        </w:trPr>
        <w:tc>
          <w:tcPr>
            <w:tcW w:w="9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14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r>
      <w:tr>
        <w:trPr>
          <w:trHeight w:val="222"/>
        </w:trPr>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0000FF"/>
              </w:rPr>
              <w:t>1.</w:t>
            </w:r>
          </w:p>
        </w:tc>
        <w:tc>
          <w:tcPr>
            <w:tcW w:w="100" w:type="dxa"/>
            <w:vAlign w:val="bottom"/>
            <w:shd w:val="clear" w:color="auto" w:fill="CCEEFF"/>
          </w:tcPr>
          <w:p>
            <w:pPr>
              <w:spacing w:after="0"/>
              <w:rPr>
                <w:sz w:val="19"/>
                <w:szCs w:val="19"/>
                <w:color w:val="auto"/>
              </w:rPr>
            </w:pPr>
          </w:p>
        </w:tc>
        <w:tc>
          <w:tcPr>
            <w:tcW w:w="9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110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0000FF"/>
                <w:w w:val="88"/>
              </w:rPr>
              <w:t>6</w:t>
            </w:r>
          </w:p>
        </w:tc>
      </w:tr>
      <w:tr>
        <w:trPr>
          <w:trHeight w:val="228"/>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0000FF"/>
              </w:rPr>
              <w:t>2.</w:t>
            </w:r>
          </w:p>
        </w:tc>
        <w:tc>
          <w:tcPr>
            <w:tcW w:w="100" w:type="dxa"/>
            <w:vAlign w:val="bottom"/>
          </w:tcPr>
          <w:p>
            <w:pPr>
              <w:spacing w:after="0"/>
              <w:rPr>
                <w:sz w:val="19"/>
                <w:szCs w:val="19"/>
                <w:color w:val="auto"/>
              </w:rPr>
            </w:pPr>
          </w:p>
        </w:tc>
        <w:tc>
          <w:tcPr>
            <w:tcW w:w="910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1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0000FF"/>
                <w:w w:val="99"/>
              </w:rPr>
              <w:t>29</w:t>
            </w:r>
          </w:p>
        </w:tc>
      </w:tr>
      <w:tr>
        <w:trPr>
          <w:trHeight w:val="228"/>
        </w:trPr>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0000FF"/>
              </w:rPr>
              <w:t>3.</w:t>
            </w:r>
          </w:p>
        </w:tc>
        <w:tc>
          <w:tcPr>
            <w:tcW w:w="100" w:type="dxa"/>
            <w:vAlign w:val="bottom"/>
            <w:shd w:val="clear" w:color="auto" w:fill="CCEEFF"/>
          </w:tcPr>
          <w:p>
            <w:pPr>
              <w:spacing w:after="0"/>
              <w:rPr>
                <w:sz w:val="19"/>
                <w:szCs w:val="19"/>
                <w:color w:val="auto"/>
              </w:rPr>
            </w:pPr>
          </w:p>
        </w:tc>
        <w:tc>
          <w:tcPr>
            <w:tcW w:w="9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10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0000FF"/>
                <w:w w:val="99"/>
              </w:rPr>
              <w:t>36</w:t>
            </w:r>
          </w:p>
        </w:tc>
      </w:tr>
      <w:tr>
        <w:trPr>
          <w:trHeight w:val="228"/>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0000FF"/>
              </w:rPr>
              <w:t>4.</w:t>
            </w:r>
          </w:p>
        </w:tc>
        <w:tc>
          <w:tcPr>
            <w:tcW w:w="100" w:type="dxa"/>
            <w:vAlign w:val="bottom"/>
          </w:tcPr>
          <w:p>
            <w:pPr>
              <w:spacing w:after="0"/>
              <w:rPr>
                <w:sz w:val="19"/>
                <w:szCs w:val="19"/>
                <w:color w:val="auto"/>
              </w:rPr>
            </w:pPr>
          </w:p>
        </w:tc>
        <w:tc>
          <w:tcPr>
            <w:tcW w:w="910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1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0000FF"/>
                <w:w w:val="99"/>
              </w:rPr>
              <w:t>36</w:t>
            </w:r>
          </w:p>
        </w:tc>
      </w:tr>
      <w:tr>
        <w:trPr>
          <w:trHeight w:val="228"/>
        </w:trPr>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PART II. OTHER INFORMATION</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2"/>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0000FF"/>
              </w:rPr>
              <w:t>1.</w:t>
            </w:r>
          </w:p>
        </w:tc>
        <w:tc>
          <w:tcPr>
            <w:tcW w:w="100" w:type="dxa"/>
            <w:vAlign w:val="bottom"/>
          </w:tcPr>
          <w:p>
            <w:pPr>
              <w:spacing w:after="0"/>
              <w:rPr>
                <w:sz w:val="19"/>
                <w:szCs w:val="19"/>
                <w:color w:val="auto"/>
              </w:rPr>
            </w:pPr>
          </w:p>
        </w:tc>
        <w:tc>
          <w:tcPr>
            <w:tcW w:w="910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Legal Proceedings</w:t>
            </w:r>
          </w:p>
        </w:tc>
        <w:tc>
          <w:tcPr>
            <w:tcW w:w="11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0000FF"/>
                <w:w w:val="99"/>
              </w:rPr>
              <w:t>36</w:t>
            </w:r>
          </w:p>
        </w:tc>
      </w:tr>
      <w:tr>
        <w:trPr>
          <w:trHeight w:val="228"/>
        </w:trPr>
        <w:tc>
          <w:tcPr>
            <w:tcW w:w="10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0000FF"/>
                <w:w w:val="97"/>
              </w:rPr>
              <w:t>1A.</w:t>
            </w:r>
          </w:p>
        </w:tc>
        <w:tc>
          <w:tcPr>
            <w:tcW w:w="9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0000FF"/>
              </w:rPr>
              <w:t>Risk Factors</w:t>
            </w:r>
          </w:p>
        </w:tc>
        <w:tc>
          <w:tcPr>
            <w:tcW w:w="110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0000FF"/>
                <w:w w:val="99"/>
              </w:rPr>
              <w:t>36</w:t>
            </w:r>
          </w:p>
        </w:tc>
      </w:tr>
      <w:tr>
        <w:trPr>
          <w:trHeight w:val="228"/>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0000FF"/>
              </w:rPr>
              <w:t>2.</w:t>
            </w:r>
          </w:p>
        </w:tc>
        <w:tc>
          <w:tcPr>
            <w:tcW w:w="100" w:type="dxa"/>
            <w:vAlign w:val="bottom"/>
          </w:tcPr>
          <w:p>
            <w:pPr>
              <w:spacing w:after="0"/>
              <w:rPr>
                <w:sz w:val="19"/>
                <w:szCs w:val="19"/>
                <w:color w:val="auto"/>
              </w:rPr>
            </w:pPr>
          </w:p>
        </w:tc>
        <w:tc>
          <w:tcPr>
            <w:tcW w:w="910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11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0000FF"/>
                <w:w w:val="99"/>
              </w:rPr>
              <w:t>36</w:t>
            </w:r>
          </w:p>
        </w:tc>
      </w:tr>
      <w:tr>
        <w:trPr>
          <w:trHeight w:val="228"/>
        </w:trPr>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0000FF"/>
              </w:rPr>
              <w:t>3.</w:t>
            </w:r>
          </w:p>
        </w:tc>
        <w:tc>
          <w:tcPr>
            <w:tcW w:w="100" w:type="dxa"/>
            <w:vAlign w:val="bottom"/>
            <w:shd w:val="clear" w:color="auto" w:fill="CCEEFF"/>
          </w:tcPr>
          <w:p>
            <w:pPr>
              <w:spacing w:after="0"/>
              <w:rPr>
                <w:sz w:val="19"/>
                <w:szCs w:val="19"/>
                <w:color w:val="auto"/>
              </w:rPr>
            </w:pPr>
          </w:p>
        </w:tc>
        <w:tc>
          <w:tcPr>
            <w:tcW w:w="9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110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0000FF"/>
                <w:w w:val="99"/>
              </w:rPr>
              <w:t>36</w:t>
            </w:r>
          </w:p>
        </w:tc>
      </w:tr>
      <w:tr>
        <w:trPr>
          <w:trHeight w:val="228"/>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0000FF"/>
              </w:rPr>
              <w:t>4.</w:t>
            </w:r>
          </w:p>
        </w:tc>
        <w:tc>
          <w:tcPr>
            <w:tcW w:w="100" w:type="dxa"/>
            <w:vAlign w:val="bottom"/>
          </w:tcPr>
          <w:p>
            <w:pPr>
              <w:spacing w:after="0"/>
              <w:rPr>
                <w:sz w:val="19"/>
                <w:szCs w:val="19"/>
                <w:color w:val="auto"/>
              </w:rPr>
            </w:pPr>
          </w:p>
        </w:tc>
        <w:tc>
          <w:tcPr>
            <w:tcW w:w="910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Mine Safety Disclosures</w:t>
            </w:r>
          </w:p>
        </w:tc>
        <w:tc>
          <w:tcPr>
            <w:tcW w:w="11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0000FF"/>
                <w:w w:val="99"/>
              </w:rPr>
              <w:t>36</w:t>
            </w:r>
          </w:p>
        </w:tc>
      </w:tr>
      <w:tr>
        <w:trPr>
          <w:trHeight w:val="228"/>
        </w:trPr>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0000FF"/>
              </w:rPr>
              <w:t>5.</w:t>
            </w:r>
          </w:p>
        </w:tc>
        <w:tc>
          <w:tcPr>
            <w:tcW w:w="100" w:type="dxa"/>
            <w:vAlign w:val="bottom"/>
            <w:shd w:val="clear" w:color="auto" w:fill="CCEEFF"/>
          </w:tcPr>
          <w:p>
            <w:pPr>
              <w:spacing w:after="0"/>
              <w:rPr>
                <w:sz w:val="19"/>
                <w:szCs w:val="19"/>
                <w:color w:val="auto"/>
              </w:rPr>
            </w:pPr>
          </w:p>
        </w:tc>
        <w:tc>
          <w:tcPr>
            <w:tcW w:w="9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0000FF"/>
              </w:rPr>
              <w:t>Other Information</w:t>
            </w:r>
          </w:p>
        </w:tc>
        <w:tc>
          <w:tcPr>
            <w:tcW w:w="110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0000FF"/>
                <w:w w:val="99"/>
              </w:rPr>
              <w:t>37</w:t>
            </w:r>
          </w:p>
        </w:tc>
      </w:tr>
      <w:tr>
        <w:trPr>
          <w:trHeight w:val="228"/>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0000FF"/>
              </w:rPr>
              <w:t>6.</w:t>
            </w:r>
          </w:p>
        </w:tc>
        <w:tc>
          <w:tcPr>
            <w:tcW w:w="100" w:type="dxa"/>
            <w:vAlign w:val="bottom"/>
          </w:tcPr>
          <w:p>
            <w:pPr>
              <w:spacing w:after="0"/>
              <w:rPr>
                <w:sz w:val="19"/>
                <w:szCs w:val="19"/>
                <w:color w:val="auto"/>
              </w:rPr>
            </w:pPr>
          </w:p>
        </w:tc>
        <w:tc>
          <w:tcPr>
            <w:tcW w:w="910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Exhibits</w:t>
            </w:r>
          </w:p>
        </w:tc>
        <w:tc>
          <w:tcPr>
            <w:tcW w:w="11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0000FF"/>
                <w:w w:val="99"/>
              </w:rPr>
              <w:t>38</w:t>
            </w:r>
          </w:p>
        </w:tc>
      </w:tr>
      <w:tr>
        <w:trPr>
          <w:trHeight w:val="228"/>
        </w:trPr>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0000FF"/>
              </w:rPr>
              <w:t>Signatures</w:t>
            </w:r>
          </w:p>
        </w:tc>
        <w:tc>
          <w:tcPr>
            <w:tcW w:w="110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0000FF"/>
                <w:w w:val="99"/>
              </w:rPr>
              <w:t>39</w:t>
            </w:r>
          </w:p>
        </w:tc>
      </w:tr>
      <w:tr>
        <w:trPr>
          <w:trHeight w:val="1633"/>
        </w:trPr>
        <w:tc>
          <w:tcPr>
            <w:tcW w:w="9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jc w:val="center"/>
        <w:ind w:right="-159"/>
        <w:spacing w:after="0"/>
        <w:rPr>
          <w:sz w:val="20"/>
          <w:szCs w:val="20"/>
          <w:color w:val="auto"/>
        </w:rPr>
      </w:pPr>
      <w:r>
        <w:rPr>
          <w:rFonts w:ascii="Times New Roman" w:cs="Times New Roman" w:eastAsia="Times New Roman" w:hAnsi="Times New Roman"/>
          <w:sz w:val="21"/>
          <w:szCs w:val="21"/>
          <w:b w:val="1"/>
          <w:bCs w:val="1"/>
          <w:color w:val="auto"/>
        </w:rPr>
        <w:t>DEFINITIONS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this Quarterly Report on Form 10-Q for the quarter ended June 30, 2025, the following terms and abbreviations have the meanings listed below.</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“LivaNova” and the “Company” refer to LivaNova PLC and its consolidated subsidiaries.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6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Abbreviation</w:t>
            </w:r>
          </w:p>
        </w:tc>
        <w:tc>
          <w:tcPr>
            <w:tcW w:w="8560" w:type="dxa"/>
            <w:vAlign w:val="bottom"/>
          </w:tcPr>
          <w:p>
            <w:pPr>
              <w:ind w:left="3900"/>
              <w:spacing w:after="0"/>
              <w:rPr>
                <w:sz w:val="20"/>
                <w:szCs w:val="20"/>
                <w:color w:val="auto"/>
              </w:rPr>
            </w:pPr>
            <w:r>
              <w:rPr>
                <w:rFonts w:ascii="Times New Roman" w:cs="Times New Roman" w:eastAsia="Times New Roman" w:hAnsi="Times New Roman"/>
                <w:sz w:val="18"/>
                <w:szCs w:val="18"/>
                <w:b w:val="1"/>
                <w:bCs w:val="1"/>
                <w:color w:val="auto"/>
              </w:rPr>
              <w:t>Definition</w:t>
            </w:r>
          </w:p>
        </w:tc>
      </w:tr>
      <w:tr>
        <w:trPr>
          <w:trHeight w:val="222"/>
        </w:trPr>
        <w:tc>
          <w:tcPr>
            <w:tcW w:w="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2015</w:t>
            </w:r>
          </w:p>
        </w:tc>
        <w:tc>
          <w:tcPr>
            <w:tcW w:w="2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Plan</w:t>
            </w:r>
          </w:p>
        </w:tc>
        <w:tc>
          <w:tcPr>
            <w:tcW w:w="140" w:type="dxa"/>
            <w:vAlign w:val="bottom"/>
            <w:tcBorders>
              <w:top w:val="single" w:sz="8" w:color="CCEEFF"/>
            </w:tcBorders>
            <w:shd w:val="clear" w:color="auto" w:fill="CCEEFF"/>
          </w:tcPr>
          <w:p>
            <w:pPr>
              <w:spacing w:after="0"/>
              <w:rPr>
                <w:sz w:val="19"/>
                <w:szCs w:val="19"/>
                <w:color w:val="auto"/>
              </w:rPr>
            </w:pPr>
          </w:p>
        </w:tc>
        <w:tc>
          <w:tcPr>
            <w:tcW w:w="8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LivaNova PLC 2015 Incentive Award Plan</w:t>
            </w:r>
          </w:p>
        </w:tc>
      </w:tr>
      <w:tr>
        <w:trPr>
          <w:trHeight w:val="183"/>
        </w:trPr>
        <w:tc>
          <w:tcPr>
            <w:tcW w:w="420" w:type="dxa"/>
            <w:vAlign w:val="bottom"/>
          </w:tcPr>
          <w:p>
            <w:pPr>
              <w:ind w:left="20"/>
              <w:spacing w:after="0" w:line="183" w:lineRule="exact"/>
              <w:rPr>
                <w:sz w:val="20"/>
                <w:szCs w:val="20"/>
                <w:color w:val="auto"/>
              </w:rPr>
            </w:pPr>
            <w:r>
              <w:rPr>
                <w:rFonts w:ascii="Times New Roman" w:cs="Times New Roman" w:eastAsia="Times New Roman" w:hAnsi="Times New Roman"/>
                <w:sz w:val="18"/>
                <w:szCs w:val="18"/>
                <w:color w:val="auto"/>
              </w:rPr>
              <w:t>2021</w:t>
            </w:r>
          </w:p>
        </w:tc>
        <w:tc>
          <w:tcPr>
            <w:tcW w:w="2260" w:type="dxa"/>
            <w:vAlign w:val="bottom"/>
            <w:gridSpan w:val="2"/>
          </w:tcPr>
          <w:p>
            <w:pPr>
              <w:spacing w:after="0" w:line="183" w:lineRule="exact"/>
              <w:rPr>
                <w:sz w:val="20"/>
                <w:szCs w:val="20"/>
                <w:color w:val="auto"/>
              </w:rPr>
            </w:pPr>
            <w:r>
              <w:rPr>
                <w:rFonts w:ascii="Times New Roman" w:cs="Times New Roman" w:eastAsia="Times New Roman" w:hAnsi="Times New Roman"/>
                <w:sz w:val="18"/>
                <w:szCs w:val="18"/>
                <w:color w:val="auto"/>
              </w:rPr>
              <w:t>First Lien Credit Agreement</w:t>
            </w:r>
          </w:p>
        </w:tc>
        <w:tc>
          <w:tcPr>
            <w:tcW w:w="8560" w:type="dxa"/>
            <w:vAlign w:val="bottom"/>
          </w:tcPr>
          <w:p>
            <w:pPr>
              <w:ind w:left="20"/>
              <w:spacing w:after="0" w:line="183" w:lineRule="exact"/>
              <w:rPr>
                <w:sz w:val="20"/>
                <w:szCs w:val="20"/>
                <w:color w:val="auto"/>
              </w:rPr>
            </w:pPr>
            <w:r>
              <w:rPr>
                <w:rFonts w:ascii="Times New Roman" w:cs="Times New Roman" w:eastAsia="Times New Roman" w:hAnsi="Times New Roman"/>
                <w:sz w:val="18"/>
                <w:szCs w:val="18"/>
                <w:color w:val="auto"/>
              </w:rPr>
              <w:t>First Lien Credit Agreement between LivaNova PLC and its wholly-owned subsidiary, LivaNova USA, Inc., and</w:t>
            </w:r>
          </w:p>
        </w:tc>
      </w:tr>
      <w:tr>
        <w:trPr>
          <w:trHeight w:val="180"/>
        </w:trPr>
        <w:tc>
          <w:tcPr>
            <w:tcW w:w="42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560" w:type="dxa"/>
            <w:vAlign w:val="bottom"/>
          </w:tcPr>
          <w:p>
            <w:pPr>
              <w:ind w:left="20"/>
              <w:spacing w:after="0" w:line="180" w:lineRule="exact"/>
              <w:rPr>
                <w:sz w:val="20"/>
                <w:szCs w:val="20"/>
                <w:color w:val="auto"/>
              </w:rPr>
            </w:pPr>
            <w:r>
              <w:rPr>
                <w:rFonts w:ascii="Times New Roman" w:cs="Times New Roman" w:eastAsia="Times New Roman" w:hAnsi="Times New Roman"/>
                <w:sz w:val="18"/>
                <w:szCs w:val="18"/>
                <w:color w:val="auto"/>
              </w:rPr>
              <w:t>Goldman Sachs Bank USA, as First Lien Administrative Agent and First Lien Collateral Agent, entered into on</w:t>
            </w:r>
          </w:p>
        </w:tc>
      </w:tr>
      <w:tr>
        <w:trPr>
          <w:trHeight w:val="228"/>
        </w:trPr>
        <w:tc>
          <w:tcPr>
            <w:tcW w:w="4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August 13, 2021</w:t>
            </w:r>
          </w:p>
        </w:tc>
      </w:tr>
      <w:tr>
        <w:trPr>
          <w:trHeight w:val="183"/>
        </w:trPr>
        <w:tc>
          <w:tcPr>
            <w:tcW w:w="420" w:type="dxa"/>
            <w:vAlign w:val="bottom"/>
            <w:shd w:val="clear" w:color="auto" w:fill="CCEEFF"/>
          </w:tcPr>
          <w:p>
            <w:pPr>
              <w:ind w:left="20"/>
              <w:spacing w:after="0" w:line="183" w:lineRule="exact"/>
              <w:rPr>
                <w:sz w:val="20"/>
                <w:szCs w:val="20"/>
                <w:color w:val="auto"/>
              </w:rPr>
            </w:pPr>
            <w:r>
              <w:rPr>
                <w:rFonts w:ascii="Times New Roman" w:cs="Times New Roman" w:eastAsia="Times New Roman" w:hAnsi="Times New Roman"/>
                <w:sz w:val="18"/>
                <w:szCs w:val="18"/>
                <w:color w:val="auto"/>
              </w:rPr>
              <w:t>2024</w:t>
            </w:r>
          </w:p>
        </w:tc>
        <w:tc>
          <w:tcPr>
            <w:tcW w:w="2260" w:type="dxa"/>
            <w:vAlign w:val="bottom"/>
            <w:gridSpan w:val="2"/>
            <w:shd w:val="clear" w:color="auto" w:fill="CCEEFF"/>
          </w:tcPr>
          <w:p>
            <w:pPr>
              <w:spacing w:after="0" w:line="183" w:lineRule="exact"/>
              <w:rPr>
                <w:sz w:val="20"/>
                <w:szCs w:val="20"/>
                <w:color w:val="auto"/>
              </w:rPr>
            </w:pPr>
            <w:r>
              <w:rPr>
                <w:rFonts w:ascii="Times New Roman" w:cs="Times New Roman" w:eastAsia="Times New Roman" w:hAnsi="Times New Roman"/>
                <w:sz w:val="18"/>
                <w:szCs w:val="18"/>
                <w:color w:val="auto"/>
              </w:rPr>
              <w:t>Form 10-K</w:t>
            </w:r>
          </w:p>
        </w:tc>
        <w:tc>
          <w:tcPr>
            <w:tcW w:w="8560" w:type="dxa"/>
            <w:vAlign w:val="bottom"/>
            <w:shd w:val="clear" w:color="auto" w:fill="CCEEFF"/>
          </w:tcPr>
          <w:p>
            <w:pPr>
              <w:ind w:left="20"/>
              <w:spacing w:after="0" w:line="183" w:lineRule="exact"/>
              <w:rPr>
                <w:sz w:val="20"/>
                <w:szCs w:val="20"/>
                <w:color w:val="auto"/>
              </w:rPr>
            </w:pPr>
            <w:r>
              <w:rPr>
                <w:rFonts w:ascii="Times New Roman" w:cs="Times New Roman" w:eastAsia="Times New Roman" w:hAnsi="Times New Roman"/>
                <w:sz w:val="18"/>
                <w:szCs w:val="18"/>
                <w:color w:val="auto"/>
                <w:w w:val="99"/>
              </w:rPr>
              <w:t>LivaNova PLC’s Annual Report on Form 10-K for the year ended December 31, 2024, filed with the SEC on February</w:t>
            </w:r>
          </w:p>
        </w:tc>
      </w:tr>
      <w:tr>
        <w:trPr>
          <w:trHeight w:val="233"/>
        </w:trPr>
        <w:tc>
          <w:tcPr>
            <w:tcW w:w="420" w:type="dxa"/>
            <w:vAlign w:val="bottom"/>
            <w:shd w:val="clear" w:color="auto" w:fill="CCEEFF"/>
          </w:tcPr>
          <w:p>
            <w:pPr>
              <w:spacing w:after="0"/>
              <w:rPr>
                <w:sz w:val="20"/>
                <w:szCs w:val="20"/>
                <w:color w:val="auto"/>
              </w:rPr>
            </w:pPr>
          </w:p>
        </w:tc>
        <w:tc>
          <w:tcPr>
            <w:tcW w:w="2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25, 2025</w:t>
            </w:r>
          </w:p>
        </w:tc>
      </w:tr>
      <w:tr>
        <w:trPr>
          <w:trHeight w:val="183"/>
        </w:trPr>
        <w:tc>
          <w:tcPr>
            <w:tcW w:w="420" w:type="dxa"/>
            <w:vAlign w:val="bottom"/>
          </w:tcPr>
          <w:p>
            <w:pPr>
              <w:ind w:left="20"/>
              <w:spacing w:after="0" w:line="183" w:lineRule="exact"/>
              <w:rPr>
                <w:sz w:val="20"/>
                <w:szCs w:val="20"/>
                <w:color w:val="auto"/>
              </w:rPr>
            </w:pPr>
            <w:r>
              <w:rPr>
                <w:rFonts w:ascii="Times New Roman" w:cs="Times New Roman" w:eastAsia="Times New Roman" w:hAnsi="Times New Roman"/>
                <w:sz w:val="18"/>
                <w:szCs w:val="18"/>
                <w:color w:val="auto"/>
              </w:rPr>
              <w:t>2024</w:t>
            </w:r>
          </w:p>
        </w:tc>
        <w:tc>
          <w:tcPr>
            <w:tcW w:w="2260" w:type="dxa"/>
            <w:vAlign w:val="bottom"/>
            <w:gridSpan w:val="2"/>
          </w:tcPr>
          <w:p>
            <w:pPr>
              <w:spacing w:after="0" w:line="183" w:lineRule="exact"/>
              <w:rPr>
                <w:sz w:val="20"/>
                <w:szCs w:val="20"/>
                <w:color w:val="auto"/>
              </w:rPr>
            </w:pPr>
            <w:r>
              <w:rPr>
                <w:rFonts w:ascii="Times New Roman" w:cs="Times New Roman" w:eastAsia="Times New Roman" w:hAnsi="Times New Roman"/>
                <w:sz w:val="18"/>
                <w:szCs w:val="18"/>
                <w:color w:val="auto"/>
              </w:rPr>
              <w:t>Restructuring Plan</w:t>
            </w:r>
          </w:p>
        </w:tc>
        <w:tc>
          <w:tcPr>
            <w:tcW w:w="8560" w:type="dxa"/>
            <w:vAlign w:val="bottom"/>
          </w:tcPr>
          <w:p>
            <w:pPr>
              <w:ind w:left="20"/>
              <w:spacing w:after="0" w:line="183" w:lineRule="exact"/>
              <w:rPr>
                <w:sz w:val="20"/>
                <w:szCs w:val="20"/>
                <w:color w:val="auto"/>
              </w:rPr>
            </w:pPr>
            <w:r>
              <w:rPr>
                <w:rFonts w:ascii="Times New Roman" w:cs="Times New Roman" w:eastAsia="Times New Roman" w:hAnsi="Times New Roman"/>
                <w:sz w:val="18"/>
                <w:szCs w:val="18"/>
                <w:color w:val="auto"/>
              </w:rPr>
              <w:t>A plan, initiated during the first quarter of 2024, to enhance LivaNova’s focus on its core Cardiopulmonary and</w:t>
            </w:r>
          </w:p>
        </w:tc>
      </w:tr>
      <w:tr>
        <w:trPr>
          <w:trHeight w:val="233"/>
        </w:trPr>
        <w:tc>
          <w:tcPr>
            <w:tcW w:w="4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Neuromodulation segments</w:t>
            </w:r>
          </w:p>
        </w:tc>
      </w:tr>
      <w:tr>
        <w:trPr>
          <w:trHeight w:val="228"/>
        </w:trPr>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Capped Calls</w:t>
            </w:r>
          </w:p>
        </w:tc>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Privately-negotiated capped call transactions entered into with certain financial institutions</w:t>
            </w:r>
          </w:p>
        </w:tc>
      </w:tr>
      <w:tr>
        <w:trPr>
          <w:trHeight w:val="228"/>
        </w:trPr>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 Incentive Plan</w:t>
            </w:r>
          </w:p>
        </w:tc>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LivaNova PLC 2025 Director Incentive Plan</w:t>
            </w:r>
          </w:p>
        </w:tc>
      </w:tr>
      <w:tr>
        <w:trPr>
          <w:trHeight w:val="183"/>
        </w:trPr>
        <w:tc>
          <w:tcPr>
            <w:tcW w:w="420" w:type="dxa"/>
            <w:vAlign w:val="bottom"/>
            <w:shd w:val="clear" w:color="auto" w:fill="CCEEFF"/>
          </w:tcPr>
          <w:p>
            <w:pPr>
              <w:ind w:left="20"/>
              <w:spacing w:after="0" w:line="183" w:lineRule="exact"/>
              <w:rPr>
                <w:sz w:val="20"/>
                <w:szCs w:val="20"/>
                <w:color w:val="auto"/>
              </w:rPr>
            </w:pPr>
            <w:r>
              <w:rPr>
                <w:rFonts w:ascii="Times New Roman" w:cs="Times New Roman" w:eastAsia="Times New Roman" w:hAnsi="Times New Roman"/>
                <w:sz w:val="18"/>
                <w:szCs w:val="18"/>
                <w:color w:val="auto"/>
              </w:rPr>
              <w:t>2025</w:t>
            </w:r>
          </w:p>
        </w:tc>
        <w:tc>
          <w:tcPr>
            <w:tcW w:w="2260" w:type="dxa"/>
            <w:vAlign w:val="bottom"/>
            <w:gridSpan w:val="2"/>
            <w:shd w:val="clear" w:color="auto" w:fill="CCEEFF"/>
          </w:tcPr>
          <w:p>
            <w:pPr>
              <w:spacing w:after="0" w:line="183" w:lineRule="exact"/>
              <w:rPr>
                <w:sz w:val="20"/>
                <w:szCs w:val="20"/>
                <w:color w:val="auto"/>
              </w:rPr>
            </w:pPr>
            <w:r>
              <w:rPr>
                <w:rFonts w:ascii="Times New Roman" w:cs="Times New Roman" w:eastAsia="Times New Roman" w:hAnsi="Times New Roman"/>
                <w:sz w:val="18"/>
                <w:szCs w:val="18"/>
                <w:color w:val="auto"/>
              </w:rPr>
              <w:t>Notes</w:t>
            </w:r>
          </w:p>
        </w:tc>
        <w:tc>
          <w:tcPr>
            <w:tcW w:w="8560" w:type="dxa"/>
            <w:vAlign w:val="bottom"/>
            <w:shd w:val="clear" w:color="auto" w:fill="CCEEFF"/>
          </w:tcPr>
          <w:p>
            <w:pPr>
              <w:ind w:left="20"/>
              <w:spacing w:after="0" w:line="183" w:lineRule="exact"/>
              <w:rPr>
                <w:sz w:val="20"/>
                <w:szCs w:val="20"/>
                <w:color w:val="auto"/>
              </w:rPr>
            </w:pPr>
            <w:r>
              <w:rPr>
                <w:rFonts w:ascii="Times New Roman" w:cs="Times New Roman" w:eastAsia="Times New Roman" w:hAnsi="Times New Roman"/>
                <w:sz w:val="18"/>
                <w:szCs w:val="18"/>
                <w:color w:val="auto"/>
              </w:rPr>
              <w:t>$287.5 million aggregate principal amount 3.00% unsecured cash exchangeable senior notes due December 15, 2025</w:t>
            </w:r>
          </w:p>
        </w:tc>
      </w:tr>
      <w:tr>
        <w:trPr>
          <w:trHeight w:val="180"/>
        </w:trPr>
        <w:tc>
          <w:tcPr>
            <w:tcW w:w="420" w:type="dxa"/>
            <w:vAlign w:val="bottom"/>
            <w:shd w:val="clear" w:color="auto" w:fill="CCEEFF"/>
          </w:tcPr>
          <w:p>
            <w:pPr>
              <w:spacing w:after="0"/>
              <w:rPr>
                <w:sz w:val="15"/>
                <w:szCs w:val="15"/>
                <w:color w:val="auto"/>
              </w:rPr>
            </w:pPr>
          </w:p>
        </w:tc>
        <w:tc>
          <w:tcPr>
            <w:tcW w:w="2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56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by private placement to qualified institutional buyers pursuant to Rule 144A under the Securities Act, issued by</w:t>
            </w:r>
          </w:p>
        </w:tc>
      </w:tr>
      <w:tr>
        <w:trPr>
          <w:trHeight w:val="228"/>
        </w:trPr>
        <w:tc>
          <w:tcPr>
            <w:tcW w:w="420" w:type="dxa"/>
            <w:vAlign w:val="bottom"/>
            <w:shd w:val="clear" w:color="auto" w:fill="CCEEFF"/>
          </w:tcPr>
          <w:p>
            <w:pPr>
              <w:spacing w:after="0"/>
              <w:rPr>
                <w:sz w:val="19"/>
                <w:szCs w:val="19"/>
                <w:color w:val="auto"/>
              </w:rPr>
            </w:pPr>
          </w:p>
        </w:tc>
        <w:tc>
          <w:tcPr>
            <w:tcW w:w="2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LivaNova USA on June 17, 2020</w:t>
            </w:r>
          </w:p>
        </w:tc>
      </w:tr>
      <w:tr>
        <w:trPr>
          <w:trHeight w:val="228"/>
        </w:trPr>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Capped Calls</w:t>
            </w:r>
          </w:p>
        </w:tc>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Privately-negotiated capped call transactions entered into with certain financial institutions</w:t>
            </w:r>
          </w:p>
        </w:tc>
      </w:tr>
      <w:tr>
        <w:trPr>
          <w:trHeight w:val="183"/>
        </w:trPr>
        <w:tc>
          <w:tcPr>
            <w:tcW w:w="420" w:type="dxa"/>
            <w:vAlign w:val="bottom"/>
            <w:shd w:val="clear" w:color="auto" w:fill="CCEEFF"/>
          </w:tcPr>
          <w:p>
            <w:pPr>
              <w:ind w:left="20"/>
              <w:spacing w:after="0" w:line="183" w:lineRule="exact"/>
              <w:rPr>
                <w:sz w:val="20"/>
                <w:szCs w:val="20"/>
                <w:color w:val="auto"/>
              </w:rPr>
            </w:pPr>
            <w:r>
              <w:rPr>
                <w:rFonts w:ascii="Times New Roman" w:cs="Times New Roman" w:eastAsia="Times New Roman" w:hAnsi="Times New Roman"/>
                <w:sz w:val="18"/>
                <w:szCs w:val="18"/>
                <w:color w:val="auto"/>
              </w:rPr>
              <w:t>2029</w:t>
            </w:r>
          </w:p>
        </w:tc>
        <w:tc>
          <w:tcPr>
            <w:tcW w:w="2260" w:type="dxa"/>
            <w:vAlign w:val="bottom"/>
            <w:gridSpan w:val="2"/>
            <w:shd w:val="clear" w:color="auto" w:fill="CCEEFF"/>
          </w:tcPr>
          <w:p>
            <w:pPr>
              <w:spacing w:after="0" w:line="183" w:lineRule="exact"/>
              <w:rPr>
                <w:sz w:val="20"/>
                <w:szCs w:val="20"/>
                <w:color w:val="auto"/>
              </w:rPr>
            </w:pPr>
            <w:r>
              <w:rPr>
                <w:rFonts w:ascii="Times New Roman" w:cs="Times New Roman" w:eastAsia="Times New Roman" w:hAnsi="Times New Roman"/>
                <w:sz w:val="18"/>
                <w:szCs w:val="18"/>
                <w:color w:val="auto"/>
              </w:rPr>
              <w:t>Notes</w:t>
            </w:r>
          </w:p>
        </w:tc>
        <w:tc>
          <w:tcPr>
            <w:tcW w:w="8560" w:type="dxa"/>
            <w:vAlign w:val="bottom"/>
            <w:shd w:val="clear" w:color="auto" w:fill="CCEEFF"/>
          </w:tcPr>
          <w:p>
            <w:pPr>
              <w:ind w:left="20"/>
              <w:spacing w:after="0" w:line="183" w:lineRule="exact"/>
              <w:rPr>
                <w:sz w:val="20"/>
                <w:szCs w:val="20"/>
                <w:color w:val="auto"/>
              </w:rPr>
            </w:pPr>
            <w:r>
              <w:rPr>
                <w:rFonts w:ascii="Times New Roman" w:cs="Times New Roman" w:eastAsia="Times New Roman" w:hAnsi="Times New Roman"/>
                <w:sz w:val="18"/>
                <w:szCs w:val="18"/>
                <w:color w:val="auto"/>
              </w:rPr>
              <w:t>$345.0 million aggregate principal amount 2.50% unsecured convertible senior notes due 2029 by private placement</w:t>
            </w:r>
          </w:p>
        </w:tc>
      </w:tr>
      <w:tr>
        <w:trPr>
          <w:trHeight w:val="180"/>
        </w:trPr>
        <w:tc>
          <w:tcPr>
            <w:tcW w:w="420" w:type="dxa"/>
            <w:vAlign w:val="bottom"/>
            <w:shd w:val="clear" w:color="auto" w:fill="CCEEFF"/>
          </w:tcPr>
          <w:p>
            <w:pPr>
              <w:spacing w:after="0"/>
              <w:rPr>
                <w:sz w:val="15"/>
                <w:szCs w:val="15"/>
                <w:color w:val="auto"/>
              </w:rPr>
            </w:pPr>
          </w:p>
        </w:tc>
        <w:tc>
          <w:tcPr>
            <w:tcW w:w="2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56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w w:val="99"/>
              </w:rPr>
              <w:t>to qualified institutional buyers pursuant to Rule 144A under the Securities Act, issued by LivaNova PLC on March 8,</w:t>
            </w:r>
          </w:p>
        </w:tc>
      </w:tr>
      <w:tr>
        <w:trPr>
          <w:trHeight w:val="228"/>
        </w:trPr>
        <w:tc>
          <w:tcPr>
            <w:tcW w:w="420" w:type="dxa"/>
            <w:vAlign w:val="bottom"/>
            <w:shd w:val="clear" w:color="auto" w:fill="CCEEFF"/>
          </w:tcPr>
          <w:p>
            <w:pPr>
              <w:spacing w:after="0"/>
              <w:rPr>
                <w:sz w:val="19"/>
                <w:szCs w:val="19"/>
                <w:color w:val="auto"/>
              </w:rPr>
            </w:pPr>
          </w:p>
        </w:tc>
        <w:tc>
          <w:tcPr>
            <w:tcW w:w="2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r>
      <w:tr>
        <w:trPr>
          <w:trHeight w:val="228"/>
        </w:trPr>
        <w:tc>
          <w:tcPr>
            <w:tcW w:w="26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A&amp;R 2022 Plan</w:t>
            </w:r>
          </w:p>
        </w:tc>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Amended and Restated LivaNova PLC 2022 Incentive Award Plan</w:t>
            </w:r>
          </w:p>
        </w:tc>
      </w:tr>
      <w:tr>
        <w:trPr>
          <w:trHeight w:val="228"/>
        </w:trPr>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ACS</w:t>
            </w:r>
          </w:p>
        </w:tc>
        <w:tc>
          <w:tcPr>
            <w:tcW w:w="2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Advanced Circulatory Support</w:t>
            </w:r>
          </w:p>
        </w:tc>
      </w:tr>
      <w:tr>
        <w:trPr>
          <w:trHeight w:val="228"/>
        </w:trPr>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AHI</w:t>
            </w:r>
          </w:p>
        </w:tc>
        <w:tc>
          <w:tcPr>
            <w:tcW w:w="2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Apnea-hypopnea index</w:t>
            </w:r>
          </w:p>
        </w:tc>
      </w:tr>
      <w:tr>
        <w:trPr>
          <w:trHeight w:val="228"/>
        </w:trPr>
        <w:tc>
          <w:tcPr>
            <w:tcW w:w="26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ALung</w:t>
            </w:r>
          </w:p>
        </w:tc>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ALung Technologies, Inc.</w:t>
            </w:r>
          </w:p>
        </w:tc>
      </w:tr>
      <w:tr>
        <w:trPr>
          <w:trHeight w:val="228"/>
        </w:trPr>
        <w:tc>
          <w:tcPr>
            <w:tcW w:w="26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AOCI</w:t>
            </w:r>
          </w:p>
        </w:tc>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r>
      <w:tr>
        <w:trPr>
          <w:trHeight w:val="228"/>
        </w:trPr>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ASU</w:t>
            </w:r>
          </w:p>
        </w:tc>
        <w:tc>
          <w:tcPr>
            <w:tcW w:w="2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Accounting Standards Update</w:t>
            </w:r>
          </w:p>
        </w:tc>
      </w:tr>
      <w:tr>
        <w:trPr>
          <w:trHeight w:val="228"/>
        </w:trPr>
        <w:tc>
          <w:tcPr>
            <w:tcW w:w="26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Barclays</w:t>
            </w:r>
          </w:p>
        </w:tc>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Barclays Bank Ireland PLC</w:t>
            </w:r>
          </w:p>
        </w:tc>
      </w:tr>
      <w:tr>
        <w:trPr>
          <w:trHeight w:val="228"/>
        </w:trPr>
        <w:tc>
          <w:tcPr>
            <w:tcW w:w="26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Capped Call Transactions</w:t>
            </w:r>
          </w:p>
        </w:tc>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 2025 Capped Calls and the 2029 Capped Calls</w:t>
            </w:r>
          </w:p>
        </w:tc>
      </w:tr>
      <w:tr>
        <w:trPr>
          <w:trHeight w:val="228"/>
        </w:trPr>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CEO</w:t>
            </w:r>
          </w:p>
        </w:tc>
        <w:tc>
          <w:tcPr>
            <w:tcW w:w="2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28"/>
        </w:trPr>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CFO</w:t>
            </w:r>
          </w:p>
        </w:tc>
        <w:tc>
          <w:tcPr>
            <w:tcW w:w="2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28"/>
        </w:trPr>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CMS</w:t>
            </w:r>
          </w:p>
        </w:tc>
        <w:tc>
          <w:tcPr>
            <w:tcW w:w="2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U.S. Centers for Medicare &amp; Medicaid Services</w:t>
            </w:r>
          </w:p>
        </w:tc>
      </w:tr>
      <w:tr>
        <w:trPr>
          <w:trHeight w:val="228"/>
        </w:trPr>
        <w:tc>
          <w:tcPr>
            <w:tcW w:w="26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Court of Appeal</w:t>
            </w:r>
          </w:p>
        </w:tc>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Court of Appeal in Milan</w:t>
            </w:r>
          </w:p>
        </w:tc>
      </w:tr>
      <w:tr>
        <w:trPr>
          <w:trHeight w:val="183"/>
        </w:trPr>
        <w:tc>
          <w:tcPr>
            <w:tcW w:w="2680" w:type="dxa"/>
            <w:vAlign w:val="bottom"/>
            <w:gridSpan w:val="3"/>
          </w:tcPr>
          <w:p>
            <w:pPr>
              <w:ind w:left="20"/>
              <w:spacing w:after="0" w:line="183" w:lineRule="exact"/>
              <w:rPr>
                <w:sz w:val="20"/>
                <w:szCs w:val="20"/>
                <w:color w:val="auto"/>
              </w:rPr>
            </w:pPr>
            <w:r>
              <w:rPr>
                <w:rFonts w:ascii="Times New Roman" w:cs="Times New Roman" w:eastAsia="Times New Roman" w:hAnsi="Times New Roman"/>
                <w:sz w:val="18"/>
                <w:szCs w:val="18"/>
                <w:color w:val="auto"/>
              </w:rPr>
              <w:t>Delayed Draw Term Facility</w:t>
            </w:r>
          </w:p>
        </w:tc>
        <w:tc>
          <w:tcPr>
            <w:tcW w:w="8560" w:type="dxa"/>
            <w:vAlign w:val="bottom"/>
          </w:tcPr>
          <w:p>
            <w:pPr>
              <w:ind w:left="20"/>
              <w:spacing w:after="0" w:line="183" w:lineRule="exact"/>
              <w:rPr>
                <w:sz w:val="20"/>
                <w:szCs w:val="20"/>
                <w:color w:val="auto"/>
              </w:rPr>
            </w:pPr>
            <w:r>
              <w:rPr>
                <w:rFonts w:ascii="Times New Roman" w:cs="Times New Roman" w:eastAsia="Times New Roman" w:hAnsi="Times New Roman"/>
                <w:sz w:val="18"/>
                <w:szCs w:val="18"/>
                <w:color w:val="auto"/>
              </w:rPr>
              <w:t>$50.0 million delayed draw term facility under the 2021 First Lien Credit Agreement resulting from the Incremental</w:t>
            </w:r>
          </w:p>
        </w:tc>
      </w:tr>
      <w:tr>
        <w:trPr>
          <w:trHeight w:val="233"/>
        </w:trPr>
        <w:tc>
          <w:tcPr>
            <w:tcW w:w="4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Facility Amendment No. 2</w:t>
            </w:r>
          </w:p>
        </w:tc>
      </w:tr>
      <w:tr>
        <w:trPr>
          <w:trHeight w:val="228"/>
        </w:trPr>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DRE</w:t>
            </w:r>
          </w:p>
        </w:tc>
        <w:tc>
          <w:tcPr>
            <w:tcW w:w="2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Drug-resistant epilepsy</w:t>
            </w:r>
          </w:p>
        </w:tc>
      </w:tr>
      <w:tr>
        <w:trPr>
          <w:trHeight w:val="183"/>
        </w:trPr>
        <w:tc>
          <w:tcPr>
            <w:tcW w:w="420" w:type="dxa"/>
            <w:vAlign w:val="bottom"/>
          </w:tcPr>
          <w:p>
            <w:pPr>
              <w:ind w:left="20"/>
              <w:spacing w:after="0" w:line="183" w:lineRule="exact"/>
              <w:rPr>
                <w:sz w:val="20"/>
                <w:szCs w:val="20"/>
                <w:color w:val="auto"/>
              </w:rPr>
            </w:pPr>
            <w:r>
              <w:rPr>
                <w:rFonts w:ascii="Times New Roman" w:cs="Times New Roman" w:eastAsia="Times New Roman" w:hAnsi="Times New Roman"/>
                <w:sz w:val="18"/>
                <w:szCs w:val="18"/>
                <w:color w:val="auto"/>
              </w:rPr>
              <w:t>DTD</w:t>
            </w:r>
          </w:p>
        </w:tc>
        <w:tc>
          <w:tcPr>
            <w:tcW w:w="2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560" w:type="dxa"/>
            <w:vAlign w:val="bottom"/>
          </w:tcPr>
          <w:p>
            <w:pPr>
              <w:ind w:left="20"/>
              <w:spacing w:after="0" w:line="183" w:lineRule="exact"/>
              <w:rPr>
                <w:sz w:val="20"/>
                <w:szCs w:val="20"/>
                <w:color w:val="auto"/>
              </w:rPr>
            </w:pPr>
            <w:r>
              <w:rPr>
                <w:rFonts w:ascii="Times New Roman" w:cs="Times New Roman" w:eastAsia="Times New Roman" w:hAnsi="Times New Roman"/>
                <w:sz w:val="18"/>
                <w:szCs w:val="18"/>
                <w:color w:val="auto"/>
              </w:rPr>
              <w:t>Difficult-to-treat depression - The Company’s broader business and strategic communications reference DTD as the</w:t>
            </w:r>
          </w:p>
        </w:tc>
      </w:tr>
      <w:tr>
        <w:trPr>
          <w:trHeight w:val="180"/>
        </w:trPr>
        <w:tc>
          <w:tcPr>
            <w:tcW w:w="42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560" w:type="dxa"/>
            <w:vAlign w:val="bottom"/>
          </w:tcPr>
          <w:p>
            <w:pPr>
              <w:ind w:left="20"/>
              <w:spacing w:after="0" w:line="180" w:lineRule="exact"/>
              <w:rPr>
                <w:sz w:val="20"/>
                <w:szCs w:val="20"/>
                <w:color w:val="auto"/>
              </w:rPr>
            </w:pPr>
            <w:r>
              <w:rPr>
                <w:rFonts w:ascii="Times New Roman" w:cs="Times New Roman" w:eastAsia="Times New Roman" w:hAnsi="Times New Roman"/>
                <w:sz w:val="18"/>
                <w:szCs w:val="18"/>
                <w:color w:val="auto"/>
              </w:rPr>
              <w:t>preferred disease state when speaking more broadly about depression treatment as it is a more inclusive and clinically</w:t>
            </w:r>
          </w:p>
        </w:tc>
      </w:tr>
      <w:tr>
        <w:trPr>
          <w:trHeight w:val="175"/>
        </w:trPr>
        <w:tc>
          <w:tcPr>
            <w:tcW w:w="42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560" w:type="dxa"/>
            <w:vAlign w:val="bottom"/>
          </w:tcPr>
          <w:p>
            <w:pPr>
              <w:ind w:left="20"/>
              <w:spacing w:after="0" w:line="175" w:lineRule="exact"/>
              <w:rPr>
                <w:sz w:val="20"/>
                <w:szCs w:val="20"/>
                <w:color w:val="auto"/>
              </w:rPr>
            </w:pPr>
            <w:r>
              <w:rPr>
                <w:rFonts w:ascii="Times New Roman" w:cs="Times New Roman" w:eastAsia="Times New Roman" w:hAnsi="Times New Roman"/>
                <w:sz w:val="18"/>
                <w:szCs w:val="18"/>
                <w:color w:val="auto"/>
              </w:rPr>
              <w:t>evolving concept that encompasses patients whose depression continues to cause significant burden despite usual</w:t>
            </w:r>
          </w:p>
        </w:tc>
      </w:tr>
      <w:tr>
        <w:trPr>
          <w:trHeight w:val="183"/>
        </w:trPr>
        <w:tc>
          <w:tcPr>
            <w:tcW w:w="42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560" w:type="dxa"/>
            <w:vAlign w:val="bottom"/>
          </w:tcPr>
          <w:p>
            <w:pPr>
              <w:ind w:left="20"/>
              <w:spacing w:after="0" w:line="183" w:lineRule="exact"/>
              <w:rPr>
                <w:sz w:val="20"/>
                <w:szCs w:val="20"/>
                <w:color w:val="auto"/>
              </w:rPr>
            </w:pPr>
            <w:r>
              <w:rPr>
                <w:rFonts w:ascii="Times New Roman" w:cs="Times New Roman" w:eastAsia="Times New Roman" w:hAnsi="Times New Roman"/>
                <w:sz w:val="18"/>
                <w:szCs w:val="18"/>
                <w:color w:val="auto"/>
              </w:rPr>
              <w:t>treatment efforts. Meanwhile, LivaNova’s RECOVER clinical study defines the patient population using the inclusion</w:t>
            </w:r>
          </w:p>
        </w:tc>
      </w:tr>
      <w:tr>
        <w:trPr>
          <w:trHeight w:val="180"/>
        </w:trPr>
        <w:tc>
          <w:tcPr>
            <w:tcW w:w="42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560" w:type="dxa"/>
            <w:vAlign w:val="bottom"/>
          </w:tcPr>
          <w:p>
            <w:pPr>
              <w:ind w:left="20"/>
              <w:spacing w:after="0" w:line="180" w:lineRule="exact"/>
              <w:rPr>
                <w:sz w:val="20"/>
                <w:szCs w:val="20"/>
                <w:color w:val="auto"/>
              </w:rPr>
            </w:pPr>
            <w:r>
              <w:rPr>
                <w:rFonts w:ascii="Times New Roman" w:cs="Times New Roman" w:eastAsia="Times New Roman" w:hAnsi="Times New Roman"/>
                <w:sz w:val="18"/>
                <w:szCs w:val="18"/>
                <w:color w:val="auto"/>
              </w:rPr>
              <w:t>criteria for TRD, typically characterized by major depressive disorder that does not adequately respond to at least two</w:t>
            </w:r>
          </w:p>
        </w:tc>
      </w:tr>
      <w:tr>
        <w:trPr>
          <w:trHeight w:val="175"/>
        </w:trPr>
        <w:tc>
          <w:tcPr>
            <w:tcW w:w="42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560" w:type="dxa"/>
            <w:vAlign w:val="bottom"/>
          </w:tcPr>
          <w:p>
            <w:pPr>
              <w:ind w:left="20"/>
              <w:spacing w:after="0" w:line="175" w:lineRule="exact"/>
              <w:rPr>
                <w:sz w:val="20"/>
                <w:szCs w:val="20"/>
                <w:color w:val="auto"/>
              </w:rPr>
            </w:pPr>
            <w:r>
              <w:rPr>
                <w:rFonts w:ascii="Times New Roman" w:cs="Times New Roman" w:eastAsia="Times New Roman" w:hAnsi="Times New Roman"/>
                <w:sz w:val="18"/>
                <w:szCs w:val="18"/>
                <w:color w:val="auto"/>
              </w:rPr>
              <w:t>different antidepressant treatments given at an appropriate dose and duration. As a result, the Company uses TRD in</w:t>
            </w:r>
          </w:p>
        </w:tc>
      </w:tr>
      <w:tr>
        <w:trPr>
          <w:trHeight w:val="183"/>
        </w:trPr>
        <w:tc>
          <w:tcPr>
            <w:tcW w:w="42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560" w:type="dxa"/>
            <w:vAlign w:val="bottom"/>
          </w:tcPr>
          <w:p>
            <w:pPr>
              <w:ind w:left="20"/>
              <w:spacing w:after="0" w:line="183" w:lineRule="exact"/>
              <w:rPr>
                <w:sz w:val="20"/>
                <w:szCs w:val="20"/>
                <w:color w:val="auto"/>
              </w:rPr>
            </w:pPr>
            <w:r>
              <w:rPr>
                <w:rFonts w:ascii="Times New Roman" w:cs="Times New Roman" w:eastAsia="Times New Roman" w:hAnsi="Times New Roman"/>
                <w:sz w:val="18"/>
                <w:szCs w:val="18"/>
                <w:color w:val="auto"/>
              </w:rPr>
              <w:t>the context of the RECOVER study to maintain consistency with the study protocol approved by the U.S. Centers for</w:t>
            </w:r>
          </w:p>
        </w:tc>
      </w:tr>
      <w:tr>
        <w:trPr>
          <w:trHeight w:val="180"/>
        </w:trPr>
        <w:tc>
          <w:tcPr>
            <w:tcW w:w="42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560" w:type="dxa"/>
            <w:vAlign w:val="bottom"/>
          </w:tcPr>
          <w:p>
            <w:pPr>
              <w:ind w:left="20"/>
              <w:spacing w:after="0" w:line="180" w:lineRule="exact"/>
              <w:rPr>
                <w:sz w:val="20"/>
                <w:szCs w:val="20"/>
                <w:color w:val="auto"/>
              </w:rPr>
            </w:pPr>
            <w:r>
              <w:rPr>
                <w:rFonts w:ascii="Times New Roman" w:cs="Times New Roman" w:eastAsia="Times New Roman" w:hAnsi="Times New Roman"/>
                <w:sz w:val="18"/>
                <w:szCs w:val="18"/>
                <w:color w:val="auto"/>
              </w:rPr>
              <w:t>Medicare and Medicaid Services. References to either term in this filing are context-dependent but describe</w:t>
            </w:r>
          </w:p>
        </w:tc>
      </w:tr>
      <w:tr>
        <w:trPr>
          <w:trHeight w:val="228"/>
        </w:trPr>
        <w:tc>
          <w:tcPr>
            <w:tcW w:w="4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overlapping populations.</w:t>
            </w:r>
          </w:p>
        </w:tc>
      </w:tr>
      <w:tr>
        <w:trPr>
          <w:trHeight w:val="228"/>
        </w:trPr>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EBT</w:t>
            </w:r>
          </w:p>
        </w:tc>
        <w:tc>
          <w:tcPr>
            <w:tcW w:w="2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LivaNova PLC Employee Benefit Trust</w:t>
            </w:r>
          </w:p>
        </w:tc>
      </w:tr>
      <w:tr>
        <w:trPr>
          <w:trHeight w:val="228"/>
        </w:trPr>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ECJ</w:t>
            </w:r>
          </w:p>
        </w:tc>
        <w:tc>
          <w:tcPr>
            <w:tcW w:w="2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European Court of Justice</w:t>
            </w:r>
          </w:p>
        </w:tc>
      </w:tr>
      <w:tr>
        <w:trPr>
          <w:trHeight w:val="228"/>
        </w:trPr>
        <w:tc>
          <w:tcPr>
            <w:tcW w:w="26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Embedded Derivatives</w:t>
            </w:r>
          </w:p>
        </w:tc>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 bifurcated embedded derivatives associated with the 2025 Notes and 2029 Notes, collectively</w:t>
            </w:r>
          </w:p>
        </w:tc>
      </w:tr>
      <w:tr>
        <w:trPr>
          <w:trHeight w:val="234"/>
        </w:trPr>
        <w:tc>
          <w:tcPr>
            <w:tcW w:w="26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Exchange Act</w:t>
            </w:r>
          </w:p>
        </w:tc>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Securities Exchange Act of 1934, as amended</w:t>
            </w:r>
          </w:p>
        </w:tc>
      </w:tr>
      <w:tr>
        <w:trPr>
          <w:trHeight w:val="788"/>
        </w:trPr>
        <w:tc>
          <w:tcPr>
            <w:tcW w:w="4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560" w:type="dxa"/>
            <w:vAlign w:val="bottom"/>
          </w:tcPr>
          <w:p>
            <w:pPr>
              <w:ind w:left="2980"/>
              <w:spacing w:after="0"/>
              <w:rPr>
                <w:sz w:val="20"/>
                <w:szCs w:val="20"/>
                <w:color w:val="auto"/>
              </w:rPr>
            </w:pPr>
            <w:r>
              <w:rPr>
                <w:rFonts w:ascii="Times New Roman" w:cs="Times New Roman" w:eastAsia="Times New Roman" w:hAnsi="Times New Roman"/>
                <w:sz w:val="18"/>
                <w:szCs w:val="18"/>
                <w:color w:val="auto"/>
              </w:rPr>
              <w:t>1</w:t>
            </w:r>
          </w:p>
        </w:tc>
      </w:tr>
      <w:tr>
        <w:trPr>
          <w:trHeight w:val="235"/>
        </w:trPr>
        <w:tc>
          <w:tcPr>
            <w:tcW w:w="420" w:type="dxa"/>
            <w:vAlign w:val="bottom"/>
            <w:tcBorders>
              <w:bottom w:val="single" w:sz="8" w:color="9A9A9A"/>
            </w:tcBorders>
          </w:tcPr>
          <w:p>
            <w:pPr>
              <w:spacing w:after="0"/>
              <w:rPr>
                <w:sz w:val="20"/>
                <w:szCs w:val="20"/>
                <w:color w:val="auto"/>
              </w:rPr>
            </w:pPr>
          </w:p>
        </w:tc>
        <w:tc>
          <w:tcPr>
            <w:tcW w:w="2120" w:type="dxa"/>
            <w:vAlign w:val="bottom"/>
            <w:tcBorders>
              <w:bottom w:val="single" w:sz="8" w:color="9A9A9A"/>
            </w:tcBorders>
          </w:tcPr>
          <w:p>
            <w:pPr>
              <w:spacing w:after="0"/>
              <w:rPr>
                <w:sz w:val="20"/>
                <w:szCs w:val="20"/>
                <w:color w:val="auto"/>
              </w:rPr>
            </w:pPr>
          </w:p>
        </w:tc>
        <w:tc>
          <w:tcPr>
            <w:tcW w:w="140" w:type="dxa"/>
            <w:vAlign w:val="bottom"/>
            <w:tcBorders>
              <w:bottom w:val="single" w:sz="8" w:color="9A9A9A"/>
            </w:tcBorders>
          </w:tcPr>
          <w:p>
            <w:pPr>
              <w:spacing w:after="0"/>
              <w:rPr>
                <w:sz w:val="20"/>
                <w:szCs w:val="20"/>
                <w:color w:val="auto"/>
              </w:rPr>
            </w:pPr>
          </w:p>
        </w:tc>
        <w:tc>
          <w:tcPr>
            <w:tcW w:w="856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7"/>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Abbreviation</w:t>
            </w:r>
          </w:p>
        </w:tc>
        <w:tc>
          <w:tcPr>
            <w:tcW w:w="8560" w:type="dxa"/>
            <w:vAlign w:val="bottom"/>
          </w:tcPr>
          <w:p>
            <w:pPr>
              <w:ind w:left="3900"/>
              <w:spacing w:after="0"/>
              <w:rPr>
                <w:sz w:val="20"/>
                <w:szCs w:val="20"/>
                <w:color w:val="auto"/>
              </w:rPr>
            </w:pPr>
            <w:r>
              <w:rPr>
                <w:rFonts w:ascii="Times New Roman" w:cs="Times New Roman" w:eastAsia="Times New Roman" w:hAnsi="Times New Roman"/>
                <w:sz w:val="18"/>
                <w:szCs w:val="18"/>
                <w:b w:val="1"/>
                <w:bCs w:val="1"/>
                <w:color w:val="auto"/>
              </w:rPr>
              <w:t>Definition</w:t>
            </w:r>
          </w:p>
        </w:tc>
      </w:tr>
      <w:tr>
        <w:trPr>
          <w:trHeight w:val="222"/>
        </w:trPr>
        <w:tc>
          <w:tcPr>
            <w:tcW w:w="2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FASB</w:t>
            </w:r>
          </w:p>
        </w:tc>
        <w:tc>
          <w:tcPr>
            <w:tcW w:w="140" w:type="dxa"/>
            <w:vAlign w:val="bottom"/>
            <w:tcBorders>
              <w:top w:val="single" w:sz="8" w:color="CCEEFF"/>
            </w:tcBorders>
            <w:shd w:val="clear" w:color="auto" w:fill="CCEEFF"/>
          </w:tcPr>
          <w:p>
            <w:pPr>
              <w:spacing w:after="0"/>
              <w:rPr>
                <w:sz w:val="19"/>
                <w:szCs w:val="19"/>
                <w:color w:val="auto"/>
              </w:rPr>
            </w:pPr>
          </w:p>
        </w:tc>
        <w:tc>
          <w:tcPr>
            <w:tcW w:w="8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Financial Accounting Standards Board</w:t>
            </w:r>
          </w:p>
        </w:tc>
      </w:tr>
      <w:tr>
        <w:trPr>
          <w:trHeight w:val="228"/>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FX</w:t>
            </w:r>
          </w:p>
        </w:tc>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exchange rate</w:t>
            </w:r>
          </w:p>
        </w:tc>
      </w:tr>
      <w:tr>
        <w:trPr>
          <w:trHeight w:val="228"/>
        </w:trPr>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Group of Seven</w:t>
            </w:r>
          </w:p>
        </w:tc>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Seven major industrial countries, consisting of Canada, France, Germany, Italy, Japan, the UK, and the U.S.</w:t>
            </w:r>
          </w:p>
        </w:tc>
      </w:tr>
      <w:tr>
        <w:trPr>
          <w:trHeight w:val="228"/>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HLM</w:t>
            </w:r>
          </w:p>
        </w:tc>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Heart-lung machine</w:t>
            </w:r>
          </w:p>
        </w:tc>
      </w:tr>
      <w:tr>
        <w:trPr>
          <w:trHeight w:val="175"/>
        </w:trPr>
        <w:tc>
          <w:tcPr>
            <w:tcW w:w="2680" w:type="dxa"/>
            <w:vAlign w:val="bottom"/>
            <w:gridSpan w:val="2"/>
            <w:shd w:val="clear" w:color="auto" w:fill="CCEEFF"/>
          </w:tcPr>
          <w:p>
            <w:pPr>
              <w:ind w:left="20"/>
              <w:spacing w:after="0" w:line="175" w:lineRule="exact"/>
              <w:rPr>
                <w:sz w:val="20"/>
                <w:szCs w:val="20"/>
                <w:color w:val="auto"/>
              </w:rPr>
            </w:pPr>
            <w:r>
              <w:rPr>
                <w:rFonts w:ascii="Times New Roman" w:cs="Times New Roman" w:eastAsia="Times New Roman" w:hAnsi="Times New Roman"/>
                <w:sz w:val="18"/>
                <w:szCs w:val="18"/>
                <w:color w:val="auto"/>
              </w:rPr>
              <w:t>ImThera</w:t>
            </w:r>
          </w:p>
        </w:tc>
        <w:tc>
          <w:tcPr>
            <w:tcW w:w="856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8"/>
                <w:szCs w:val="18"/>
                <w:color w:val="auto"/>
              </w:rPr>
              <w:t>ImThera Medical, Inc., acquired by LivaNova in 2018, a company developing an implantable neurostimulation device</w:t>
            </w:r>
          </w:p>
        </w:tc>
      </w:tr>
      <w:tr>
        <w:trPr>
          <w:trHeight w:val="242"/>
        </w:trPr>
        <w:tc>
          <w:tcPr>
            <w:tcW w:w="25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system for the treatment of obstructive sleep apnea</w:t>
            </w:r>
          </w:p>
        </w:tc>
      </w:tr>
      <w:tr>
        <w:trPr>
          <w:trHeight w:val="175"/>
        </w:trPr>
        <w:tc>
          <w:tcPr>
            <w:tcW w:w="2680" w:type="dxa"/>
            <w:vAlign w:val="bottom"/>
            <w:gridSpan w:val="2"/>
          </w:tcPr>
          <w:p>
            <w:pPr>
              <w:ind w:left="20"/>
              <w:spacing w:after="0" w:line="175" w:lineRule="exact"/>
              <w:rPr>
                <w:sz w:val="20"/>
                <w:szCs w:val="20"/>
                <w:color w:val="auto"/>
              </w:rPr>
            </w:pPr>
            <w:r>
              <w:rPr>
                <w:rFonts w:ascii="Times New Roman" w:cs="Times New Roman" w:eastAsia="Times New Roman" w:hAnsi="Times New Roman"/>
                <w:sz w:val="18"/>
                <w:szCs w:val="18"/>
                <w:color w:val="auto"/>
              </w:rPr>
              <w:t>Incremental Facility Amendment</w:t>
            </w:r>
          </w:p>
        </w:tc>
        <w:tc>
          <w:tcPr>
            <w:tcW w:w="8560" w:type="dxa"/>
            <w:vAlign w:val="bottom"/>
          </w:tcPr>
          <w:p>
            <w:pPr>
              <w:ind w:left="20"/>
              <w:spacing w:after="0" w:line="175" w:lineRule="exact"/>
              <w:rPr>
                <w:sz w:val="20"/>
                <w:szCs w:val="20"/>
                <w:color w:val="auto"/>
              </w:rPr>
            </w:pPr>
            <w:r>
              <w:rPr>
                <w:rFonts w:ascii="Times New Roman" w:cs="Times New Roman" w:eastAsia="Times New Roman" w:hAnsi="Times New Roman"/>
                <w:sz w:val="18"/>
                <w:szCs w:val="18"/>
                <w:color w:val="auto"/>
              </w:rPr>
              <w:t>An incremental facility amendment to the 2021 First Lien Credit Agreement, dated July 6, 2022</w:t>
            </w:r>
          </w:p>
        </w:tc>
      </w:tr>
      <w:tr>
        <w:trPr>
          <w:trHeight w:val="238"/>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 2</w:t>
            </w:r>
          </w:p>
        </w:tc>
        <w:tc>
          <w:tcPr>
            <w:tcW w:w="8560" w:type="dxa"/>
            <w:vAlign w:val="bottom"/>
          </w:tcPr>
          <w:p>
            <w:pPr>
              <w:spacing w:after="0"/>
              <w:rPr>
                <w:sz w:val="20"/>
                <w:szCs w:val="20"/>
                <w:color w:val="auto"/>
              </w:rPr>
            </w:pPr>
          </w:p>
        </w:tc>
      </w:tr>
      <w:tr>
        <w:trPr>
          <w:trHeight w:val="179"/>
        </w:trPr>
        <w:tc>
          <w:tcPr>
            <w:tcW w:w="2680" w:type="dxa"/>
            <w:vAlign w:val="bottom"/>
            <w:gridSpan w:val="2"/>
            <w:shd w:val="clear" w:color="auto" w:fill="CCEEFF"/>
          </w:tcPr>
          <w:p>
            <w:pPr>
              <w:ind w:left="20"/>
              <w:spacing w:after="0" w:line="179" w:lineRule="exact"/>
              <w:rPr>
                <w:sz w:val="20"/>
                <w:szCs w:val="20"/>
                <w:color w:val="auto"/>
              </w:rPr>
            </w:pPr>
            <w:r>
              <w:rPr>
                <w:rFonts w:ascii="Times New Roman" w:cs="Times New Roman" w:eastAsia="Times New Roman" w:hAnsi="Times New Roman"/>
                <w:sz w:val="18"/>
                <w:szCs w:val="18"/>
                <w:color w:val="auto"/>
              </w:rPr>
              <w:t>Initial Term Facility</w:t>
            </w:r>
          </w:p>
        </w:tc>
        <w:tc>
          <w:tcPr>
            <w:tcW w:w="8560" w:type="dxa"/>
            <w:vAlign w:val="bottom"/>
            <w:shd w:val="clear" w:color="auto" w:fill="CCEEFF"/>
          </w:tcPr>
          <w:p>
            <w:pPr>
              <w:ind w:left="20"/>
              <w:spacing w:after="0" w:line="179" w:lineRule="exact"/>
              <w:rPr>
                <w:sz w:val="20"/>
                <w:szCs w:val="20"/>
                <w:color w:val="auto"/>
              </w:rPr>
            </w:pPr>
            <w:r>
              <w:rPr>
                <w:rFonts w:ascii="Times New Roman" w:cs="Times New Roman" w:eastAsia="Times New Roman" w:hAnsi="Times New Roman"/>
                <w:sz w:val="18"/>
                <w:szCs w:val="18"/>
                <w:color w:val="auto"/>
              </w:rPr>
              <w:t>$300.0 million term facility under the 2021 First Lien Credit Agreement, resulting from the Incremental Facility</w:t>
            </w:r>
          </w:p>
        </w:tc>
      </w:tr>
      <w:tr>
        <w:trPr>
          <w:trHeight w:val="242"/>
        </w:trPr>
        <w:tc>
          <w:tcPr>
            <w:tcW w:w="25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Amendment No. 2</w:t>
            </w:r>
          </w:p>
        </w:tc>
      </w:tr>
      <w:tr>
        <w:trPr>
          <w:trHeight w:val="175"/>
        </w:trPr>
        <w:tc>
          <w:tcPr>
            <w:tcW w:w="2680" w:type="dxa"/>
            <w:vAlign w:val="bottom"/>
            <w:gridSpan w:val="2"/>
          </w:tcPr>
          <w:p>
            <w:pPr>
              <w:ind w:left="20"/>
              <w:spacing w:after="0" w:line="175" w:lineRule="exact"/>
              <w:rPr>
                <w:sz w:val="20"/>
                <w:szCs w:val="20"/>
                <w:color w:val="auto"/>
              </w:rPr>
            </w:pPr>
            <w:r>
              <w:rPr>
                <w:rFonts w:ascii="Times New Roman" w:cs="Times New Roman" w:eastAsia="Times New Roman" w:hAnsi="Times New Roman"/>
                <w:sz w:val="18"/>
                <w:szCs w:val="18"/>
                <w:color w:val="auto"/>
              </w:rPr>
              <w:t>ISIN</w:t>
            </w:r>
          </w:p>
        </w:tc>
        <w:tc>
          <w:tcPr>
            <w:tcW w:w="8560" w:type="dxa"/>
            <w:vAlign w:val="bottom"/>
          </w:tcPr>
          <w:p>
            <w:pPr>
              <w:ind w:left="20"/>
              <w:spacing w:after="0" w:line="175" w:lineRule="exact"/>
              <w:rPr>
                <w:sz w:val="20"/>
                <w:szCs w:val="20"/>
                <w:color w:val="auto"/>
              </w:rPr>
            </w:pPr>
            <w:r>
              <w:rPr>
                <w:rFonts w:ascii="Times New Roman" w:cs="Times New Roman" w:eastAsia="Times New Roman" w:hAnsi="Times New Roman"/>
                <w:sz w:val="18"/>
                <w:szCs w:val="18"/>
                <w:color w:val="auto"/>
              </w:rPr>
              <w:t>National Inspectorate for Nuclear Safety and Radiation Protection, a sub-body of the Italian Ministry of Economic</w:t>
            </w:r>
          </w:p>
        </w:tc>
      </w:tr>
      <w:tr>
        <w:trPr>
          <w:trHeight w:val="238"/>
        </w:trPr>
        <w:tc>
          <w:tcPr>
            <w:tcW w:w="2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Development</w:t>
            </w:r>
          </w:p>
        </w:tc>
      </w:tr>
      <w:tr>
        <w:trPr>
          <w:trHeight w:val="233"/>
        </w:trPr>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LivaNova PLC</w:t>
            </w:r>
          </w:p>
        </w:tc>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 public limited company organized under the laws of England and Wales on February 20, 2015</w:t>
            </w:r>
          </w:p>
        </w:tc>
      </w:tr>
      <w:tr>
        <w:trPr>
          <w:trHeight w:val="228"/>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LivaNova USA</w:t>
            </w:r>
          </w:p>
        </w:tc>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LivaNova USA, Inc.</w:t>
            </w:r>
          </w:p>
        </w:tc>
      </w:tr>
      <w:tr>
        <w:trPr>
          <w:trHeight w:val="228"/>
        </w:trPr>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LSM</w:t>
            </w:r>
          </w:p>
        </w:tc>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LivaNova Site Management S.r.l.</w:t>
            </w:r>
          </w:p>
        </w:tc>
      </w:tr>
      <w:tr>
        <w:trPr>
          <w:trHeight w:val="228"/>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MDL</w:t>
            </w:r>
          </w:p>
        </w:tc>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Federal multi-district litigation in the U.S. District Court for the Middle District of Pennsylvania</w:t>
            </w:r>
          </w:p>
        </w:tc>
      </w:tr>
      <w:tr>
        <w:trPr>
          <w:trHeight w:val="228"/>
        </w:trPr>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MedTech</w:t>
            </w:r>
          </w:p>
        </w:tc>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Medical technology</w:t>
            </w:r>
          </w:p>
        </w:tc>
      </w:tr>
      <w:tr>
        <w:trPr>
          <w:trHeight w:val="175"/>
        </w:trPr>
        <w:tc>
          <w:tcPr>
            <w:tcW w:w="2680" w:type="dxa"/>
            <w:vAlign w:val="bottom"/>
            <w:gridSpan w:val="2"/>
          </w:tcPr>
          <w:p>
            <w:pPr>
              <w:ind w:left="20"/>
              <w:spacing w:after="0" w:line="175" w:lineRule="exact"/>
              <w:rPr>
                <w:sz w:val="20"/>
                <w:szCs w:val="20"/>
                <w:color w:val="auto"/>
              </w:rPr>
            </w:pPr>
            <w:r>
              <w:rPr>
                <w:rFonts w:ascii="Times New Roman" w:cs="Times New Roman" w:eastAsia="Times New Roman" w:hAnsi="Times New Roman"/>
                <w:sz w:val="18"/>
                <w:szCs w:val="18"/>
                <w:color w:val="auto"/>
              </w:rPr>
              <w:t>Ministry</w:t>
            </w:r>
          </w:p>
        </w:tc>
        <w:tc>
          <w:tcPr>
            <w:tcW w:w="8560" w:type="dxa"/>
            <w:vAlign w:val="bottom"/>
          </w:tcPr>
          <w:p>
            <w:pPr>
              <w:ind w:left="20"/>
              <w:spacing w:after="0" w:line="175" w:lineRule="exact"/>
              <w:rPr>
                <w:sz w:val="20"/>
                <w:szCs w:val="20"/>
                <w:color w:val="auto"/>
              </w:rPr>
            </w:pPr>
            <w:r>
              <w:rPr>
                <w:rFonts w:ascii="Times New Roman" w:cs="Times New Roman" w:eastAsia="Times New Roman" w:hAnsi="Times New Roman"/>
                <w:sz w:val="18"/>
                <w:szCs w:val="18"/>
                <w:color w:val="auto"/>
              </w:rPr>
              <w:t>Collectively, the Ministry of Ecological Transition, the Ministry of Economy and Finance, and the Prime Minister’s</w:t>
            </w:r>
          </w:p>
        </w:tc>
      </w:tr>
      <w:tr>
        <w:trPr>
          <w:trHeight w:val="238"/>
        </w:trPr>
        <w:tc>
          <w:tcPr>
            <w:tcW w:w="2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w:t>
            </w:r>
          </w:p>
        </w:tc>
      </w:tr>
      <w:tr>
        <w:trPr>
          <w:trHeight w:val="233"/>
        </w:trPr>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Nasdaq</w:t>
            </w:r>
          </w:p>
        </w:tc>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Nasdaq Global Select Market</w:t>
            </w:r>
          </w:p>
        </w:tc>
      </w:tr>
      <w:tr>
        <w:trPr>
          <w:trHeight w:val="228"/>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OBBBA</w:t>
            </w:r>
          </w:p>
        </w:tc>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One Big Beautiful Bill Act</w:t>
            </w:r>
          </w:p>
        </w:tc>
      </w:tr>
      <w:tr>
        <w:trPr>
          <w:trHeight w:val="228"/>
        </w:trPr>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ODI</w:t>
            </w:r>
          </w:p>
        </w:tc>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Oxygen desaturation index</w:t>
            </w:r>
          </w:p>
        </w:tc>
      </w:tr>
      <w:tr>
        <w:trPr>
          <w:trHeight w:val="228"/>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OECD</w:t>
            </w:r>
          </w:p>
        </w:tc>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Organisation for Economic Co-operation and Development</w:t>
            </w:r>
          </w:p>
        </w:tc>
      </w:tr>
      <w:tr>
        <w:trPr>
          <w:trHeight w:val="175"/>
        </w:trPr>
        <w:tc>
          <w:tcPr>
            <w:tcW w:w="2680" w:type="dxa"/>
            <w:vAlign w:val="bottom"/>
            <w:gridSpan w:val="2"/>
            <w:shd w:val="clear" w:color="auto" w:fill="CCEEFF"/>
          </w:tcPr>
          <w:p>
            <w:pPr>
              <w:ind w:left="20"/>
              <w:spacing w:after="0" w:line="175" w:lineRule="exact"/>
              <w:rPr>
                <w:sz w:val="20"/>
                <w:szCs w:val="20"/>
                <w:color w:val="auto"/>
              </w:rPr>
            </w:pPr>
            <w:r>
              <w:rPr>
                <w:rFonts w:ascii="Times New Roman" w:cs="Times New Roman" w:eastAsia="Times New Roman" w:hAnsi="Times New Roman"/>
                <w:sz w:val="18"/>
                <w:szCs w:val="18"/>
                <w:color w:val="auto"/>
              </w:rPr>
              <w:t>Option Counterparties</w:t>
            </w:r>
          </w:p>
        </w:tc>
        <w:tc>
          <w:tcPr>
            <w:tcW w:w="856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8"/>
                <w:szCs w:val="18"/>
                <w:color w:val="auto"/>
              </w:rPr>
              <w:t>Certain financial institutions with whom LivaNova USA or LivaNova PLC, as applicable, has entered into the 2025</w:t>
            </w:r>
          </w:p>
        </w:tc>
      </w:tr>
      <w:tr>
        <w:trPr>
          <w:trHeight w:val="242"/>
        </w:trPr>
        <w:tc>
          <w:tcPr>
            <w:tcW w:w="25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Capped Calls and 2029 Capped Calls</w:t>
            </w:r>
          </w:p>
        </w:tc>
      </w:tr>
      <w:tr>
        <w:trPr>
          <w:trHeight w:val="228"/>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OSA</w:t>
            </w:r>
          </w:p>
        </w:tc>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Obstructive sleep apnea</w:t>
            </w:r>
          </w:p>
        </w:tc>
      </w:tr>
      <w:tr>
        <w:trPr>
          <w:trHeight w:val="228"/>
        </w:trPr>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OSPREY clinical trial</w:t>
            </w:r>
          </w:p>
        </w:tc>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LivaNova’s clinical trial, “Treating Obstructive Sleep Apnea using Targeted Hypoglossal Neurostimulation”</w:t>
            </w:r>
          </w:p>
        </w:tc>
      </w:tr>
      <w:tr>
        <w:trPr>
          <w:trHeight w:val="228"/>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Pillar Two</w:t>
            </w:r>
          </w:p>
        </w:tc>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Organisation for Economic Co-operation and Development Global Anti-Base Erosion Model Rules (Pillar Two)</w:t>
            </w:r>
          </w:p>
        </w:tc>
      </w:tr>
      <w:tr>
        <w:trPr>
          <w:trHeight w:val="228"/>
        </w:trPr>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Public Administrations</w:t>
            </w:r>
          </w:p>
        </w:tc>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 Italian Ministry of the Environment and other Italian government agencies</w:t>
            </w:r>
          </w:p>
        </w:tc>
      </w:tr>
      <w:tr>
        <w:trPr>
          <w:trHeight w:val="228"/>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R&amp;D</w:t>
            </w:r>
          </w:p>
        </w:tc>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r>
      <w:tr>
        <w:trPr>
          <w:trHeight w:val="228"/>
        </w:trPr>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Report</w:t>
            </w:r>
          </w:p>
        </w:tc>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This Quarterly Report on Form 10-Q</w:t>
            </w:r>
          </w:p>
        </w:tc>
      </w:tr>
      <w:tr>
        <w:trPr>
          <w:trHeight w:val="228"/>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r>
      <w:tr>
        <w:trPr>
          <w:trHeight w:val="228"/>
        </w:trPr>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SARs</w:t>
            </w:r>
          </w:p>
        </w:tc>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appreciation rights</w:t>
            </w:r>
          </w:p>
        </w:tc>
      </w:tr>
      <w:tr>
        <w:trPr>
          <w:trHeight w:val="228"/>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SEC</w:t>
            </w:r>
          </w:p>
        </w:tc>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Securities and Exchange Commission</w:t>
            </w:r>
          </w:p>
        </w:tc>
      </w:tr>
      <w:tr>
        <w:trPr>
          <w:trHeight w:val="228"/>
        </w:trPr>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Second A&amp;R 2022 Plan</w:t>
            </w:r>
          </w:p>
        </w:tc>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Second Amended and Restated LivaNova PLC 2022 Incentive Award Plan</w:t>
            </w:r>
          </w:p>
        </w:tc>
      </w:tr>
      <w:tr>
        <w:trPr>
          <w:trHeight w:val="228"/>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Securities Act</w:t>
            </w:r>
          </w:p>
        </w:tc>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Securities Act of 1933, as amended</w:t>
            </w:r>
          </w:p>
        </w:tc>
      </w:tr>
      <w:tr>
        <w:trPr>
          <w:trHeight w:val="228"/>
        </w:trPr>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SG&amp;A</w:t>
            </w:r>
          </w:p>
        </w:tc>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r>
      <w:tr>
        <w:trPr>
          <w:trHeight w:val="228"/>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SNIA</w:t>
            </w:r>
          </w:p>
        </w:tc>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SNIA S.p.A.</w:t>
            </w:r>
          </w:p>
        </w:tc>
      </w:tr>
      <w:tr>
        <w:trPr>
          <w:trHeight w:val="228"/>
        </w:trPr>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SNIA Litigation Guarantee</w:t>
            </w:r>
          </w:p>
        </w:tc>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 first demand bank guarantee of €270.0 million in connection with the SNIA environmental litigation</w:t>
            </w:r>
          </w:p>
        </w:tc>
      </w:tr>
      <w:tr>
        <w:trPr>
          <w:trHeight w:val="228"/>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Sorin</w:t>
            </w:r>
          </w:p>
        </w:tc>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Sorin S.p.A.</w:t>
            </w:r>
          </w:p>
        </w:tc>
      </w:tr>
      <w:tr>
        <w:trPr>
          <w:trHeight w:val="228"/>
        </w:trPr>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Facilities</w:t>
            </w:r>
          </w:p>
        </w:tc>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 Initial Term Facility, together with the Delayed Draw Term Facility</w:t>
            </w:r>
          </w:p>
        </w:tc>
      </w:tr>
      <w:tr>
        <w:trPr>
          <w:trHeight w:val="793"/>
        </w:trPr>
        <w:tc>
          <w:tcPr>
            <w:tcW w:w="2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560" w:type="dxa"/>
            <w:vAlign w:val="bottom"/>
          </w:tcPr>
          <w:p>
            <w:pPr>
              <w:ind w:left="2980"/>
              <w:spacing w:after="0"/>
              <w:rPr>
                <w:sz w:val="20"/>
                <w:szCs w:val="20"/>
                <w:color w:val="auto"/>
              </w:rPr>
            </w:pPr>
            <w:r>
              <w:rPr>
                <w:rFonts w:ascii="Times New Roman" w:cs="Times New Roman" w:eastAsia="Times New Roman" w:hAnsi="Times New Roman"/>
                <w:sz w:val="18"/>
                <w:szCs w:val="18"/>
                <w:color w:val="auto"/>
              </w:rPr>
              <w:t>2</w:t>
            </w:r>
          </w:p>
        </w:tc>
      </w:tr>
      <w:tr>
        <w:trPr>
          <w:trHeight w:val="235"/>
        </w:trPr>
        <w:tc>
          <w:tcPr>
            <w:tcW w:w="2540" w:type="dxa"/>
            <w:vAlign w:val="bottom"/>
            <w:tcBorders>
              <w:bottom w:val="single" w:sz="8" w:color="9A9A9A"/>
            </w:tcBorders>
          </w:tcPr>
          <w:p>
            <w:pPr>
              <w:spacing w:after="0"/>
              <w:rPr>
                <w:sz w:val="20"/>
                <w:szCs w:val="20"/>
                <w:color w:val="auto"/>
              </w:rPr>
            </w:pPr>
          </w:p>
        </w:tc>
        <w:tc>
          <w:tcPr>
            <w:tcW w:w="140" w:type="dxa"/>
            <w:vAlign w:val="bottom"/>
            <w:tcBorders>
              <w:bottom w:val="single" w:sz="8" w:color="9A9A9A"/>
            </w:tcBorders>
          </w:tcPr>
          <w:p>
            <w:pPr>
              <w:spacing w:after="0"/>
              <w:rPr>
                <w:sz w:val="20"/>
                <w:szCs w:val="20"/>
                <w:color w:val="auto"/>
              </w:rPr>
            </w:pPr>
          </w:p>
        </w:tc>
        <w:tc>
          <w:tcPr>
            <w:tcW w:w="856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23"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7"/>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Abbreviation</w:t>
            </w:r>
          </w:p>
        </w:tc>
        <w:tc>
          <w:tcPr>
            <w:tcW w:w="8560" w:type="dxa"/>
            <w:vAlign w:val="bottom"/>
          </w:tcPr>
          <w:p>
            <w:pPr>
              <w:ind w:left="3900"/>
              <w:spacing w:after="0"/>
              <w:rPr>
                <w:sz w:val="20"/>
                <w:szCs w:val="20"/>
                <w:color w:val="auto"/>
              </w:rPr>
            </w:pPr>
            <w:r>
              <w:rPr>
                <w:rFonts w:ascii="Times New Roman" w:cs="Times New Roman" w:eastAsia="Times New Roman" w:hAnsi="Times New Roman"/>
                <w:sz w:val="18"/>
                <w:szCs w:val="18"/>
                <w:b w:val="1"/>
                <w:bCs w:val="1"/>
                <w:color w:val="auto"/>
              </w:rPr>
              <w:t>Definition</w:t>
            </w:r>
          </w:p>
        </w:tc>
      </w:tr>
      <w:tr>
        <w:trPr>
          <w:trHeight w:val="168"/>
        </w:trPr>
        <w:tc>
          <w:tcPr>
            <w:tcW w:w="2540" w:type="dxa"/>
            <w:vAlign w:val="bottom"/>
            <w:tcBorders>
              <w:top w:val="single" w:sz="8" w:color="auto"/>
            </w:tcBorders>
          </w:tcPr>
          <w:p>
            <w:pPr>
              <w:ind w:left="20"/>
              <w:spacing w:after="0" w:line="168" w:lineRule="exact"/>
              <w:rPr>
                <w:sz w:val="20"/>
                <w:szCs w:val="20"/>
                <w:color w:val="auto"/>
              </w:rPr>
            </w:pPr>
            <w:r>
              <w:rPr>
                <w:rFonts w:ascii="Times New Roman" w:cs="Times New Roman" w:eastAsia="Times New Roman" w:hAnsi="Times New Roman"/>
                <w:sz w:val="18"/>
                <w:szCs w:val="18"/>
                <w:color w:val="auto"/>
              </w:rPr>
              <w:t>TRD</w:t>
            </w:r>
          </w:p>
        </w:tc>
        <w:tc>
          <w:tcPr>
            <w:tcW w:w="140" w:type="dxa"/>
            <w:vAlign w:val="bottom"/>
          </w:tcPr>
          <w:p>
            <w:pPr>
              <w:spacing w:after="0"/>
              <w:rPr>
                <w:sz w:val="14"/>
                <w:szCs w:val="14"/>
                <w:color w:val="auto"/>
              </w:rPr>
            </w:pPr>
          </w:p>
        </w:tc>
        <w:tc>
          <w:tcPr>
            <w:tcW w:w="8560" w:type="dxa"/>
            <w:vAlign w:val="bottom"/>
            <w:tcBorders>
              <w:top w:val="single" w:sz="8" w:color="auto"/>
            </w:tcBorders>
          </w:tcPr>
          <w:p>
            <w:pPr>
              <w:ind w:left="20"/>
              <w:spacing w:after="0" w:line="168" w:lineRule="exact"/>
              <w:rPr>
                <w:sz w:val="20"/>
                <w:szCs w:val="20"/>
                <w:color w:val="auto"/>
              </w:rPr>
            </w:pPr>
            <w:r>
              <w:rPr>
                <w:rFonts w:ascii="Times New Roman" w:cs="Times New Roman" w:eastAsia="Times New Roman" w:hAnsi="Times New Roman"/>
                <w:sz w:val="18"/>
                <w:szCs w:val="18"/>
                <w:color w:val="auto"/>
              </w:rPr>
              <w:t>Treatment-resistant depression - LivaNova’s RECOVER clinical study defines the patient population using the</w:t>
            </w:r>
          </w:p>
        </w:tc>
      </w:tr>
      <w:tr>
        <w:trPr>
          <w:trHeight w:val="183"/>
        </w:trPr>
        <w:tc>
          <w:tcPr>
            <w:tcW w:w="2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560" w:type="dxa"/>
            <w:vAlign w:val="bottom"/>
          </w:tcPr>
          <w:p>
            <w:pPr>
              <w:ind w:left="20"/>
              <w:spacing w:after="0" w:line="183" w:lineRule="exact"/>
              <w:rPr>
                <w:sz w:val="20"/>
                <w:szCs w:val="20"/>
                <w:color w:val="auto"/>
              </w:rPr>
            </w:pPr>
            <w:r>
              <w:rPr>
                <w:rFonts w:ascii="Times New Roman" w:cs="Times New Roman" w:eastAsia="Times New Roman" w:hAnsi="Times New Roman"/>
                <w:sz w:val="18"/>
                <w:szCs w:val="18"/>
                <w:color w:val="auto"/>
              </w:rPr>
              <w:t>inclusion criteria for TRD, typically characterized by major depressive disorder that does not adequately respond to at</w:t>
            </w:r>
          </w:p>
        </w:tc>
      </w:tr>
      <w:tr>
        <w:trPr>
          <w:trHeight w:val="180"/>
        </w:trPr>
        <w:tc>
          <w:tcPr>
            <w:tcW w:w="2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560" w:type="dxa"/>
            <w:vAlign w:val="bottom"/>
          </w:tcPr>
          <w:p>
            <w:pPr>
              <w:ind w:left="20"/>
              <w:spacing w:after="0" w:line="180" w:lineRule="exact"/>
              <w:rPr>
                <w:sz w:val="20"/>
                <w:szCs w:val="20"/>
                <w:color w:val="auto"/>
              </w:rPr>
            </w:pPr>
            <w:r>
              <w:rPr>
                <w:rFonts w:ascii="Times New Roman" w:cs="Times New Roman" w:eastAsia="Times New Roman" w:hAnsi="Times New Roman"/>
                <w:sz w:val="18"/>
                <w:szCs w:val="18"/>
                <w:color w:val="auto"/>
              </w:rPr>
              <w:t>least two different antidepressant treatments given at an appropriate dose and duration. As a result, the Company uses</w:t>
            </w:r>
          </w:p>
        </w:tc>
      </w:tr>
      <w:tr>
        <w:trPr>
          <w:trHeight w:val="175"/>
        </w:trPr>
        <w:tc>
          <w:tcPr>
            <w:tcW w:w="2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560" w:type="dxa"/>
            <w:vAlign w:val="bottom"/>
          </w:tcPr>
          <w:p>
            <w:pPr>
              <w:ind w:left="20"/>
              <w:spacing w:after="0" w:line="175" w:lineRule="exact"/>
              <w:rPr>
                <w:sz w:val="20"/>
                <w:szCs w:val="20"/>
                <w:color w:val="auto"/>
              </w:rPr>
            </w:pPr>
            <w:r>
              <w:rPr>
                <w:rFonts w:ascii="Times New Roman" w:cs="Times New Roman" w:eastAsia="Times New Roman" w:hAnsi="Times New Roman"/>
                <w:sz w:val="18"/>
                <w:szCs w:val="18"/>
                <w:color w:val="auto"/>
              </w:rPr>
              <w:t>TRD in the context of the RECOVER study to maintain consistency with the study protocol approved by the U.S.</w:t>
            </w:r>
          </w:p>
        </w:tc>
      </w:tr>
      <w:tr>
        <w:trPr>
          <w:trHeight w:val="183"/>
        </w:trPr>
        <w:tc>
          <w:tcPr>
            <w:tcW w:w="2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560" w:type="dxa"/>
            <w:vAlign w:val="bottom"/>
          </w:tcPr>
          <w:p>
            <w:pPr>
              <w:ind w:left="20"/>
              <w:spacing w:after="0" w:line="183" w:lineRule="exact"/>
              <w:rPr>
                <w:sz w:val="20"/>
                <w:szCs w:val="20"/>
                <w:color w:val="auto"/>
              </w:rPr>
            </w:pPr>
            <w:r>
              <w:rPr>
                <w:rFonts w:ascii="Times New Roman" w:cs="Times New Roman" w:eastAsia="Times New Roman" w:hAnsi="Times New Roman"/>
                <w:sz w:val="18"/>
                <w:szCs w:val="18"/>
                <w:color w:val="auto"/>
              </w:rPr>
              <w:t>Centers  for  Medicare  and  Medicaid  Services.  Meanwhile,  the  Company’s  broader  business  and  strategic</w:t>
            </w:r>
          </w:p>
        </w:tc>
      </w:tr>
      <w:tr>
        <w:trPr>
          <w:trHeight w:val="180"/>
        </w:trPr>
        <w:tc>
          <w:tcPr>
            <w:tcW w:w="2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560" w:type="dxa"/>
            <w:vAlign w:val="bottom"/>
          </w:tcPr>
          <w:p>
            <w:pPr>
              <w:ind w:left="20"/>
              <w:spacing w:after="0" w:line="180" w:lineRule="exact"/>
              <w:rPr>
                <w:sz w:val="20"/>
                <w:szCs w:val="20"/>
                <w:color w:val="auto"/>
              </w:rPr>
            </w:pPr>
            <w:r>
              <w:rPr>
                <w:rFonts w:ascii="Times New Roman" w:cs="Times New Roman" w:eastAsia="Times New Roman" w:hAnsi="Times New Roman"/>
                <w:sz w:val="18"/>
                <w:szCs w:val="18"/>
                <w:color w:val="auto"/>
                <w:w w:val="99"/>
              </w:rPr>
              <w:t>communications reference DTD as the preferred disease state when speaking more broadly about depression treatment</w:t>
            </w:r>
          </w:p>
        </w:tc>
      </w:tr>
      <w:tr>
        <w:trPr>
          <w:trHeight w:val="175"/>
        </w:trPr>
        <w:tc>
          <w:tcPr>
            <w:tcW w:w="2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560" w:type="dxa"/>
            <w:vAlign w:val="bottom"/>
          </w:tcPr>
          <w:p>
            <w:pPr>
              <w:ind w:left="20"/>
              <w:spacing w:after="0" w:line="175" w:lineRule="exact"/>
              <w:rPr>
                <w:sz w:val="20"/>
                <w:szCs w:val="20"/>
                <w:color w:val="auto"/>
              </w:rPr>
            </w:pPr>
            <w:r>
              <w:rPr>
                <w:rFonts w:ascii="Times New Roman" w:cs="Times New Roman" w:eastAsia="Times New Roman" w:hAnsi="Times New Roman"/>
                <w:sz w:val="18"/>
                <w:szCs w:val="18"/>
                <w:color w:val="auto"/>
              </w:rPr>
              <w:t>as it is a more inclusive and clinically evolving concept that encompasses patients whose depression continues to</w:t>
            </w:r>
          </w:p>
        </w:tc>
      </w:tr>
      <w:tr>
        <w:trPr>
          <w:trHeight w:val="183"/>
        </w:trPr>
        <w:tc>
          <w:tcPr>
            <w:tcW w:w="2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560" w:type="dxa"/>
            <w:vAlign w:val="bottom"/>
          </w:tcPr>
          <w:p>
            <w:pPr>
              <w:ind w:left="20"/>
              <w:spacing w:after="0" w:line="183" w:lineRule="exact"/>
              <w:rPr>
                <w:sz w:val="20"/>
                <w:szCs w:val="20"/>
                <w:color w:val="auto"/>
              </w:rPr>
            </w:pPr>
            <w:r>
              <w:rPr>
                <w:rFonts w:ascii="Times New Roman" w:cs="Times New Roman" w:eastAsia="Times New Roman" w:hAnsi="Times New Roman"/>
                <w:sz w:val="18"/>
                <w:szCs w:val="18"/>
                <w:color w:val="auto"/>
              </w:rPr>
              <w:t>cause significant burden despite usual treatment efforts. References to either term in this filing are context-dependent</w:t>
            </w:r>
          </w:p>
        </w:tc>
      </w:tr>
      <w:tr>
        <w:trPr>
          <w:trHeight w:val="233"/>
        </w:trPr>
        <w:tc>
          <w:tcPr>
            <w:tcW w:w="2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but describe overlapping populations.</w:t>
            </w:r>
          </w:p>
        </w:tc>
      </w:tr>
      <w:tr>
        <w:trPr>
          <w:trHeight w:val="228"/>
        </w:trPr>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28"/>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 GAAP</w:t>
            </w:r>
          </w:p>
        </w:tc>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Generally Accepted Accounting Principles in the U.S.</w:t>
            </w:r>
          </w:p>
        </w:tc>
      </w:tr>
      <w:tr>
        <w:trPr>
          <w:trHeight w:val="228"/>
        </w:trPr>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UK</w:t>
            </w:r>
          </w:p>
        </w:tc>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8"/>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USD</w:t>
            </w:r>
          </w:p>
        </w:tc>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dollar</w:t>
            </w:r>
          </w:p>
        </w:tc>
      </w:tr>
      <w:tr>
        <w:trPr>
          <w:trHeight w:val="228"/>
        </w:trPr>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VNS Therapy</w:t>
            </w:r>
          </w:p>
        </w:tc>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LivaNova Vagus Nerve Stimulation Therapy</w:t>
            </w:r>
          </w:p>
        </w:tc>
      </w:tr>
      <w:tr>
        <w:trPr>
          <w:trHeight w:val="793"/>
        </w:trPr>
        <w:tc>
          <w:tcPr>
            <w:tcW w:w="2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560" w:type="dxa"/>
            <w:vAlign w:val="bottom"/>
          </w:tcPr>
          <w:p>
            <w:pPr>
              <w:ind w:left="2980"/>
              <w:spacing w:after="0"/>
              <w:rPr>
                <w:sz w:val="20"/>
                <w:szCs w:val="20"/>
                <w:color w:val="auto"/>
              </w:rPr>
            </w:pPr>
            <w:r>
              <w:rPr>
                <w:rFonts w:ascii="Times New Roman" w:cs="Times New Roman" w:eastAsia="Times New Roman" w:hAnsi="Times New Roman"/>
                <w:sz w:val="18"/>
                <w:szCs w:val="18"/>
                <w:color w:val="auto"/>
              </w:rPr>
              <w:t>3</w:t>
            </w:r>
          </w:p>
        </w:tc>
      </w:tr>
      <w:tr>
        <w:trPr>
          <w:trHeight w:val="235"/>
        </w:trPr>
        <w:tc>
          <w:tcPr>
            <w:tcW w:w="2540" w:type="dxa"/>
            <w:vAlign w:val="bottom"/>
            <w:tcBorders>
              <w:bottom w:val="single" w:sz="8" w:color="9A9A9A"/>
            </w:tcBorders>
          </w:tcPr>
          <w:p>
            <w:pPr>
              <w:spacing w:after="0"/>
              <w:rPr>
                <w:sz w:val="20"/>
                <w:szCs w:val="20"/>
                <w:color w:val="auto"/>
              </w:rPr>
            </w:pPr>
          </w:p>
        </w:tc>
        <w:tc>
          <w:tcPr>
            <w:tcW w:w="140" w:type="dxa"/>
            <w:vAlign w:val="bottom"/>
            <w:tcBorders>
              <w:bottom w:val="single" w:sz="8" w:color="9A9A9A"/>
            </w:tcBorders>
          </w:tcPr>
          <w:p>
            <w:pPr>
              <w:spacing w:after="0"/>
              <w:rPr>
                <w:sz w:val="20"/>
                <w:szCs w:val="20"/>
                <w:color w:val="auto"/>
              </w:rPr>
            </w:pPr>
          </w:p>
        </w:tc>
        <w:tc>
          <w:tcPr>
            <w:tcW w:w="856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23" w:right="339" w:bottom="1440" w:gutter="0" w:footer="0" w:header="0"/>
        </w:sectPr>
      </w:pPr>
    </w:p>
    <w:bookmarkStart w:id="5" w:name="page6"/>
    <w:bookmarkEnd w:id="5"/>
    <w:p>
      <w:pPr>
        <w:ind w:left="2320"/>
        <w:spacing w:after="0"/>
        <w:rPr>
          <w:sz w:val="20"/>
          <w:szCs w:val="20"/>
          <w:color w:val="auto"/>
        </w:rPr>
      </w:pPr>
      <w:r>
        <w:rPr>
          <w:rFonts w:ascii="Times New Roman" w:cs="Times New Roman" w:eastAsia="Times New Roman" w:hAnsi="Times New Roman"/>
          <w:sz w:val="21"/>
          <w:szCs w:val="21"/>
          <w:b w:val="1"/>
          <w:bCs w:val="1"/>
          <w:color w:val="auto"/>
        </w:rPr>
        <w:t>INTELLECTUAL PROPERTY, TRADEMARKS, AND TRADE NAMES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Report may contain references to LivaNova’s proprietary intellectual property, including among others:</w:t>
      </w:r>
    </w:p>
    <w:p>
      <w:pPr>
        <w:spacing w:after="0" w:line="74" w:lineRule="exact"/>
        <w:rPr>
          <w:sz w:val="20"/>
          <w:szCs w:val="20"/>
          <w:color w:val="auto"/>
        </w:rPr>
      </w:pPr>
    </w:p>
    <w:p>
      <w:pPr>
        <w:jc w:val="both"/>
        <w:ind w:left="660" w:hanging="330"/>
        <w:spacing w:after="0" w:line="181" w:lineRule="auto"/>
        <w:tabs>
          <w:tab w:leader="none" w:pos="655"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Trademarks for LivaNova’s Neuromodulation systems, the VNS Therapy</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System, and LivaNova’s proprietary pulse generator products: Model 102 (Pulse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Model 102R (Pulse Duo</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Model 103 (Demipulse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Model 104 (Demipulse Duo</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Model 106 (AspireSR</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Model 1000 (SenTiva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Model 1000-D (SenTiva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Duo), and Model 8103 (Symmetry</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w:t>
      </w:r>
    </w:p>
    <w:p>
      <w:pPr>
        <w:spacing w:after="0" w:line="2" w:lineRule="exact"/>
        <w:rPr>
          <w:rFonts w:ascii="Times New Roman" w:cs="Times New Roman" w:eastAsia="Times New Roman" w:hAnsi="Times New Roman"/>
          <w:sz w:val="17"/>
          <w:szCs w:val="17"/>
          <w:color w:val="auto"/>
        </w:rPr>
      </w:pPr>
    </w:p>
    <w:p>
      <w:pPr>
        <w:ind w:left="660" w:hanging="330"/>
        <w:spacing w:after="0" w:line="185" w:lineRule="auto"/>
        <w:tabs>
          <w:tab w:leader="none" w:pos="655"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Trademarks for LivaNova’s Cardiopulmonary products and systems: Essenz</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S5</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S5 Pro</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B-Capta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Inspire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Heartlink</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XTRA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3T Heater-Cooler</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Connect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and Revolution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w:t>
      </w:r>
    </w:p>
    <w:p>
      <w:pPr>
        <w:ind w:left="660" w:hanging="330"/>
        <w:spacing w:after="0" w:line="181" w:lineRule="auto"/>
        <w:tabs>
          <w:tab w:leader="none" w:pos="655"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Trademarks for LivaNova’s advanced circulatory support systems: TandemLife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6"/>
          <w:szCs w:val="16"/>
          <w:color w:val="auto"/>
        </w:rPr>
        <w:t>, TandemHeart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6"/>
          <w:szCs w:val="16"/>
          <w:color w:val="auto"/>
        </w:rPr>
        <w:t>, TandemLung</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6"/>
          <w:szCs w:val="16"/>
          <w:color w:val="auto"/>
        </w:rPr>
        <w:t>, ProtekDuo</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6"/>
          <w:szCs w:val="16"/>
          <w:color w:val="auto"/>
        </w:rPr>
        <w:t>, LifeSPARC</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6"/>
          <w:szCs w:val="16"/>
          <w:color w:val="auto"/>
        </w:rPr>
        <w:t>, ALung</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6"/>
          <w:szCs w:val="16"/>
          <w:color w:val="auto"/>
        </w:rPr>
        <w:t>, Hemolung</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6"/>
          <w:szCs w:val="16"/>
          <w:color w:val="auto"/>
        </w:rPr>
        <w:t>, Respiratory Dialysis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6"/>
          <w:szCs w:val="16"/>
          <w:color w:val="auto"/>
        </w:rPr>
        <w:t>, and ActivMix</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6"/>
          <w:szCs w:val="16"/>
          <w:color w:val="auto"/>
        </w:rPr>
        <w:t>.</w:t>
      </w:r>
    </w:p>
    <w:p>
      <w:pPr>
        <w:ind w:left="640" w:hanging="310"/>
        <w:spacing w:after="0" w:line="228" w:lineRule="auto"/>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Trademarks for LivaNova’s obstructive sleep apnea system: ImThera</w:t>
      </w: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8"/>
          <w:szCs w:val="18"/>
          <w:color w:val="auto"/>
        </w:rPr>
        <w:t xml:space="preserve"> and aura6000</w:t>
      </w: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8"/>
          <w:szCs w:val="18"/>
          <w:color w:val="auto"/>
        </w:rPr>
        <w:t xml:space="preserve">These trademarks and trade names are the property of LivaNova or the property of LivaNova’s consolidated subsidiaries and are protected under applicable intellectual property laws. Solely for convenience, LivaNova’s trademarks and trade names referred to in this Report may appear without the </w:t>
      </w: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8"/>
          <w:szCs w:val="18"/>
          <w:color w:val="auto"/>
        </w:rPr>
        <w:t xml:space="preserve"> symbol, but such references are not intended to indicate in any way that the Company will not assert, to the fullest extent under applicable law, LivaNova’s rights to these trademarks and trade names.</w:t>
      </w:r>
    </w:p>
    <w:p>
      <w:pPr>
        <w:spacing w:after="0" w:line="200" w:lineRule="exact"/>
        <w:rPr>
          <w:sz w:val="20"/>
          <w:szCs w:val="20"/>
          <w:color w:val="auto"/>
        </w:rPr>
      </w:pPr>
    </w:p>
    <w:p>
      <w:pPr>
        <w:spacing w:after="0" w:line="33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149225</wp:posOffset>
            </wp:positionV>
            <wp:extent cx="71583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21"/>
          <w:szCs w:val="21"/>
          <w:b w:val="1"/>
          <w:bCs w:val="1"/>
          <w:color w:val="auto"/>
        </w:rPr>
        <w:t>CAUTIONARY NOTE ABOUT FORWARD-LOOKING STATEMENTS</w:t>
      </w:r>
    </w:p>
    <w:p>
      <w:pPr>
        <w:spacing w:after="0" w:line="108"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Certain statements in this Report, other than statements of historical or current fact, are “forward-looking statements” within the meaning of the Private Securities Litigation Reform Act of 1995, Section 27A of the Securities Act, and Section 21E of the Exchange Act. These statements include, but are not limited to, LivaNova’s plans, objectives, strategies, financial performance and outlook, trends, the amount and timing of future cash distributions, prospects or future events, and involve known and unknown risks that are difficult to predict. As a result, the Company’s actual financial results, performance, achievements, or prospects may differ materially from those expressed or implied by these forward-looking statements. Generally, forward-looking statements can be identified by the use of words such as “may,” “could,” “seek,” “guidance,” “predict,” “potential,” “likely,” “believe,” “will,” “should,” “expect,” “anticipate,” “estimate,” “plan,” “intend,” “forecast,” “foresee,” or variations of these terms and similar expressions, or the negative of these terms or similar expressions. Such forward-looking statements are necessarily based on estimates and assumptions that, while considered reasonable by LivaNova and its management based on their knowledge and understanding of the business and industry, are inherently uncertain. These statements are not guarantees of future performance, and stockholders should not place undue reliance on forward-looking statements. There are a number of risks, uncertainties, and other important factors, many of which are beyond the Company’s control, that could cause the Company’s actual results to differ materially from the forward-looking statements contained in this Report, and include, but are not limited to, the following risks and uncertainties: volatility in the global market and worldwide economic conditions, including as caused by the invasion of Ukraine, the evolving instability in the Middle East, inflation, changing interest rates, foreign exchange fluctuations, and changes to existing trade agreements and relationships between the U.S. and other countries, including the implementation of tariffs, trade restrictions, and sanctions; adverse changes in export and import costs and other trade restrictions as well as uncertainty over global tariffs; risks relating to supply chain pressures; cybersecurity incidents or other disruptions to the Company’s information technology systems or those of third parties with which the Company interacts; costs of complying with privacy and security of personal information requirements and laws; changes in technology, including the development of superior or alternative technology or devices by competitors and/or competition from providers of alternative medical therapies; failure of R&amp;D investments or investment collaborations to be successful; failure to maintain appropriate working relationships with healthcare professionals to aid in the continuing development of products; the risk of quality issues and the impacts thereof; risks relating to recalls, replacement of inventory, enforcement actions, or product liability claims; failure to comply with, or changes in, laws, regulations, or administrative practices affecting government regulation of the Company’s products; failure to retain key personnel, succession plan, and negotiate with local works councils; failure to obtain approvals or reimbursement in relation to the Company’s products; unfavorable results from clinical studies or failure to meet milestones; pending or existing climate change; global healthcare policy changes that may lead to restricted access and pricing as well as payback requirements and limited reimbursement; changes or reduction in reimbursement for the Company’s products or failure to comply with rules relating to reimbursement of healthcare goods and services; failure to comply with rules relating to healthcare goods and services as well as anti-bribery laws; product liability, intellectual property, shareholder-related, environmental-related, income tax, and other litigation, disputes, losses, and costs, including in the case of the Company’s 3T Heater-Cooler litigation; risks associated with environmental laws and regulations as well as environmental liabilities, violations, and litigation, including in the case of Saluggia and SNIA; failure to protect the Company’s proprietary intellectual property; risks relating to the Company’s indebtedness; failure of divestitures and/or new acquisitions to further the Company’s strategic objectives or strengthen the Company’s existing businesses; the potential for impairments of intangible assets, goodwill, and other long-lived assets; changes in tax laws and regulations, including exposure to additional income tax liabilities; effectiveness of the Company’s internal controls over financial reporting; changes in the Company’s profitability and/or failure to manage costs and expenses; fluctuations in future quarterly operating results and/or variations in revenue and operating expenses relative to estimates; and other unknown or unpredictable factors that could harm the Company’s financial performance.</w:t>
      </w:r>
    </w:p>
    <w:p>
      <w:pPr>
        <w:spacing w:after="0" w:line="8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Other factors that could cause LivaNova’s actual results to differ from projected results are described in: (1) “Part II, Item 1A. Risk Factors” and elsewhere in this and the Company’s other Quarterly Reports on Form 10-Q, (2) the Company’s 2024 Form 10-K, (3) the Company’s reports and registration statements filed with and furnished from time to time to the SEC, and (4) other announcements LivaNova makes from time to time.</w:t>
      </w:r>
    </w:p>
    <w:p>
      <w:pPr>
        <w:spacing w:after="0" w:line="75"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Readers are cautioned not to place undue reliance on the Company’s forward-looking statements, which speak only as of the date hereof. The Company undertakes no obligation to update or revise any forward-looking statements after the date they are made, whether as a result of new information, future events, or otherwise. The following discussion and analysis should be read in conjunction with the Company’s unaudited condensed consolidated financial statements and related notes included elsewhere in this Report. Operating results for the six months ended June 30, 2025 are not necessarily indicative of future results, including the full fiscal year. Please also refer to the Company’s “Annual Consolidated Financial Statements,” “Notes” thereto, “Management’s Discussion and Analysis of Financial Condition and Results of Operations,” and “Risk Factors” contained in LivaNova’s 2024 Form 10-K and in the Company’s Quarterly Reports on Form 10-Q.</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Financial Information and Currency of Financial Statements</w:t>
      </w:r>
    </w:p>
    <w:p>
      <w:pPr>
        <w:spacing w:after="0" w:line="11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All of the financial information included in this Report has been prepared in accordance with U.S. GAAP. The reporting currency of the Company’s condensed consolidated financial statements is USD.</w:t>
      </w:r>
    </w:p>
    <w:p>
      <w:pPr>
        <w:spacing w:after="0" w:line="200" w:lineRule="exact"/>
        <w:rPr>
          <w:sz w:val="20"/>
          <w:szCs w:val="20"/>
          <w:color w:val="auto"/>
        </w:rPr>
      </w:pPr>
    </w:p>
    <w:p>
      <w:pPr>
        <w:spacing w:after="0" w:line="31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149225</wp:posOffset>
            </wp:positionV>
            <wp:extent cx="71583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1"/>
          <w:szCs w:val="21"/>
          <w:b w:val="1"/>
          <w:bCs w:val="1"/>
          <w:color w:val="auto"/>
        </w:rPr>
        <w:t>PART I. FINANCIAL INFORMATION</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ITEM 1. FINANCIAL STATEMENTS</w:t>
      </w:r>
    </w:p>
    <w:p>
      <w:pPr>
        <w:spacing w:after="0" w:line="66" w:lineRule="exact"/>
        <w:rPr>
          <w:sz w:val="20"/>
          <w:szCs w:val="20"/>
          <w:color w:val="auto"/>
        </w:rPr>
      </w:pPr>
    </w:p>
    <w:p>
      <w:pPr>
        <w:jc w:val="center"/>
        <w:spacing w:after="0" w:line="303" w:lineRule="auto"/>
        <w:rPr>
          <w:sz w:val="20"/>
          <w:szCs w:val="20"/>
          <w:color w:val="auto"/>
        </w:rPr>
      </w:pPr>
      <w:r>
        <w:rPr>
          <w:rFonts w:ascii="Times New Roman" w:cs="Times New Roman" w:eastAsia="Times New Roman" w:hAnsi="Times New Roman"/>
          <w:sz w:val="21"/>
          <w:szCs w:val="21"/>
          <w:b w:val="1"/>
          <w:bCs w:val="1"/>
          <w:color w:val="auto"/>
        </w:rPr>
        <w:t>LIVANOVA PLC AND SUBSIDIARIES CONDENSED CONSOLIDATED STATEMENTS OF INCOME (LOSS) (UNAUDITED)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200" w:type="dxa"/>
            <w:vAlign w:val="bottom"/>
          </w:tcPr>
          <w:p>
            <w:pPr>
              <w:spacing w:after="0"/>
              <w:rPr>
                <w:sz w:val="18"/>
                <w:szCs w:val="18"/>
                <w:color w:val="auto"/>
              </w:rPr>
            </w:pPr>
          </w:p>
        </w:tc>
        <w:tc>
          <w:tcPr>
            <w:tcW w:w="2960" w:type="dxa"/>
            <w:vAlign w:val="bottom"/>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(In thousands, except per share amounts)</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395"/>
        </w:trPr>
        <w:tc>
          <w:tcPr>
            <w:tcW w:w="4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8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00" w:type="dxa"/>
            <w:vAlign w:val="bottom"/>
          </w:tcPr>
          <w:p>
            <w:pPr>
              <w:spacing w:after="0"/>
              <w:rPr>
                <w:sz w:val="24"/>
                <w:szCs w:val="24"/>
                <w:color w:val="auto"/>
              </w:rPr>
            </w:pPr>
          </w:p>
        </w:tc>
        <w:tc>
          <w:tcPr>
            <w:tcW w:w="2740" w:type="dxa"/>
            <w:vAlign w:val="bottom"/>
            <w:gridSpan w:val="4"/>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2"/>
        </w:trPr>
        <w:tc>
          <w:tcPr>
            <w:tcW w:w="420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2"/>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8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352,524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318,575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669,379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613,487</w:t>
            </w:r>
          </w:p>
        </w:tc>
      </w:tr>
      <w:tr>
        <w:trPr>
          <w:trHeight w:val="228"/>
        </w:trPr>
        <w:tc>
          <w:tcPr>
            <w:tcW w:w="4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8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113,536</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103,697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214,137</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195,401</w:t>
            </w:r>
          </w:p>
        </w:tc>
      </w:tr>
      <w:tr>
        <w:trPr>
          <w:trHeight w:val="222"/>
        </w:trPr>
        <w:tc>
          <w:tcPr>
            <w:tcW w:w="4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Gross profit</w:t>
            </w:r>
          </w:p>
        </w:tc>
        <w:tc>
          <w:tcPr>
            <w:tcW w:w="8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238,988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214,878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455,242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418,086</w:t>
            </w:r>
          </w:p>
        </w:tc>
      </w:tr>
      <w:tr>
        <w:trPr>
          <w:trHeight w:val="228"/>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8"/>
        </w:trPr>
        <w:tc>
          <w:tcPr>
            <w:tcW w:w="4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8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137,780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125,131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266,926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250,812</w:t>
            </w:r>
          </w:p>
        </w:tc>
      </w:tr>
      <w:tr>
        <w:trPr>
          <w:trHeight w:val="228"/>
        </w:trPr>
        <w:tc>
          <w:tcPr>
            <w:tcW w:w="4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47,185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44,737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85,064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90,401</w:t>
            </w:r>
          </w:p>
        </w:tc>
      </w:tr>
      <w:tr>
        <w:trPr>
          <w:trHeight w:val="228"/>
        </w:trPr>
        <w:tc>
          <w:tcPr>
            <w:tcW w:w="4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operating expenses</w:t>
            </w:r>
          </w:p>
        </w:tc>
        <w:tc>
          <w:tcPr>
            <w:tcW w:w="8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20,461</w:t>
            </w:r>
          </w:p>
        </w:tc>
      </w:tr>
      <w:tr>
        <w:trPr>
          <w:trHeight w:val="222"/>
        </w:trPr>
        <w:tc>
          <w:tcPr>
            <w:tcW w:w="4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Operating income</w:t>
            </w: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54,183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40,166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102,800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56,412</w:t>
            </w:r>
          </w:p>
        </w:tc>
      </w:tr>
      <w:tr>
        <w:trPr>
          <w:trHeight w:val="228"/>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SNIA environmental liability expense</w:t>
            </w:r>
          </w:p>
        </w:tc>
        <w:tc>
          <w:tcPr>
            <w:tcW w:w="8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(362,070)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(15,532)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(27,566)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(31,425)</w:t>
            </w:r>
          </w:p>
        </w:tc>
      </w:tr>
      <w:tr>
        <w:trPr>
          <w:trHeight w:val="228"/>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8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(25,482)</w:t>
            </w:r>
          </w:p>
        </w:tc>
      </w:tr>
      <w:tr>
        <w:trPr>
          <w:trHeight w:val="228"/>
        </w:trPr>
        <w:tc>
          <w:tcPr>
            <w:tcW w:w="4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 exchange and other income/(expense)</w:t>
            </w:r>
          </w:p>
        </w:tc>
        <w:tc>
          <w:tcPr>
            <w:tcW w:w="8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(4,255)</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7,161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(12,116)</w:t>
            </w:r>
          </w:p>
        </w:tc>
      </w:tr>
      <w:tr>
        <w:trPr>
          <w:trHeight w:val="222"/>
        </w:trPr>
        <w:tc>
          <w:tcPr>
            <w:tcW w:w="4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(loss) before income tax</w:t>
            </w:r>
          </w:p>
        </w:tc>
        <w:tc>
          <w:tcPr>
            <w:tcW w:w="8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33,320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21,589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(282,326)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(12,611)</w:t>
            </w:r>
          </w:p>
        </w:tc>
      </w:tr>
      <w:tr>
        <w:trPr>
          <w:trHeight w:val="228"/>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17,807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12,944</w:t>
            </w:r>
          </w:p>
        </w:tc>
      </w:tr>
      <w:tr>
        <w:trPr>
          <w:trHeight w:val="228"/>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equity method investments</w:t>
            </w:r>
          </w:p>
        </w:tc>
        <w:tc>
          <w:tcPr>
            <w:tcW w:w="8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195"/>
        </w:trPr>
        <w:tc>
          <w:tcPr>
            <w:tcW w:w="4200" w:type="dxa"/>
            <w:vAlign w:val="bottom"/>
          </w:tcPr>
          <w:p>
            <w:pPr>
              <w:ind w:left="260"/>
              <w:spacing w:after="0" w:line="195" w:lineRule="exact"/>
              <w:rPr>
                <w:sz w:val="20"/>
                <w:szCs w:val="20"/>
                <w:color w:val="auto"/>
              </w:rPr>
            </w:pPr>
            <w:r>
              <w:rPr>
                <w:rFonts w:ascii="Times New Roman" w:cs="Times New Roman" w:eastAsia="Times New Roman" w:hAnsi="Times New Roman"/>
                <w:sz w:val="18"/>
                <w:szCs w:val="18"/>
                <w:color w:val="auto"/>
              </w:rPr>
              <w:t>Net income (loss)</w:t>
            </w:r>
          </w:p>
        </w:tc>
        <w:tc>
          <w:tcPr>
            <w:tcW w:w="880" w:type="dxa"/>
            <w:vAlign w:val="bottom"/>
          </w:tcPr>
          <w:p>
            <w:pPr>
              <w:spacing w:after="0"/>
              <w:rPr>
                <w:sz w:val="16"/>
                <w:szCs w:val="16"/>
                <w:color w:val="auto"/>
              </w:rPr>
            </w:pPr>
          </w:p>
        </w:tc>
        <w:tc>
          <w:tcPr>
            <w:tcW w:w="240" w:type="dxa"/>
            <w:vAlign w:val="bottom"/>
            <w:tcBorders>
              <w:bottom w:val="single" w:sz="8" w:color="auto"/>
            </w:tcBorders>
          </w:tcPr>
          <w:p>
            <w:pPr>
              <w:jc w:val="right"/>
              <w:ind w:right="3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27,161</w:t>
            </w:r>
          </w:p>
        </w:tc>
        <w:tc>
          <w:tcPr>
            <w:tcW w:w="100" w:type="dxa"/>
            <w:vAlign w:val="bottom"/>
          </w:tcPr>
          <w:p>
            <w:pPr>
              <w:spacing w:after="0"/>
              <w:rPr>
                <w:sz w:val="16"/>
                <w:szCs w:val="16"/>
                <w:color w:val="auto"/>
              </w:rPr>
            </w:pPr>
          </w:p>
        </w:tc>
        <w:tc>
          <w:tcPr>
            <w:tcW w:w="520" w:type="dxa"/>
            <w:vAlign w:val="bottom"/>
            <w:tcBorders>
              <w:bottom w:val="single" w:sz="8" w:color="auto"/>
            </w:tcBorders>
          </w:tcPr>
          <w:p>
            <w:pPr>
              <w:jc w:val="right"/>
              <w:ind w:right="310"/>
              <w:spacing w:after="0" w:line="195"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16,333</w:t>
            </w:r>
          </w:p>
        </w:tc>
        <w:tc>
          <w:tcPr>
            <w:tcW w:w="100" w:type="dxa"/>
            <w:vAlign w:val="bottom"/>
          </w:tcPr>
          <w:p>
            <w:pPr>
              <w:spacing w:after="0"/>
              <w:rPr>
                <w:sz w:val="16"/>
                <w:szCs w:val="16"/>
                <w:color w:val="auto"/>
              </w:rPr>
            </w:pPr>
          </w:p>
        </w:tc>
        <w:tc>
          <w:tcPr>
            <w:tcW w:w="300" w:type="dxa"/>
            <w:vAlign w:val="bottom"/>
            <w:tcBorders>
              <w:bottom w:val="single" w:sz="8" w:color="auto"/>
            </w:tcBorders>
          </w:tcPr>
          <w:p>
            <w:pPr>
              <w:jc w:val="right"/>
              <w:ind w:right="9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(300,161)</w:t>
            </w:r>
          </w:p>
        </w:tc>
        <w:tc>
          <w:tcPr>
            <w:tcW w:w="120" w:type="dxa"/>
            <w:vAlign w:val="bottom"/>
          </w:tcPr>
          <w:p>
            <w:pPr>
              <w:spacing w:after="0"/>
              <w:rPr>
                <w:sz w:val="16"/>
                <w:szCs w:val="16"/>
                <w:color w:val="auto"/>
              </w:rPr>
            </w:pPr>
          </w:p>
        </w:tc>
        <w:tc>
          <w:tcPr>
            <w:tcW w:w="320" w:type="dxa"/>
            <w:vAlign w:val="bottom"/>
            <w:tcBorders>
              <w:bottom w:val="single" w:sz="8" w:color="auto"/>
            </w:tcBorders>
          </w:tcPr>
          <w:p>
            <w:pPr>
              <w:jc w:val="right"/>
              <w:ind w:right="130"/>
              <w:spacing w:after="0" w:line="195"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(25,610)</w:t>
            </w:r>
          </w:p>
        </w:tc>
      </w:tr>
      <w:tr>
        <w:trPr>
          <w:trHeight w:val="20"/>
        </w:trPr>
        <w:tc>
          <w:tcPr>
            <w:tcW w:w="42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36"/>
        </w:trPr>
        <w:tc>
          <w:tcPr>
            <w:tcW w:w="42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28"/>
        </w:trPr>
        <w:tc>
          <w:tcPr>
            <w:tcW w:w="4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Basic income (loss) per share</w:t>
            </w:r>
          </w:p>
        </w:tc>
        <w:tc>
          <w:tcPr>
            <w:tcW w:w="11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10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(0.47)</w:t>
            </w:r>
          </w:p>
        </w:tc>
      </w:tr>
      <w:tr>
        <w:trPr>
          <w:trHeight w:val="228"/>
        </w:trPr>
        <w:tc>
          <w:tcPr>
            <w:tcW w:w="4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Diluted income (loss) per share</w:t>
            </w:r>
          </w:p>
        </w:tc>
        <w:tc>
          <w:tcPr>
            <w:tcW w:w="11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(0.47)</w:t>
            </w:r>
          </w:p>
        </w:tc>
      </w:tr>
      <w:tr>
        <w:trPr>
          <w:trHeight w:val="269"/>
        </w:trPr>
        <w:tc>
          <w:tcPr>
            <w:tcW w:w="42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28"/>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used in computing basic income (loss) per share</w:t>
            </w:r>
          </w:p>
        </w:tc>
        <w:tc>
          <w:tcPr>
            <w:tcW w:w="8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54,577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54,238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54,502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54,202</w:t>
            </w:r>
          </w:p>
        </w:tc>
      </w:tr>
      <w:tr>
        <w:trPr>
          <w:trHeight w:val="234"/>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used in computing diluted income (loss) per share</w:t>
            </w: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54,708</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54,591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54,502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54,202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50800</wp:posOffset>
            </wp:positionV>
            <wp:extent cx="71583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61" w:right="339" w:bottom="1440" w:gutter="0" w:footer="0" w:header="0"/>
        </w:sectPr>
      </w:pPr>
    </w:p>
    <w:bookmarkStart w:id="8" w:name="page9"/>
    <w:bookmarkEnd w:id="8"/>
    <w:p>
      <w:pPr>
        <w:jc w:val="center"/>
        <w:ind w:right="-159"/>
        <w:spacing w:after="0"/>
        <w:rPr>
          <w:sz w:val="20"/>
          <w:szCs w:val="20"/>
          <w:color w:val="auto"/>
        </w:rPr>
      </w:pPr>
      <w:r>
        <w:rPr>
          <w:rFonts w:ascii="Times New Roman" w:cs="Times New Roman" w:eastAsia="Times New Roman" w:hAnsi="Times New Roman"/>
          <w:sz w:val="21"/>
          <w:szCs w:val="21"/>
          <w:b w:val="1"/>
          <w:bCs w:val="1"/>
          <w:color w:val="auto"/>
        </w:rPr>
        <w:t>LIVANOVA PLC AND SUBSIDIARIES</w:t>
      </w:r>
    </w:p>
    <w:p>
      <w:pPr>
        <w:spacing w:after="0" w:line="4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1"/>
          <w:szCs w:val="21"/>
          <w:b w:val="1"/>
          <w:bCs w:val="1"/>
          <w:color w:val="auto"/>
        </w:rPr>
        <w:t>CONDENSED CONSOLIDATED STATEMENTS OF COMPREHENSIVE INCOME (LOSS)</w:t>
      </w:r>
    </w:p>
    <w:p>
      <w:pPr>
        <w:spacing w:after="0" w:line="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1"/>
          <w:szCs w:val="21"/>
          <w:b w:val="1"/>
          <w:bCs w:val="1"/>
          <w:color w:val="auto"/>
        </w:rPr>
        <w:t>(UNAUDITED)</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395"/>
        </w:trPr>
        <w:tc>
          <w:tcPr>
            <w:tcW w:w="5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0" w:type="dxa"/>
            <w:vAlign w:val="bottom"/>
            <w:gridSpan w:val="5"/>
          </w:tcPr>
          <w:p>
            <w:pPr>
              <w:ind w:left="24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00" w:type="dxa"/>
            <w:vAlign w:val="bottom"/>
          </w:tcPr>
          <w:p>
            <w:pPr>
              <w:spacing w:after="0"/>
              <w:rPr>
                <w:sz w:val="24"/>
                <w:szCs w:val="24"/>
                <w:color w:val="auto"/>
              </w:rPr>
            </w:pPr>
          </w:p>
        </w:tc>
        <w:tc>
          <w:tcPr>
            <w:tcW w:w="2740" w:type="dxa"/>
            <w:vAlign w:val="bottom"/>
            <w:gridSpan w:val="4"/>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2"/>
        </w:trPr>
        <w:tc>
          <w:tcPr>
            <w:tcW w:w="508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2"/>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27,161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(300,161)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(25,610)</w:t>
            </w:r>
          </w:p>
        </w:tc>
      </w:tr>
      <w:tr>
        <w:trPr>
          <w:trHeight w:val="228"/>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8"/>
        </w:trPr>
        <w:tc>
          <w:tcPr>
            <w:tcW w:w="5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50,841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88,283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(24,936)</w:t>
            </w:r>
          </w:p>
        </w:tc>
      </w:tr>
      <w:tr>
        <w:trPr>
          <w:trHeight w:val="222"/>
        </w:trPr>
        <w:tc>
          <w:tcPr>
            <w:tcW w:w="5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50,841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88,283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(24,936)</w:t>
            </w:r>
          </w:p>
        </w:tc>
      </w:tr>
      <w:tr>
        <w:trPr>
          <w:trHeight w:val="247"/>
        </w:trPr>
        <w:tc>
          <w:tcPr>
            <w:tcW w:w="5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78,002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(211,878)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(50,546)</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59690</wp:posOffset>
            </wp:positionV>
            <wp:extent cx="71583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9" w:name="page10"/>
    <w:bookmarkEnd w:id="9"/>
    <w:p>
      <w:pPr>
        <w:jc w:val="center"/>
        <w:ind w:right="-159"/>
        <w:spacing w:after="0"/>
        <w:rPr>
          <w:sz w:val="20"/>
          <w:szCs w:val="20"/>
          <w:color w:val="auto"/>
        </w:rPr>
      </w:pPr>
      <w:r>
        <w:rPr>
          <w:rFonts w:ascii="Times New Roman" w:cs="Times New Roman" w:eastAsia="Times New Roman" w:hAnsi="Times New Roman"/>
          <w:sz w:val="21"/>
          <w:szCs w:val="21"/>
          <w:b w:val="1"/>
          <w:bCs w:val="1"/>
          <w:color w:val="auto"/>
        </w:rPr>
        <w:t>LIVANOVA PLC AND SUBSIDIARIES</w:t>
      </w:r>
    </w:p>
    <w:p>
      <w:pPr>
        <w:spacing w:after="0" w:line="4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1"/>
          <w:szCs w:val="21"/>
          <w:b w:val="1"/>
          <w:bCs w:val="1"/>
          <w:color w:val="auto"/>
        </w:rPr>
        <w:t>CONDENSED CONSOLIDATED BALANCE SHEETS</w:t>
      </w:r>
    </w:p>
    <w:p>
      <w:pPr>
        <w:spacing w:after="0" w:line="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1"/>
          <w:szCs w:val="21"/>
          <w:b w:val="1"/>
          <w:bCs w:val="1"/>
          <w:color w:val="auto"/>
        </w:rPr>
        <w:t>(UNAUDITED)</w:t>
      </w:r>
    </w:p>
    <w:p>
      <w:pPr>
        <w:spacing w:after="0" w:line="2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(In thousands, except share amounts)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2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tcPr>
          <w:p>
            <w:pPr>
              <w:spacing w:after="0"/>
              <w:rPr>
                <w:sz w:val="20"/>
                <w:szCs w:val="20"/>
                <w:color w:val="auto"/>
              </w:rPr>
            </w:pPr>
          </w:p>
        </w:tc>
        <w:tc>
          <w:tcPr>
            <w:tcW w:w="17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60" w:type="dxa"/>
            <w:vAlign w:val="bottom"/>
          </w:tcPr>
          <w:p>
            <w:pPr>
              <w:spacing w:after="0"/>
              <w:rPr>
                <w:sz w:val="20"/>
                <w:szCs w:val="20"/>
                <w:color w:val="auto"/>
              </w:rPr>
            </w:pPr>
          </w:p>
        </w:tc>
        <w:tc>
          <w:tcPr>
            <w:tcW w:w="1780" w:type="dxa"/>
            <w:vAlign w:val="bottom"/>
          </w:tcPr>
          <w:p>
            <w:pPr>
              <w:jc w:val="right"/>
              <w:ind w:right="159"/>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206"/>
        </w:trPr>
        <w:tc>
          <w:tcPr>
            <w:tcW w:w="7240" w:type="dxa"/>
            <w:vAlign w:val="bottom"/>
            <w:vMerge w:val="continue"/>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6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7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724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Current Assets:</w:t>
            </w:r>
          </w:p>
        </w:tc>
        <w:tc>
          <w:tcPr>
            <w:tcW w:w="2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593,638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428,858</w:t>
            </w:r>
          </w:p>
        </w:tc>
        <w:tc>
          <w:tcPr>
            <w:tcW w:w="0" w:type="dxa"/>
            <w:vAlign w:val="bottom"/>
          </w:tcPr>
          <w:p>
            <w:pPr>
              <w:spacing w:after="0"/>
              <w:rPr>
                <w:sz w:val="1"/>
                <w:szCs w:val="1"/>
                <w:color w:val="auto"/>
              </w:rPr>
            </w:pPr>
          </w:p>
        </w:tc>
      </w:tr>
      <w:tr>
        <w:trPr>
          <w:trHeight w:val="212"/>
        </w:trPr>
        <w:tc>
          <w:tcPr>
            <w:tcW w:w="7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Restricted cash</w:t>
            </w:r>
          </w:p>
        </w:tc>
        <w:tc>
          <w:tcPr>
            <w:tcW w:w="280" w:type="dxa"/>
            <w:vAlign w:val="bottom"/>
          </w:tcPr>
          <w:p>
            <w:pPr>
              <w:spacing w:after="0"/>
              <w:rPr>
                <w:sz w:val="18"/>
                <w:szCs w:val="18"/>
                <w:color w:val="auto"/>
              </w:rPr>
            </w:pPr>
          </w:p>
        </w:tc>
        <w:tc>
          <w:tcPr>
            <w:tcW w:w="17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294,698</w:t>
            </w:r>
          </w:p>
        </w:tc>
        <w:tc>
          <w:tcPr>
            <w:tcW w:w="0" w:type="dxa"/>
            <w:vAlign w:val="bottom"/>
          </w:tcPr>
          <w:p>
            <w:pPr>
              <w:spacing w:after="0"/>
              <w:rPr>
                <w:sz w:val="1"/>
                <w:szCs w:val="1"/>
                <w:color w:val="auto"/>
              </w:rPr>
            </w:pPr>
          </w:p>
        </w:tc>
      </w:tr>
      <w:tr>
        <w:trPr>
          <w:trHeight w:val="218"/>
        </w:trPr>
        <w:tc>
          <w:tcPr>
            <w:tcW w:w="7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receivable, net of allowance of $12,856 at June 30, 2025 and $11,275 at December 31, 2024</w:t>
            </w:r>
          </w:p>
        </w:tc>
        <w:tc>
          <w:tcPr>
            <w:tcW w:w="2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220,195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193,158</w:t>
            </w:r>
          </w:p>
        </w:tc>
        <w:tc>
          <w:tcPr>
            <w:tcW w:w="0" w:type="dxa"/>
            <w:vAlign w:val="bottom"/>
          </w:tcPr>
          <w:p>
            <w:pPr>
              <w:spacing w:after="0"/>
              <w:rPr>
                <w:sz w:val="1"/>
                <w:szCs w:val="1"/>
                <w:color w:val="auto"/>
              </w:rPr>
            </w:pPr>
          </w:p>
        </w:tc>
      </w:tr>
      <w:tr>
        <w:trPr>
          <w:trHeight w:val="212"/>
        </w:trPr>
        <w:tc>
          <w:tcPr>
            <w:tcW w:w="7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Inventories</w:t>
            </w:r>
          </w:p>
        </w:tc>
        <w:tc>
          <w:tcPr>
            <w:tcW w:w="2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165,350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147,566</w:t>
            </w:r>
          </w:p>
        </w:tc>
        <w:tc>
          <w:tcPr>
            <w:tcW w:w="0" w:type="dxa"/>
            <w:vAlign w:val="bottom"/>
          </w:tcPr>
          <w:p>
            <w:pPr>
              <w:spacing w:after="0"/>
              <w:rPr>
                <w:sz w:val="1"/>
                <w:szCs w:val="1"/>
                <w:color w:val="auto"/>
              </w:rPr>
            </w:pPr>
          </w:p>
        </w:tc>
      </w:tr>
      <w:tr>
        <w:trPr>
          <w:trHeight w:val="218"/>
        </w:trPr>
        <w:tc>
          <w:tcPr>
            <w:tcW w:w="7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Prepaid and refundable taxes</w:t>
            </w:r>
          </w:p>
        </w:tc>
        <w:tc>
          <w:tcPr>
            <w:tcW w:w="2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32,785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30,544</w:t>
            </w:r>
          </w:p>
        </w:tc>
        <w:tc>
          <w:tcPr>
            <w:tcW w:w="0" w:type="dxa"/>
            <w:vAlign w:val="bottom"/>
          </w:tcPr>
          <w:p>
            <w:pPr>
              <w:spacing w:after="0"/>
              <w:rPr>
                <w:sz w:val="1"/>
                <w:szCs w:val="1"/>
                <w:color w:val="auto"/>
              </w:rPr>
            </w:pPr>
          </w:p>
        </w:tc>
      </w:tr>
      <w:tr>
        <w:trPr>
          <w:trHeight w:val="212"/>
        </w:trPr>
        <w:tc>
          <w:tcPr>
            <w:tcW w:w="7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54,174</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32,362</w:t>
            </w:r>
          </w:p>
        </w:tc>
        <w:tc>
          <w:tcPr>
            <w:tcW w:w="0" w:type="dxa"/>
            <w:vAlign w:val="bottom"/>
          </w:tcPr>
          <w:p>
            <w:pPr>
              <w:spacing w:after="0"/>
              <w:rPr>
                <w:sz w:val="1"/>
                <w:szCs w:val="1"/>
                <w:color w:val="auto"/>
              </w:rPr>
            </w:pPr>
          </w:p>
        </w:tc>
      </w:tr>
      <w:tr>
        <w:trPr>
          <w:trHeight w:val="211"/>
        </w:trPr>
        <w:tc>
          <w:tcPr>
            <w:tcW w:w="7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Current Assets</w:t>
            </w:r>
          </w:p>
        </w:tc>
        <w:tc>
          <w:tcPr>
            <w:tcW w:w="2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1,066,142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1,127,186</w:t>
            </w:r>
          </w:p>
        </w:tc>
        <w:tc>
          <w:tcPr>
            <w:tcW w:w="0" w:type="dxa"/>
            <w:vAlign w:val="bottom"/>
          </w:tcPr>
          <w:p>
            <w:pPr>
              <w:spacing w:after="0"/>
              <w:rPr>
                <w:sz w:val="1"/>
                <w:szCs w:val="1"/>
                <w:color w:val="auto"/>
              </w:rPr>
            </w:pPr>
          </w:p>
        </w:tc>
      </w:tr>
      <w:tr>
        <w:trPr>
          <w:trHeight w:val="212"/>
        </w:trPr>
        <w:tc>
          <w:tcPr>
            <w:tcW w:w="7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2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195,418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170,260</w:t>
            </w:r>
          </w:p>
        </w:tc>
        <w:tc>
          <w:tcPr>
            <w:tcW w:w="0" w:type="dxa"/>
            <w:vAlign w:val="bottom"/>
          </w:tcPr>
          <w:p>
            <w:pPr>
              <w:spacing w:after="0"/>
              <w:rPr>
                <w:sz w:val="1"/>
                <w:szCs w:val="1"/>
                <w:color w:val="auto"/>
              </w:rPr>
            </w:pPr>
          </w:p>
        </w:tc>
      </w:tr>
      <w:tr>
        <w:trPr>
          <w:trHeight w:val="218"/>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793,365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750,006</w:t>
            </w:r>
          </w:p>
        </w:tc>
        <w:tc>
          <w:tcPr>
            <w:tcW w:w="0" w:type="dxa"/>
            <w:vAlign w:val="bottom"/>
          </w:tcPr>
          <w:p>
            <w:pPr>
              <w:spacing w:after="0"/>
              <w:rPr>
                <w:sz w:val="1"/>
                <w:szCs w:val="1"/>
                <w:color w:val="auto"/>
              </w:rPr>
            </w:pPr>
          </w:p>
        </w:tc>
      </w:tr>
      <w:tr>
        <w:trPr>
          <w:trHeight w:val="212"/>
        </w:trPr>
        <w:tc>
          <w:tcPr>
            <w:tcW w:w="7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2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239,143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237,294</w:t>
            </w:r>
          </w:p>
        </w:tc>
        <w:tc>
          <w:tcPr>
            <w:tcW w:w="0" w:type="dxa"/>
            <w:vAlign w:val="bottom"/>
          </w:tcPr>
          <w:p>
            <w:pPr>
              <w:spacing w:after="0"/>
              <w:rPr>
                <w:sz w:val="1"/>
                <w:szCs w:val="1"/>
                <w:color w:val="auto"/>
              </w:rPr>
            </w:pPr>
          </w:p>
        </w:tc>
      </w:tr>
      <w:tr>
        <w:trPr>
          <w:trHeight w:val="218"/>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assets</w:t>
            </w:r>
          </w:p>
        </w:tc>
        <w:tc>
          <w:tcPr>
            <w:tcW w:w="2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50,677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46,837</w:t>
            </w:r>
          </w:p>
        </w:tc>
        <w:tc>
          <w:tcPr>
            <w:tcW w:w="0" w:type="dxa"/>
            <w:vAlign w:val="bottom"/>
          </w:tcPr>
          <w:p>
            <w:pPr>
              <w:spacing w:after="0"/>
              <w:rPr>
                <w:sz w:val="1"/>
                <w:szCs w:val="1"/>
                <w:color w:val="auto"/>
              </w:rPr>
            </w:pPr>
          </w:p>
        </w:tc>
      </w:tr>
      <w:tr>
        <w:trPr>
          <w:trHeight w:val="212"/>
        </w:trPr>
        <w:tc>
          <w:tcPr>
            <w:tcW w:w="7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Investments</w:t>
            </w:r>
          </w:p>
        </w:tc>
        <w:tc>
          <w:tcPr>
            <w:tcW w:w="2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16,163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25,084</w:t>
            </w:r>
          </w:p>
        </w:tc>
        <w:tc>
          <w:tcPr>
            <w:tcW w:w="0" w:type="dxa"/>
            <w:vAlign w:val="bottom"/>
          </w:tcPr>
          <w:p>
            <w:pPr>
              <w:spacing w:after="0"/>
              <w:rPr>
                <w:sz w:val="1"/>
                <w:szCs w:val="1"/>
                <w:color w:val="auto"/>
              </w:rPr>
            </w:pPr>
          </w:p>
        </w:tc>
      </w:tr>
      <w:tr>
        <w:trPr>
          <w:trHeight w:val="218"/>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tax assets</w:t>
            </w:r>
          </w:p>
        </w:tc>
        <w:tc>
          <w:tcPr>
            <w:tcW w:w="2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109,810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111,855</w:t>
            </w:r>
          </w:p>
        </w:tc>
        <w:tc>
          <w:tcPr>
            <w:tcW w:w="0" w:type="dxa"/>
            <w:vAlign w:val="bottom"/>
          </w:tcPr>
          <w:p>
            <w:pPr>
              <w:spacing w:after="0"/>
              <w:rPr>
                <w:sz w:val="1"/>
                <w:szCs w:val="1"/>
                <w:color w:val="auto"/>
              </w:rPr>
            </w:pPr>
          </w:p>
        </w:tc>
      </w:tr>
      <w:tr>
        <w:trPr>
          <w:trHeight w:val="212"/>
        </w:trPr>
        <w:tc>
          <w:tcPr>
            <w:tcW w:w="7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derivative assets</w:t>
            </w:r>
          </w:p>
        </w:tc>
        <w:tc>
          <w:tcPr>
            <w:tcW w:w="2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21,658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23,735</w:t>
            </w:r>
          </w:p>
        </w:tc>
        <w:tc>
          <w:tcPr>
            <w:tcW w:w="0" w:type="dxa"/>
            <w:vAlign w:val="bottom"/>
          </w:tcPr>
          <w:p>
            <w:pPr>
              <w:spacing w:after="0"/>
              <w:rPr>
                <w:sz w:val="1"/>
                <w:szCs w:val="1"/>
                <w:color w:val="auto"/>
              </w:rPr>
            </w:pPr>
          </w:p>
        </w:tc>
      </w:tr>
      <w:tr>
        <w:trPr>
          <w:trHeight w:val="218"/>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8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14,326</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14,132</w:t>
            </w:r>
          </w:p>
        </w:tc>
        <w:tc>
          <w:tcPr>
            <w:tcW w:w="0" w:type="dxa"/>
            <w:vAlign w:val="bottom"/>
          </w:tcPr>
          <w:p>
            <w:pPr>
              <w:spacing w:after="0"/>
              <w:rPr>
                <w:sz w:val="1"/>
                <w:szCs w:val="1"/>
                <w:color w:val="auto"/>
              </w:rPr>
            </w:pPr>
          </w:p>
        </w:tc>
      </w:tr>
      <w:tr>
        <w:trPr>
          <w:trHeight w:val="206"/>
        </w:trPr>
        <w:tc>
          <w:tcPr>
            <w:tcW w:w="72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Assets</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2,506,702</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2,506,389</w:t>
            </w:r>
          </w:p>
        </w:tc>
        <w:tc>
          <w:tcPr>
            <w:tcW w:w="0" w:type="dxa"/>
            <w:vAlign w:val="bottom"/>
          </w:tcPr>
          <w:p>
            <w:pPr>
              <w:spacing w:after="0"/>
              <w:rPr>
                <w:sz w:val="1"/>
                <w:szCs w:val="1"/>
                <w:color w:val="auto"/>
              </w:rPr>
            </w:pPr>
          </w:p>
        </w:tc>
      </w:tr>
      <w:tr>
        <w:trPr>
          <w:trHeight w:val="20"/>
        </w:trPr>
        <w:tc>
          <w:tcPr>
            <w:tcW w:w="72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724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8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24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Current Liabilities:</w:t>
            </w:r>
          </w:p>
        </w:tc>
        <w:tc>
          <w:tcPr>
            <w:tcW w:w="2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Current debt obligations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82,133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78,004</w:t>
            </w:r>
          </w:p>
        </w:tc>
        <w:tc>
          <w:tcPr>
            <w:tcW w:w="0" w:type="dxa"/>
            <w:vAlign w:val="bottom"/>
          </w:tcPr>
          <w:p>
            <w:pPr>
              <w:spacing w:after="0"/>
              <w:rPr>
                <w:sz w:val="1"/>
                <w:szCs w:val="1"/>
                <w:color w:val="auto"/>
              </w:rPr>
            </w:pPr>
          </w:p>
        </w:tc>
      </w:tr>
      <w:tr>
        <w:trPr>
          <w:trHeight w:val="212"/>
        </w:trPr>
        <w:tc>
          <w:tcPr>
            <w:tcW w:w="7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2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86,934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69,726</w:t>
            </w:r>
          </w:p>
        </w:tc>
        <w:tc>
          <w:tcPr>
            <w:tcW w:w="0" w:type="dxa"/>
            <w:vAlign w:val="bottom"/>
          </w:tcPr>
          <w:p>
            <w:pPr>
              <w:spacing w:after="0"/>
              <w:rPr>
                <w:sz w:val="1"/>
                <w:szCs w:val="1"/>
                <w:color w:val="auto"/>
              </w:rPr>
            </w:pPr>
          </w:p>
        </w:tc>
      </w:tr>
      <w:tr>
        <w:trPr>
          <w:trHeight w:val="218"/>
        </w:trPr>
        <w:tc>
          <w:tcPr>
            <w:tcW w:w="7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Accrued liabilities and other</w:t>
            </w:r>
          </w:p>
        </w:tc>
        <w:tc>
          <w:tcPr>
            <w:tcW w:w="2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103,240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118,485</w:t>
            </w:r>
          </w:p>
        </w:tc>
        <w:tc>
          <w:tcPr>
            <w:tcW w:w="0" w:type="dxa"/>
            <w:vAlign w:val="bottom"/>
          </w:tcPr>
          <w:p>
            <w:pPr>
              <w:spacing w:after="0"/>
              <w:rPr>
                <w:sz w:val="1"/>
                <w:szCs w:val="1"/>
                <w:color w:val="auto"/>
              </w:rPr>
            </w:pPr>
          </w:p>
        </w:tc>
      </w:tr>
      <w:tr>
        <w:trPr>
          <w:trHeight w:val="212"/>
        </w:trPr>
        <w:tc>
          <w:tcPr>
            <w:tcW w:w="7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SNIA environmental liability</w:t>
            </w:r>
          </w:p>
        </w:tc>
        <w:tc>
          <w:tcPr>
            <w:tcW w:w="2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392,268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8"/>
        </w:trPr>
        <w:tc>
          <w:tcPr>
            <w:tcW w:w="7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Current contingent consideration</w:t>
            </w:r>
          </w:p>
        </w:tc>
        <w:tc>
          <w:tcPr>
            <w:tcW w:w="2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48,265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7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Current litigation provision liability</w:t>
            </w:r>
          </w:p>
        </w:tc>
        <w:tc>
          <w:tcPr>
            <w:tcW w:w="2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12,171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12,918</w:t>
            </w:r>
          </w:p>
        </w:tc>
        <w:tc>
          <w:tcPr>
            <w:tcW w:w="0" w:type="dxa"/>
            <w:vAlign w:val="bottom"/>
          </w:tcPr>
          <w:p>
            <w:pPr>
              <w:spacing w:after="0"/>
              <w:rPr>
                <w:sz w:val="1"/>
                <w:szCs w:val="1"/>
                <w:color w:val="auto"/>
              </w:rPr>
            </w:pPr>
          </w:p>
        </w:tc>
      </w:tr>
      <w:tr>
        <w:trPr>
          <w:trHeight w:val="218"/>
        </w:trPr>
        <w:tc>
          <w:tcPr>
            <w:tcW w:w="7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Taxes payable</w:t>
            </w:r>
          </w:p>
        </w:tc>
        <w:tc>
          <w:tcPr>
            <w:tcW w:w="2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34,495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32,456</w:t>
            </w:r>
          </w:p>
        </w:tc>
        <w:tc>
          <w:tcPr>
            <w:tcW w:w="0" w:type="dxa"/>
            <w:vAlign w:val="bottom"/>
          </w:tcPr>
          <w:p>
            <w:pPr>
              <w:spacing w:after="0"/>
              <w:rPr>
                <w:sz w:val="1"/>
                <w:szCs w:val="1"/>
                <w:color w:val="auto"/>
              </w:rPr>
            </w:pPr>
          </w:p>
        </w:tc>
      </w:tr>
      <w:tr>
        <w:trPr>
          <w:trHeight w:val="212"/>
        </w:trPr>
        <w:tc>
          <w:tcPr>
            <w:tcW w:w="7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Accrued employee compensation and related benefits</w:t>
            </w:r>
          </w:p>
        </w:tc>
        <w:tc>
          <w:tcPr>
            <w:tcW w:w="2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67,594</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80,536</w:t>
            </w:r>
          </w:p>
        </w:tc>
        <w:tc>
          <w:tcPr>
            <w:tcW w:w="0" w:type="dxa"/>
            <w:vAlign w:val="bottom"/>
          </w:tcPr>
          <w:p>
            <w:pPr>
              <w:spacing w:after="0"/>
              <w:rPr>
                <w:sz w:val="1"/>
                <w:szCs w:val="1"/>
                <w:color w:val="auto"/>
              </w:rPr>
            </w:pPr>
          </w:p>
        </w:tc>
      </w:tr>
      <w:tr>
        <w:trPr>
          <w:trHeight w:val="211"/>
        </w:trPr>
        <w:tc>
          <w:tcPr>
            <w:tcW w:w="7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827,100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392,125</w:t>
            </w:r>
          </w:p>
        </w:tc>
        <w:tc>
          <w:tcPr>
            <w:tcW w:w="0" w:type="dxa"/>
            <w:vAlign w:val="bottom"/>
          </w:tcPr>
          <w:p>
            <w:pPr>
              <w:spacing w:after="0"/>
              <w:rPr>
                <w:sz w:val="1"/>
                <w:szCs w:val="1"/>
                <w:color w:val="auto"/>
              </w:rPr>
            </w:pPr>
          </w:p>
        </w:tc>
      </w:tr>
      <w:tr>
        <w:trPr>
          <w:trHeight w:val="212"/>
        </w:trPr>
        <w:tc>
          <w:tcPr>
            <w:tcW w:w="7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debt obligations</w:t>
            </w:r>
          </w:p>
        </w:tc>
        <w:tc>
          <w:tcPr>
            <w:tcW w:w="2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348,489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549,624</w:t>
            </w:r>
          </w:p>
        </w:tc>
        <w:tc>
          <w:tcPr>
            <w:tcW w:w="0" w:type="dxa"/>
            <w:vAlign w:val="bottom"/>
          </w:tcPr>
          <w:p>
            <w:pPr>
              <w:spacing w:after="0"/>
              <w:rPr>
                <w:sz w:val="1"/>
                <w:szCs w:val="1"/>
                <w:color w:val="auto"/>
              </w:rPr>
            </w:pPr>
          </w:p>
        </w:tc>
      </w:tr>
      <w:tr>
        <w:trPr>
          <w:trHeight w:val="218"/>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contingent consideration</w:t>
            </w:r>
          </w:p>
        </w:tc>
        <w:tc>
          <w:tcPr>
            <w:tcW w:w="2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39,662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84,218</w:t>
            </w:r>
          </w:p>
        </w:tc>
        <w:tc>
          <w:tcPr>
            <w:tcW w:w="0" w:type="dxa"/>
            <w:vAlign w:val="bottom"/>
          </w:tcPr>
          <w:p>
            <w:pPr>
              <w:spacing w:after="0"/>
              <w:rPr>
                <w:sz w:val="1"/>
                <w:szCs w:val="1"/>
                <w:color w:val="auto"/>
              </w:rPr>
            </w:pPr>
          </w:p>
        </w:tc>
      </w:tr>
      <w:tr>
        <w:trPr>
          <w:trHeight w:val="212"/>
        </w:trPr>
        <w:tc>
          <w:tcPr>
            <w:tcW w:w="7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tax liabilities</w:t>
            </w:r>
          </w:p>
        </w:tc>
        <w:tc>
          <w:tcPr>
            <w:tcW w:w="2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11,392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10,915</w:t>
            </w:r>
          </w:p>
        </w:tc>
        <w:tc>
          <w:tcPr>
            <w:tcW w:w="0" w:type="dxa"/>
            <w:vAlign w:val="bottom"/>
          </w:tcPr>
          <w:p>
            <w:pPr>
              <w:spacing w:after="0"/>
              <w:rPr>
                <w:sz w:val="1"/>
                <w:szCs w:val="1"/>
                <w:color w:val="auto"/>
              </w:rPr>
            </w:pPr>
          </w:p>
        </w:tc>
      </w:tr>
      <w:tr>
        <w:trPr>
          <w:trHeight w:val="218"/>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operating lease liabilities</w:t>
            </w:r>
          </w:p>
        </w:tc>
        <w:tc>
          <w:tcPr>
            <w:tcW w:w="2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42,777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40,105</w:t>
            </w:r>
          </w:p>
        </w:tc>
        <w:tc>
          <w:tcPr>
            <w:tcW w:w="0" w:type="dxa"/>
            <w:vAlign w:val="bottom"/>
          </w:tcPr>
          <w:p>
            <w:pPr>
              <w:spacing w:after="0"/>
              <w:rPr>
                <w:sz w:val="1"/>
                <w:szCs w:val="1"/>
                <w:color w:val="auto"/>
              </w:rPr>
            </w:pPr>
          </w:p>
        </w:tc>
      </w:tr>
      <w:tr>
        <w:trPr>
          <w:trHeight w:val="212"/>
        </w:trPr>
        <w:tc>
          <w:tcPr>
            <w:tcW w:w="7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employee compensation and related benefits</w:t>
            </w:r>
          </w:p>
        </w:tc>
        <w:tc>
          <w:tcPr>
            <w:tcW w:w="2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13,651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12,847</w:t>
            </w:r>
          </w:p>
        </w:tc>
        <w:tc>
          <w:tcPr>
            <w:tcW w:w="0" w:type="dxa"/>
            <w:vAlign w:val="bottom"/>
          </w:tcPr>
          <w:p>
            <w:pPr>
              <w:spacing w:after="0"/>
              <w:rPr>
                <w:sz w:val="1"/>
                <w:szCs w:val="1"/>
                <w:color w:val="auto"/>
              </w:rPr>
            </w:pPr>
          </w:p>
        </w:tc>
      </w:tr>
      <w:tr>
        <w:trPr>
          <w:trHeight w:val="218"/>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derivative liabilities</w:t>
            </w:r>
          </w:p>
        </w:tc>
        <w:tc>
          <w:tcPr>
            <w:tcW w:w="2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48,093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51,819</w:t>
            </w:r>
          </w:p>
        </w:tc>
        <w:tc>
          <w:tcPr>
            <w:tcW w:w="0" w:type="dxa"/>
            <w:vAlign w:val="bottom"/>
          </w:tcPr>
          <w:p>
            <w:pPr>
              <w:spacing w:after="0"/>
              <w:rPr>
                <w:sz w:val="1"/>
                <w:szCs w:val="1"/>
                <w:color w:val="auto"/>
              </w:rPr>
            </w:pPr>
          </w:p>
        </w:tc>
      </w:tr>
      <w:tr>
        <w:trPr>
          <w:trHeight w:val="212"/>
        </w:trPr>
        <w:tc>
          <w:tcPr>
            <w:tcW w:w="7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52,699</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44,478</w:t>
            </w:r>
          </w:p>
        </w:tc>
        <w:tc>
          <w:tcPr>
            <w:tcW w:w="0" w:type="dxa"/>
            <w:vAlign w:val="bottom"/>
          </w:tcPr>
          <w:p>
            <w:pPr>
              <w:spacing w:after="0"/>
              <w:rPr>
                <w:sz w:val="1"/>
                <w:szCs w:val="1"/>
                <w:color w:val="auto"/>
              </w:rPr>
            </w:pPr>
          </w:p>
        </w:tc>
      </w:tr>
      <w:tr>
        <w:trPr>
          <w:trHeight w:val="211"/>
        </w:trPr>
        <w:tc>
          <w:tcPr>
            <w:tcW w:w="7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Liabilities</w:t>
            </w:r>
          </w:p>
        </w:tc>
        <w:tc>
          <w:tcPr>
            <w:tcW w:w="2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1,383,863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1,186,131</w:t>
            </w:r>
          </w:p>
        </w:tc>
        <w:tc>
          <w:tcPr>
            <w:tcW w:w="0" w:type="dxa"/>
            <w:vAlign w:val="bottom"/>
          </w:tcPr>
          <w:p>
            <w:pPr>
              <w:spacing w:after="0"/>
              <w:rPr>
                <w:sz w:val="1"/>
                <w:szCs w:val="1"/>
                <w:color w:val="auto"/>
              </w:rPr>
            </w:pPr>
          </w:p>
        </w:tc>
      </w:tr>
      <w:tr>
        <w:trPr>
          <w:trHeight w:val="212"/>
        </w:trPr>
        <w:tc>
          <w:tcPr>
            <w:tcW w:w="7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5)</w:t>
            </w:r>
          </w:p>
        </w:tc>
        <w:tc>
          <w:tcPr>
            <w:tcW w:w="2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Stockholders’ Equity:</w:t>
            </w:r>
          </w:p>
        </w:tc>
        <w:tc>
          <w:tcPr>
            <w:tcW w:w="2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7240" w:type="dxa"/>
            <w:vAlign w:val="bottom"/>
          </w:tcPr>
          <w:p>
            <w:pPr>
              <w:ind w:left="20"/>
              <w:spacing w:after="0" w:line="161" w:lineRule="exact"/>
              <w:rPr>
                <w:sz w:val="20"/>
                <w:szCs w:val="20"/>
                <w:color w:val="auto"/>
              </w:rPr>
            </w:pPr>
            <w:r>
              <w:rPr>
                <w:rFonts w:ascii="Times New Roman" w:cs="Times New Roman" w:eastAsia="Times New Roman" w:hAnsi="Times New Roman"/>
                <w:sz w:val="16"/>
                <w:szCs w:val="16"/>
                <w:color w:val="auto"/>
              </w:rPr>
              <w:t>Ordinary Shares, £1.00 par value: unlimited shares authorized; 55,498,718 shares issued and 54,590,282</w:t>
            </w:r>
          </w:p>
        </w:tc>
        <w:tc>
          <w:tcPr>
            <w:tcW w:w="2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7240" w:type="dxa"/>
            <w:vAlign w:val="bottom"/>
          </w:tcPr>
          <w:p>
            <w:pPr>
              <w:ind w:left="20"/>
              <w:spacing w:after="0" w:line="161" w:lineRule="exact"/>
              <w:rPr>
                <w:sz w:val="20"/>
                <w:szCs w:val="20"/>
                <w:color w:val="auto"/>
              </w:rPr>
            </w:pPr>
            <w:r>
              <w:rPr>
                <w:rFonts w:ascii="Times New Roman" w:cs="Times New Roman" w:eastAsia="Times New Roman" w:hAnsi="Times New Roman"/>
                <w:sz w:val="16"/>
                <w:szCs w:val="16"/>
                <w:color w:val="auto"/>
              </w:rPr>
              <w:t>shares outstanding at June 30, 2025; 54,437,670 shares issued and 54,348,542 shares outstanding at</w:t>
            </w:r>
          </w:p>
        </w:tc>
        <w:tc>
          <w:tcPr>
            <w:tcW w:w="280" w:type="dxa"/>
            <w:vAlign w:val="bottom"/>
          </w:tcPr>
          <w:p>
            <w:pPr>
              <w:spacing w:after="0"/>
              <w:rPr>
                <w:sz w:val="14"/>
                <w:szCs w:val="14"/>
                <w:color w:val="auto"/>
              </w:rPr>
            </w:pPr>
          </w:p>
        </w:tc>
        <w:tc>
          <w:tcPr>
            <w:tcW w:w="1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84,521</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83,156</w:t>
            </w:r>
          </w:p>
        </w:tc>
        <w:tc>
          <w:tcPr>
            <w:tcW w:w="0" w:type="dxa"/>
            <w:vAlign w:val="bottom"/>
          </w:tcPr>
          <w:p>
            <w:pPr>
              <w:spacing w:after="0"/>
              <w:rPr>
                <w:sz w:val="1"/>
                <w:szCs w:val="1"/>
                <w:color w:val="auto"/>
              </w:rPr>
            </w:pPr>
          </w:p>
        </w:tc>
      </w:tr>
      <w:tr>
        <w:trPr>
          <w:trHeight w:val="212"/>
        </w:trPr>
        <w:tc>
          <w:tcPr>
            <w:tcW w:w="7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December 31, 2024</w:t>
            </w:r>
          </w:p>
        </w:tc>
        <w:tc>
          <w:tcPr>
            <w:tcW w:w="280" w:type="dxa"/>
            <w:vAlign w:val="bottom"/>
          </w:tcPr>
          <w:p>
            <w:pPr>
              <w:spacing w:after="0"/>
              <w:rPr>
                <w:sz w:val="18"/>
                <w:szCs w:val="18"/>
                <w:color w:val="auto"/>
              </w:rPr>
            </w:pPr>
          </w:p>
        </w:tc>
        <w:tc>
          <w:tcPr>
            <w:tcW w:w="16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2,234,777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2,220,658</w:t>
            </w:r>
          </w:p>
        </w:tc>
        <w:tc>
          <w:tcPr>
            <w:tcW w:w="0" w:type="dxa"/>
            <w:vAlign w:val="bottom"/>
          </w:tcPr>
          <w:p>
            <w:pPr>
              <w:spacing w:after="0"/>
              <w:rPr>
                <w:sz w:val="1"/>
                <w:szCs w:val="1"/>
                <w:color w:val="auto"/>
              </w:rPr>
            </w:pPr>
          </w:p>
        </w:tc>
      </w:tr>
      <w:tr>
        <w:trPr>
          <w:trHeight w:val="212"/>
        </w:trPr>
        <w:tc>
          <w:tcPr>
            <w:tcW w:w="7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Accumulated other comprehensive income (loss)</w:t>
            </w:r>
          </w:p>
        </w:tc>
        <w:tc>
          <w:tcPr>
            <w:tcW w:w="2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8,113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(80,170)</w:t>
            </w:r>
          </w:p>
        </w:tc>
        <w:tc>
          <w:tcPr>
            <w:tcW w:w="0" w:type="dxa"/>
            <w:vAlign w:val="bottom"/>
          </w:tcPr>
          <w:p>
            <w:pPr>
              <w:spacing w:after="0"/>
              <w:rPr>
                <w:sz w:val="1"/>
                <w:szCs w:val="1"/>
                <w:color w:val="auto"/>
              </w:rPr>
            </w:pPr>
          </w:p>
        </w:tc>
      </w:tr>
      <w:tr>
        <w:trPr>
          <w:trHeight w:val="218"/>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Accumulated deficit</w:t>
            </w:r>
          </w:p>
        </w:tc>
        <w:tc>
          <w:tcPr>
            <w:tcW w:w="2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(1,203,411)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(903,250)</w:t>
            </w:r>
          </w:p>
        </w:tc>
        <w:tc>
          <w:tcPr>
            <w:tcW w:w="0" w:type="dxa"/>
            <w:vAlign w:val="bottom"/>
          </w:tcPr>
          <w:p>
            <w:pPr>
              <w:spacing w:after="0"/>
              <w:rPr>
                <w:sz w:val="1"/>
                <w:szCs w:val="1"/>
                <w:color w:val="auto"/>
              </w:rPr>
            </w:pPr>
          </w:p>
        </w:tc>
      </w:tr>
      <w:tr>
        <w:trPr>
          <w:trHeight w:val="161"/>
        </w:trPr>
        <w:tc>
          <w:tcPr>
            <w:tcW w:w="7240" w:type="dxa"/>
            <w:vAlign w:val="bottom"/>
          </w:tcPr>
          <w:p>
            <w:pPr>
              <w:ind w:left="20"/>
              <w:spacing w:after="0" w:line="161" w:lineRule="exact"/>
              <w:rPr>
                <w:sz w:val="20"/>
                <w:szCs w:val="20"/>
                <w:color w:val="auto"/>
              </w:rPr>
            </w:pPr>
            <w:r>
              <w:rPr>
                <w:rFonts w:ascii="Times New Roman" w:cs="Times New Roman" w:eastAsia="Times New Roman" w:hAnsi="Times New Roman"/>
                <w:sz w:val="16"/>
                <w:szCs w:val="16"/>
                <w:color w:val="auto"/>
              </w:rPr>
              <w:t>Treasury stock at cost, 908,436 ordinary shares at June 30, 2025; 89,128 ordinary shares at December 31,</w:t>
            </w:r>
          </w:p>
        </w:tc>
        <w:tc>
          <w:tcPr>
            <w:tcW w:w="280" w:type="dxa"/>
            <w:vAlign w:val="bottom"/>
          </w:tcPr>
          <w:p>
            <w:pPr>
              <w:spacing w:after="0"/>
              <w:rPr>
                <w:sz w:val="14"/>
                <w:szCs w:val="14"/>
                <w:color w:val="auto"/>
              </w:rPr>
            </w:pPr>
          </w:p>
        </w:tc>
        <w:tc>
          <w:tcPr>
            <w:tcW w:w="1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(1,161)</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0" w:type="dxa"/>
            <w:vAlign w:val="bottom"/>
          </w:tcPr>
          <w:p>
            <w:pPr>
              <w:spacing w:after="0"/>
              <w:rPr>
                <w:sz w:val="1"/>
                <w:szCs w:val="1"/>
                <w:color w:val="auto"/>
              </w:rPr>
            </w:pPr>
          </w:p>
        </w:tc>
      </w:tr>
      <w:tr>
        <w:trPr>
          <w:trHeight w:val="212"/>
        </w:trPr>
        <w:tc>
          <w:tcPr>
            <w:tcW w:w="7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2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8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1,122,839</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1,320,258</w:t>
            </w:r>
          </w:p>
        </w:tc>
        <w:tc>
          <w:tcPr>
            <w:tcW w:w="0" w:type="dxa"/>
            <w:vAlign w:val="bottom"/>
          </w:tcPr>
          <w:p>
            <w:pPr>
              <w:spacing w:after="0"/>
              <w:rPr>
                <w:sz w:val="1"/>
                <w:szCs w:val="1"/>
                <w:color w:val="auto"/>
              </w:rPr>
            </w:pPr>
          </w:p>
        </w:tc>
      </w:tr>
      <w:tr>
        <w:trPr>
          <w:trHeight w:val="206"/>
        </w:trPr>
        <w:tc>
          <w:tcPr>
            <w:tcW w:w="72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2,506,702</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2,506,389</w:t>
            </w:r>
          </w:p>
        </w:tc>
        <w:tc>
          <w:tcPr>
            <w:tcW w:w="0" w:type="dxa"/>
            <w:vAlign w:val="bottom"/>
          </w:tcPr>
          <w:p>
            <w:pPr>
              <w:spacing w:after="0"/>
              <w:rPr>
                <w:sz w:val="1"/>
                <w:szCs w:val="1"/>
                <w:color w:val="auto"/>
              </w:rPr>
            </w:pPr>
          </w:p>
        </w:tc>
      </w:tr>
      <w:tr>
        <w:trPr>
          <w:trHeight w:val="23"/>
        </w:trPr>
        <w:tc>
          <w:tcPr>
            <w:tcW w:w="7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59690</wp:posOffset>
            </wp:positionV>
            <wp:extent cx="71583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0" w:name="page11"/>
    <w:bookmarkEnd w:id="10"/>
    <w:p>
      <w:pPr>
        <w:jc w:val="center"/>
        <w:ind w:left="500" w:right="2300"/>
        <w:spacing w:after="0" w:line="303" w:lineRule="auto"/>
        <w:rPr>
          <w:sz w:val="20"/>
          <w:szCs w:val="20"/>
          <w:color w:val="auto"/>
        </w:rPr>
      </w:pPr>
      <w:r>
        <w:rPr>
          <w:rFonts w:ascii="Times New Roman" w:cs="Times New Roman" w:eastAsia="Times New Roman" w:hAnsi="Times New Roman"/>
          <w:sz w:val="21"/>
          <w:szCs w:val="21"/>
          <w:b w:val="1"/>
          <w:bCs w:val="1"/>
          <w:color w:val="auto"/>
        </w:rPr>
        <w:t>LIVANOVA PLC AND SUBSIDIARIES CONDENSED CONSOLIDATED STATEMENTS OF CASH FLOWS (UNAUDITED)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140" w:type="dxa"/>
            <w:vAlign w:val="bottom"/>
          </w:tcPr>
          <w:p>
            <w:pPr>
              <w:spacing w:after="0"/>
              <w:rPr>
                <w:sz w:val="19"/>
                <w:szCs w:val="19"/>
                <w:color w:val="auto"/>
              </w:rPr>
            </w:pPr>
          </w:p>
        </w:tc>
        <w:tc>
          <w:tcPr>
            <w:tcW w:w="3320" w:type="dxa"/>
            <w:vAlign w:val="bottom"/>
            <w:gridSpan w:val="2"/>
          </w:tcPr>
          <w:p>
            <w:pPr>
              <w:jc w:val="right"/>
              <w:ind w:right="2113"/>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14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3280" w:type="dxa"/>
            <w:vAlign w:val="bottom"/>
            <w:tcBorders>
              <w:bottom w:val="single" w:sz="8" w:color="auto"/>
            </w:tcBorders>
            <w:gridSpan w:val="4"/>
          </w:tcPr>
          <w:p>
            <w:pPr>
              <w:jc w:val="right"/>
              <w:ind w:right="136"/>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7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51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2100" w:type="dxa"/>
            <w:vAlign w:val="bottom"/>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7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7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5140" w:type="dxa"/>
            <w:vAlign w:val="bottom"/>
            <w:vMerge w:val="continue"/>
          </w:tcPr>
          <w:p>
            <w:pPr>
              <w:spacing w:after="0"/>
              <w:rPr>
                <w:sz w:val="16"/>
                <w:szCs w:val="16"/>
                <w:color w:val="auto"/>
              </w:rPr>
            </w:pPr>
          </w:p>
        </w:tc>
        <w:tc>
          <w:tcPr>
            <w:tcW w:w="2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5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loss</w:t>
            </w:r>
          </w:p>
        </w:tc>
        <w:tc>
          <w:tcPr>
            <w:tcW w:w="3320" w:type="dxa"/>
            <w:vAlign w:val="bottom"/>
            <w:gridSpan w:val="2"/>
            <w:shd w:val="clear" w:color="auto" w:fill="CCEEFF"/>
          </w:tcPr>
          <w:p>
            <w:pPr>
              <w:jc w:val="right"/>
              <w:ind w:right="1033"/>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(300,161)</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36"/>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(25,610)</w:t>
            </w:r>
          </w:p>
        </w:tc>
        <w:tc>
          <w:tcPr>
            <w:tcW w:w="0" w:type="dxa"/>
            <w:vAlign w:val="bottom"/>
          </w:tcPr>
          <w:p>
            <w:pPr>
              <w:spacing w:after="0"/>
              <w:rPr>
                <w:sz w:val="1"/>
                <w:szCs w:val="1"/>
                <w:color w:val="auto"/>
              </w:rPr>
            </w:pPr>
          </w:p>
        </w:tc>
      </w:tr>
      <w:tr>
        <w:trPr>
          <w:trHeight w:val="212"/>
        </w:trPr>
        <w:tc>
          <w:tcPr>
            <w:tcW w:w="51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Adjustments to reconcile net loss to net cash provided by operating activities:</w:t>
            </w:r>
          </w:p>
        </w:tc>
        <w:tc>
          <w:tcPr>
            <w:tcW w:w="2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Remeasurement of derivative instruments</w:t>
            </w:r>
          </w:p>
        </w:tc>
        <w:tc>
          <w:tcPr>
            <w:tcW w:w="2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(27,260)</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12,465</w:t>
            </w:r>
          </w:p>
        </w:tc>
        <w:tc>
          <w:tcPr>
            <w:tcW w:w="0" w:type="dxa"/>
            <w:vAlign w:val="bottom"/>
          </w:tcPr>
          <w:p>
            <w:pPr>
              <w:spacing w:after="0"/>
              <w:rPr>
                <w:sz w:val="1"/>
                <w:szCs w:val="1"/>
                <w:color w:val="auto"/>
              </w:rPr>
            </w:pPr>
          </w:p>
        </w:tc>
      </w:tr>
      <w:tr>
        <w:trPr>
          <w:trHeight w:val="212"/>
        </w:trPr>
        <w:tc>
          <w:tcPr>
            <w:tcW w:w="51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Stock-based compensation</w:t>
            </w:r>
          </w:p>
        </w:tc>
        <w:tc>
          <w:tcPr>
            <w:tcW w:w="2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16,957</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18,425</w:t>
            </w:r>
          </w:p>
        </w:tc>
        <w:tc>
          <w:tcPr>
            <w:tcW w:w="0" w:type="dxa"/>
            <w:vAlign w:val="bottom"/>
          </w:tcPr>
          <w:p>
            <w:pPr>
              <w:spacing w:after="0"/>
              <w:rPr>
                <w:sz w:val="1"/>
                <w:szCs w:val="1"/>
                <w:color w:val="auto"/>
              </w:rPr>
            </w:pPr>
          </w:p>
        </w:tc>
      </w:tr>
      <w:tr>
        <w:trPr>
          <w:trHeight w:val="218"/>
        </w:trPr>
        <w:tc>
          <w:tcPr>
            <w:tcW w:w="5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Depreciation</w:t>
            </w:r>
          </w:p>
        </w:tc>
        <w:tc>
          <w:tcPr>
            <w:tcW w:w="2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13,293</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12,441</w:t>
            </w:r>
          </w:p>
        </w:tc>
        <w:tc>
          <w:tcPr>
            <w:tcW w:w="0" w:type="dxa"/>
            <w:vAlign w:val="bottom"/>
          </w:tcPr>
          <w:p>
            <w:pPr>
              <w:spacing w:after="0"/>
              <w:rPr>
                <w:sz w:val="1"/>
                <w:szCs w:val="1"/>
                <w:color w:val="auto"/>
              </w:rPr>
            </w:pPr>
          </w:p>
        </w:tc>
      </w:tr>
      <w:tr>
        <w:trPr>
          <w:trHeight w:val="212"/>
        </w:trPr>
        <w:tc>
          <w:tcPr>
            <w:tcW w:w="51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Amortization of debt issuance costs</w:t>
            </w:r>
          </w:p>
        </w:tc>
        <w:tc>
          <w:tcPr>
            <w:tcW w:w="2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11,397</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10,195</w:t>
            </w:r>
          </w:p>
        </w:tc>
        <w:tc>
          <w:tcPr>
            <w:tcW w:w="0" w:type="dxa"/>
            <w:vAlign w:val="bottom"/>
          </w:tcPr>
          <w:p>
            <w:pPr>
              <w:spacing w:after="0"/>
              <w:rPr>
                <w:sz w:val="1"/>
                <w:szCs w:val="1"/>
                <w:color w:val="auto"/>
              </w:rPr>
            </w:pPr>
          </w:p>
        </w:tc>
      </w:tr>
      <w:tr>
        <w:trPr>
          <w:trHeight w:val="218"/>
        </w:trPr>
        <w:tc>
          <w:tcPr>
            <w:tcW w:w="5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2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8,656</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8,615</w:t>
            </w:r>
          </w:p>
        </w:tc>
        <w:tc>
          <w:tcPr>
            <w:tcW w:w="0" w:type="dxa"/>
            <w:vAlign w:val="bottom"/>
          </w:tcPr>
          <w:p>
            <w:pPr>
              <w:spacing w:after="0"/>
              <w:rPr>
                <w:sz w:val="1"/>
                <w:szCs w:val="1"/>
                <w:color w:val="auto"/>
              </w:rPr>
            </w:pPr>
          </w:p>
        </w:tc>
      </w:tr>
      <w:tr>
        <w:trPr>
          <w:trHeight w:val="212"/>
        </w:trPr>
        <w:tc>
          <w:tcPr>
            <w:tcW w:w="51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Amortization of operating lease assets</w:t>
            </w:r>
          </w:p>
        </w:tc>
        <w:tc>
          <w:tcPr>
            <w:tcW w:w="2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7,762</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4,377</w:t>
            </w:r>
          </w:p>
        </w:tc>
        <w:tc>
          <w:tcPr>
            <w:tcW w:w="0" w:type="dxa"/>
            <w:vAlign w:val="bottom"/>
          </w:tcPr>
          <w:p>
            <w:pPr>
              <w:spacing w:after="0"/>
              <w:rPr>
                <w:sz w:val="1"/>
                <w:szCs w:val="1"/>
                <w:color w:val="auto"/>
              </w:rPr>
            </w:pPr>
          </w:p>
        </w:tc>
      </w:tr>
      <w:tr>
        <w:trPr>
          <w:trHeight w:val="218"/>
        </w:trPr>
        <w:tc>
          <w:tcPr>
            <w:tcW w:w="5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Remeasurement of contingent consideration to fair value</w:t>
            </w:r>
          </w:p>
        </w:tc>
        <w:tc>
          <w:tcPr>
            <w:tcW w:w="2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3,709</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w:t>
            </w:r>
          </w:p>
        </w:tc>
        <w:tc>
          <w:tcPr>
            <w:tcW w:w="0" w:type="dxa"/>
            <w:vAlign w:val="bottom"/>
          </w:tcPr>
          <w:p>
            <w:pPr>
              <w:spacing w:after="0"/>
              <w:rPr>
                <w:sz w:val="1"/>
                <w:szCs w:val="1"/>
                <w:color w:val="auto"/>
              </w:rPr>
            </w:pPr>
          </w:p>
        </w:tc>
      </w:tr>
      <w:tr>
        <w:trPr>
          <w:trHeight w:val="212"/>
        </w:trPr>
        <w:tc>
          <w:tcPr>
            <w:tcW w:w="51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Loss on investment revaluation - Ceribell, Inc.</w:t>
            </w:r>
          </w:p>
        </w:tc>
        <w:tc>
          <w:tcPr>
            <w:tcW w:w="2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3,622</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8"/>
        </w:trPr>
        <w:tc>
          <w:tcPr>
            <w:tcW w:w="5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Deferred income tax expense</w:t>
            </w:r>
          </w:p>
        </w:tc>
        <w:tc>
          <w:tcPr>
            <w:tcW w:w="2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2,763</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5,556</w:t>
            </w:r>
          </w:p>
        </w:tc>
        <w:tc>
          <w:tcPr>
            <w:tcW w:w="0" w:type="dxa"/>
            <w:vAlign w:val="bottom"/>
          </w:tcPr>
          <w:p>
            <w:pPr>
              <w:spacing w:after="0"/>
              <w:rPr>
                <w:sz w:val="1"/>
                <w:szCs w:val="1"/>
                <w:color w:val="auto"/>
              </w:rPr>
            </w:pPr>
          </w:p>
        </w:tc>
      </w:tr>
      <w:tr>
        <w:trPr>
          <w:trHeight w:val="212"/>
        </w:trPr>
        <w:tc>
          <w:tcPr>
            <w:tcW w:w="51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Loss on debt extinguishment</w:t>
            </w:r>
          </w:p>
        </w:tc>
        <w:tc>
          <w:tcPr>
            <w:tcW w:w="2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2,651</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25,482</w:t>
            </w:r>
          </w:p>
        </w:tc>
        <w:tc>
          <w:tcPr>
            <w:tcW w:w="0" w:type="dxa"/>
            <w:vAlign w:val="bottom"/>
          </w:tcPr>
          <w:p>
            <w:pPr>
              <w:spacing w:after="0"/>
              <w:rPr>
                <w:sz w:val="1"/>
                <w:szCs w:val="1"/>
                <w:color w:val="auto"/>
              </w:rPr>
            </w:pPr>
          </w:p>
        </w:tc>
      </w:tr>
      <w:tr>
        <w:trPr>
          <w:trHeight w:val="218"/>
        </w:trPr>
        <w:tc>
          <w:tcPr>
            <w:tcW w:w="5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Impairment of investment in ShiraTronics, Inc.</w:t>
            </w:r>
          </w:p>
        </w:tc>
        <w:tc>
          <w:tcPr>
            <w:tcW w:w="2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5,750</w:t>
            </w:r>
          </w:p>
        </w:tc>
        <w:tc>
          <w:tcPr>
            <w:tcW w:w="0" w:type="dxa"/>
            <w:vAlign w:val="bottom"/>
          </w:tcPr>
          <w:p>
            <w:pPr>
              <w:spacing w:after="0"/>
              <w:rPr>
                <w:sz w:val="1"/>
                <w:szCs w:val="1"/>
                <w:color w:val="auto"/>
              </w:rPr>
            </w:pPr>
          </w:p>
        </w:tc>
      </w:tr>
      <w:tr>
        <w:trPr>
          <w:trHeight w:val="212"/>
        </w:trPr>
        <w:tc>
          <w:tcPr>
            <w:tcW w:w="51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Other</w:t>
            </w:r>
          </w:p>
        </w:tc>
        <w:tc>
          <w:tcPr>
            <w:tcW w:w="2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968</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704</w:t>
            </w:r>
          </w:p>
        </w:tc>
        <w:tc>
          <w:tcPr>
            <w:tcW w:w="0" w:type="dxa"/>
            <w:vAlign w:val="bottom"/>
          </w:tcPr>
          <w:p>
            <w:pPr>
              <w:spacing w:after="0"/>
              <w:rPr>
                <w:sz w:val="1"/>
                <w:szCs w:val="1"/>
                <w:color w:val="auto"/>
              </w:rPr>
            </w:pPr>
          </w:p>
        </w:tc>
      </w:tr>
      <w:tr>
        <w:trPr>
          <w:trHeight w:val="218"/>
        </w:trPr>
        <w:tc>
          <w:tcPr>
            <w:tcW w:w="5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2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1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Accounts receivable, net</w:t>
            </w:r>
          </w:p>
        </w:tc>
        <w:tc>
          <w:tcPr>
            <w:tcW w:w="2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(13,672)</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8,398</w:t>
            </w:r>
          </w:p>
        </w:tc>
        <w:tc>
          <w:tcPr>
            <w:tcW w:w="0" w:type="dxa"/>
            <w:vAlign w:val="bottom"/>
          </w:tcPr>
          <w:p>
            <w:pPr>
              <w:spacing w:after="0"/>
              <w:rPr>
                <w:sz w:val="1"/>
                <w:szCs w:val="1"/>
                <w:color w:val="auto"/>
              </w:rPr>
            </w:pPr>
          </w:p>
        </w:tc>
      </w:tr>
      <w:tr>
        <w:trPr>
          <w:trHeight w:val="218"/>
        </w:trPr>
        <w:tc>
          <w:tcPr>
            <w:tcW w:w="5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Inventories</w:t>
            </w:r>
          </w:p>
        </w:tc>
        <w:tc>
          <w:tcPr>
            <w:tcW w:w="2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(6,038)</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(10,938)</w:t>
            </w:r>
          </w:p>
        </w:tc>
        <w:tc>
          <w:tcPr>
            <w:tcW w:w="0" w:type="dxa"/>
            <w:vAlign w:val="bottom"/>
          </w:tcPr>
          <w:p>
            <w:pPr>
              <w:spacing w:after="0"/>
              <w:rPr>
                <w:sz w:val="1"/>
                <w:szCs w:val="1"/>
                <w:color w:val="auto"/>
              </w:rPr>
            </w:pPr>
          </w:p>
        </w:tc>
      </w:tr>
      <w:tr>
        <w:trPr>
          <w:trHeight w:val="212"/>
        </w:trPr>
        <w:tc>
          <w:tcPr>
            <w:tcW w:w="51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Other current and non-current assets</w:t>
            </w:r>
          </w:p>
        </w:tc>
        <w:tc>
          <w:tcPr>
            <w:tcW w:w="2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35,540</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(3,366)</w:t>
            </w:r>
          </w:p>
        </w:tc>
        <w:tc>
          <w:tcPr>
            <w:tcW w:w="0" w:type="dxa"/>
            <w:vAlign w:val="bottom"/>
          </w:tcPr>
          <w:p>
            <w:pPr>
              <w:spacing w:after="0"/>
              <w:rPr>
                <w:sz w:val="1"/>
                <w:szCs w:val="1"/>
                <w:color w:val="auto"/>
              </w:rPr>
            </w:pPr>
          </w:p>
        </w:tc>
      </w:tr>
      <w:tr>
        <w:trPr>
          <w:trHeight w:val="218"/>
        </w:trPr>
        <w:tc>
          <w:tcPr>
            <w:tcW w:w="5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Accounts payable and accrued current and non-current liabilities</w:t>
            </w:r>
          </w:p>
        </w:tc>
        <w:tc>
          <w:tcPr>
            <w:tcW w:w="2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(33,171)</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(25,380)</w:t>
            </w:r>
          </w:p>
        </w:tc>
        <w:tc>
          <w:tcPr>
            <w:tcW w:w="0" w:type="dxa"/>
            <w:vAlign w:val="bottom"/>
          </w:tcPr>
          <w:p>
            <w:pPr>
              <w:spacing w:after="0"/>
              <w:rPr>
                <w:sz w:val="1"/>
                <w:szCs w:val="1"/>
                <w:color w:val="auto"/>
              </w:rPr>
            </w:pPr>
          </w:p>
        </w:tc>
      </w:tr>
      <w:tr>
        <w:trPr>
          <w:trHeight w:val="212"/>
        </w:trPr>
        <w:tc>
          <w:tcPr>
            <w:tcW w:w="51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Taxes payable</w:t>
            </w:r>
          </w:p>
        </w:tc>
        <w:tc>
          <w:tcPr>
            <w:tcW w:w="2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(897)</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820</w:t>
            </w:r>
          </w:p>
        </w:tc>
        <w:tc>
          <w:tcPr>
            <w:tcW w:w="0" w:type="dxa"/>
            <w:vAlign w:val="bottom"/>
          </w:tcPr>
          <w:p>
            <w:pPr>
              <w:spacing w:after="0"/>
              <w:rPr>
                <w:sz w:val="1"/>
                <w:szCs w:val="1"/>
                <w:color w:val="auto"/>
              </w:rPr>
            </w:pPr>
          </w:p>
        </w:tc>
      </w:tr>
      <w:tr>
        <w:trPr>
          <w:trHeight w:val="218"/>
        </w:trPr>
        <w:tc>
          <w:tcPr>
            <w:tcW w:w="5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SNIA environmental liability</w:t>
            </w:r>
          </w:p>
        </w:tc>
        <w:tc>
          <w:tcPr>
            <w:tcW w:w="2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362,070</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51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Litigation provision liability</w:t>
            </w:r>
          </w:p>
        </w:tc>
        <w:tc>
          <w:tcPr>
            <w:tcW w:w="210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(1,303)</w:t>
            </w:r>
          </w:p>
        </w:tc>
        <w:tc>
          <w:tcPr>
            <w:tcW w:w="12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5,131</w:t>
            </w:r>
          </w:p>
        </w:tc>
        <w:tc>
          <w:tcPr>
            <w:tcW w:w="0" w:type="dxa"/>
            <w:vAlign w:val="bottom"/>
          </w:tcPr>
          <w:p>
            <w:pPr>
              <w:spacing w:after="0"/>
              <w:rPr>
                <w:sz w:val="1"/>
                <w:szCs w:val="1"/>
                <w:color w:val="auto"/>
              </w:rPr>
            </w:pPr>
          </w:p>
        </w:tc>
      </w:tr>
      <w:tr>
        <w:trPr>
          <w:trHeight w:val="211"/>
        </w:trPr>
        <w:tc>
          <w:tcPr>
            <w:tcW w:w="5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b w:val="1"/>
                <w:bCs w:val="1"/>
                <w:color w:val="auto"/>
              </w:rPr>
              <w:t>Net cash provided by operating activities</w:t>
            </w:r>
          </w:p>
        </w:tc>
        <w:tc>
          <w:tcPr>
            <w:tcW w:w="2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86,886</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53,337</w:t>
            </w:r>
          </w:p>
        </w:tc>
        <w:tc>
          <w:tcPr>
            <w:tcW w:w="0" w:type="dxa"/>
            <w:vAlign w:val="bottom"/>
          </w:tcPr>
          <w:p>
            <w:pPr>
              <w:spacing w:after="0"/>
              <w:rPr>
                <w:sz w:val="1"/>
                <w:szCs w:val="1"/>
                <w:color w:val="auto"/>
              </w:rPr>
            </w:pPr>
          </w:p>
        </w:tc>
      </w:tr>
      <w:tr>
        <w:trPr>
          <w:trHeight w:val="213"/>
        </w:trPr>
        <w:tc>
          <w:tcPr>
            <w:tcW w:w="51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2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Purchases of property, plant, and equipment</w:t>
            </w:r>
          </w:p>
        </w:tc>
        <w:tc>
          <w:tcPr>
            <w:tcW w:w="2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(25,937)</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(18,554)</w:t>
            </w:r>
          </w:p>
        </w:tc>
        <w:tc>
          <w:tcPr>
            <w:tcW w:w="0" w:type="dxa"/>
            <w:vAlign w:val="bottom"/>
          </w:tcPr>
          <w:p>
            <w:pPr>
              <w:spacing w:after="0"/>
              <w:rPr>
                <w:sz w:val="1"/>
                <w:szCs w:val="1"/>
                <w:color w:val="auto"/>
              </w:rPr>
            </w:pPr>
          </w:p>
        </w:tc>
      </w:tr>
      <w:tr>
        <w:trPr>
          <w:trHeight w:val="212"/>
        </w:trPr>
        <w:tc>
          <w:tcPr>
            <w:tcW w:w="51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investments</w:t>
            </w:r>
          </w:p>
        </w:tc>
        <w:tc>
          <w:tcPr>
            <w:tcW w:w="2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6,522</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8"/>
        </w:trPr>
        <w:tc>
          <w:tcPr>
            <w:tcW w:w="5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210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12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w:t>
            </w:r>
          </w:p>
        </w:tc>
        <w:tc>
          <w:tcPr>
            <w:tcW w:w="0" w:type="dxa"/>
            <w:vAlign w:val="bottom"/>
          </w:tcPr>
          <w:p>
            <w:pPr>
              <w:spacing w:after="0"/>
              <w:rPr>
                <w:sz w:val="1"/>
                <w:szCs w:val="1"/>
                <w:color w:val="auto"/>
              </w:rPr>
            </w:pPr>
          </w:p>
        </w:tc>
      </w:tr>
      <w:tr>
        <w:trPr>
          <w:trHeight w:val="206"/>
        </w:trPr>
        <w:tc>
          <w:tcPr>
            <w:tcW w:w="5140" w:type="dxa"/>
            <w:vAlign w:val="bottom"/>
          </w:tcPr>
          <w:p>
            <w:pPr>
              <w:ind w:left="340"/>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w:t>
            </w:r>
          </w:p>
        </w:tc>
        <w:tc>
          <w:tcPr>
            <w:tcW w:w="2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(19,596)</w:t>
            </w: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(18,932)</w:t>
            </w:r>
          </w:p>
        </w:tc>
        <w:tc>
          <w:tcPr>
            <w:tcW w:w="0" w:type="dxa"/>
            <w:vAlign w:val="bottom"/>
          </w:tcPr>
          <w:p>
            <w:pPr>
              <w:spacing w:after="0"/>
              <w:rPr>
                <w:sz w:val="1"/>
                <w:szCs w:val="1"/>
                <w:color w:val="auto"/>
              </w:rPr>
            </w:pPr>
          </w:p>
        </w:tc>
      </w:tr>
      <w:tr>
        <w:trPr>
          <w:trHeight w:val="218"/>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2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1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Repayment of long-term debt obligations</w:t>
            </w:r>
          </w:p>
        </w:tc>
        <w:tc>
          <w:tcPr>
            <w:tcW w:w="2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(210,250)</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(238,750)</w:t>
            </w:r>
          </w:p>
        </w:tc>
        <w:tc>
          <w:tcPr>
            <w:tcW w:w="0" w:type="dxa"/>
            <w:vAlign w:val="bottom"/>
          </w:tcPr>
          <w:p>
            <w:pPr>
              <w:spacing w:after="0"/>
              <w:rPr>
                <w:sz w:val="1"/>
                <w:szCs w:val="1"/>
                <w:color w:val="auto"/>
              </w:rPr>
            </w:pPr>
          </w:p>
        </w:tc>
      </w:tr>
      <w:tr>
        <w:trPr>
          <w:trHeight w:val="218"/>
        </w:trPr>
        <w:tc>
          <w:tcPr>
            <w:tcW w:w="5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Shares repurchased from employees for minimum tax withholding</w:t>
            </w:r>
          </w:p>
        </w:tc>
        <w:tc>
          <w:tcPr>
            <w:tcW w:w="2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(3,881)</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(8,125)</w:t>
            </w:r>
          </w:p>
        </w:tc>
        <w:tc>
          <w:tcPr>
            <w:tcW w:w="0" w:type="dxa"/>
            <w:vAlign w:val="bottom"/>
          </w:tcPr>
          <w:p>
            <w:pPr>
              <w:spacing w:after="0"/>
              <w:rPr>
                <w:sz w:val="1"/>
                <w:szCs w:val="1"/>
                <w:color w:val="auto"/>
              </w:rPr>
            </w:pPr>
          </w:p>
        </w:tc>
      </w:tr>
      <w:tr>
        <w:trPr>
          <w:trHeight w:val="212"/>
        </w:trPr>
        <w:tc>
          <w:tcPr>
            <w:tcW w:w="51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long-term debt obligations</w:t>
            </w:r>
          </w:p>
        </w:tc>
        <w:tc>
          <w:tcPr>
            <w:tcW w:w="2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335,513</w:t>
            </w:r>
          </w:p>
        </w:tc>
        <w:tc>
          <w:tcPr>
            <w:tcW w:w="0" w:type="dxa"/>
            <w:vAlign w:val="bottom"/>
          </w:tcPr>
          <w:p>
            <w:pPr>
              <w:spacing w:after="0"/>
              <w:rPr>
                <w:sz w:val="1"/>
                <w:szCs w:val="1"/>
                <w:color w:val="auto"/>
              </w:rPr>
            </w:pPr>
          </w:p>
        </w:tc>
      </w:tr>
      <w:tr>
        <w:trPr>
          <w:trHeight w:val="218"/>
        </w:trPr>
        <w:tc>
          <w:tcPr>
            <w:tcW w:w="5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Payment of debt extinguishment costs</w:t>
            </w:r>
          </w:p>
        </w:tc>
        <w:tc>
          <w:tcPr>
            <w:tcW w:w="2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(38,953)</w:t>
            </w:r>
          </w:p>
        </w:tc>
        <w:tc>
          <w:tcPr>
            <w:tcW w:w="0" w:type="dxa"/>
            <w:vAlign w:val="bottom"/>
          </w:tcPr>
          <w:p>
            <w:pPr>
              <w:spacing w:after="0"/>
              <w:rPr>
                <w:sz w:val="1"/>
                <w:szCs w:val="1"/>
                <w:color w:val="auto"/>
              </w:rPr>
            </w:pPr>
          </w:p>
        </w:tc>
      </w:tr>
      <w:tr>
        <w:trPr>
          <w:trHeight w:val="212"/>
        </w:trPr>
        <w:tc>
          <w:tcPr>
            <w:tcW w:w="51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Purchase of capped calls</w:t>
            </w:r>
          </w:p>
        </w:tc>
        <w:tc>
          <w:tcPr>
            <w:tcW w:w="2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(31,637)</w:t>
            </w:r>
          </w:p>
        </w:tc>
        <w:tc>
          <w:tcPr>
            <w:tcW w:w="0" w:type="dxa"/>
            <w:vAlign w:val="bottom"/>
          </w:tcPr>
          <w:p>
            <w:pPr>
              <w:spacing w:after="0"/>
              <w:rPr>
                <w:sz w:val="1"/>
                <w:szCs w:val="1"/>
                <w:color w:val="auto"/>
              </w:rPr>
            </w:pPr>
          </w:p>
        </w:tc>
      </w:tr>
      <w:tr>
        <w:trPr>
          <w:trHeight w:val="218"/>
        </w:trPr>
        <w:tc>
          <w:tcPr>
            <w:tcW w:w="5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Proceeds from unwind of capped calls</w:t>
            </w:r>
          </w:p>
        </w:tc>
        <w:tc>
          <w:tcPr>
            <w:tcW w:w="2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22,523</w:t>
            </w:r>
          </w:p>
        </w:tc>
        <w:tc>
          <w:tcPr>
            <w:tcW w:w="0" w:type="dxa"/>
            <w:vAlign w:val="bottom"/>
          </w:tcPr>
          <w:p>
            <w:pPr>
              <w:spacing w:after="0"/>
              <w:rPr>
                <w:sz w:val="1"/>
                <w:szCs w:val="1"/>
                <w:color w:val="auto"/>
              </w:rPr>
            </w:pPr>
          </w:p>
        </w:tc>
      </w:tr>
      <w:tr>
        <w:trPr>
          <w:trHeight w:val="212"/>
        </w:trPr>
        <w:tc>
          <w:tcPr>
            <w:tcW w:w="51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Payment of contingent consideration</w:t>
            </w:r>
          </w:p>
        </w:tc>
        <w:tc>
          <w:tcPr>
            <w:tcW w:w="2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(13,750)</w:t>
            </w:r>
          </w:p>
        </w:tc>
        <w:tc>
          <w:tcPr>
            <w:tcW w:w="0" w:type="dxa"/>
            <w:vAlign w:val="bottom"/>
          </w:tcPr>
          <w:p>
            <w:pPr>
              <w:spacing w:after="0"/>
              <w:rPr>
                <w:sz w:val="1"/>
                <w:szCs w:val="1"/>
                <w:color w:val="auto"/>
              </w:rPr>
            </w:pPr>
          </w:p>
        </w:tc>
      </w:tr>
      <w:tr>
        <w:trPr>
          <w:trHeight w:val="218"/>
        </w:trPr>
        <w:tc>
          <w:tcPr>
            <w:tcW w:w="5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Payment of debt issuance costs</w:t>
            </w:r>
          </w:p>
        </w:tc>
        <w:tc>
          <w:tcPr>
            <w:tcW w:w="2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(5,698)</w:t>
            </w:r>
          </w:p>
        </w:tc>
        <w:tc>
          <w:tcPr>
            <w:tcW w:w="0" w:type="dxa"/>
            <w:vAlign w:val="bottom"/>
          </w:tcPr>
          <w:p>
            <w:pPr>
              <w:spacing w:after="0"/>
              <w:rPr>
                <w:sz w:val="1"/>
                <w:szCs w:val="1"/>
                <w:color w:val="auto"/>
              </w:rPr>
            </w:pPr>
          </w:p>
        </w:tc>
      </w:tr>
      <w:tr>
        <w:trPr>
          <w:trHeight w:val="212"/>
        </w:trPr>
        <w:tc>
          <w:tcPr>
            <w:tcW w:w="51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2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3,682</w:t>
            </w:r>
          </w:p>
        </w:tc>
        <w:tc>
          <w:tcPr>
            <w:tcW w:w="0" w:type="dxa"/>
            <w:vAlign w:val="bottom"/>
          </w:tcPr>
          <w:p>
            <w:pPr>
              <w:spacing w:after="0"/>
              <w:rPr>
                <w:sz w:val="1"/>
                <w:szCs w:val="1"/>
                <w:color w:val="auto"/>
              </w:rPr>
            </w:pPr>
          </w:p>
        </w:tc>
      </w:tr>
      <w:tr>
        <w:trPr>
          <w:trHeight w:val="218"/>
        </w:trPr>
        <w:tc>
          <w:tcPr>
            <w:tcW w:w="5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210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728</w:t>
            </w:r>
          </w:p>
        </w:tc>
        <w:tc>
          <w:tcPr>
            <w:tcW w:w="12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w:t>
            </w:r>
          </w:p>
        </w:tc>
        <w:tc>
          <w:tcPr>
            <w:tcW w:w="0" w:type="dxa"/>
            <w:vAlign w:val="bottom"/>
          </w:tcPr>
          <w:p>
            <w:pPr>
              <w:spacing w:after="0"/>
              <w:rPr>
                <w:sz w:val="1"/>
                <w:szCs w:val="1"/>
                <w:color w:val="auto"/>
              </w:rPr>
            </w:pPr>
          </w:p>
        </w:tc>
      </w:tr>
      <w:tr>
        <w:trPr>
          <w:trHeight w:val="206"/>
        </w:trPr>
        <w:tc>
          <w:tcPr>
            <w:tcW w:w="5140" w:type="dxa"/>
            <w:vAlign w:val="bottom"/>
          </w:tcPr>
          <w:p>
            <w:pPr>
              <w:ind w:left="340"/>
              <w:spacing w:after="0"/>
              <w:rPr>
                <w:sz w:val="20"/>
                <w:szCs w:val="20"/>
                <w:color w:val="auto"/>
              </w:rPr>
            </w:pPr>
            <w:r>
              <w:rPr>
                <w:rFonts w:ascii="Times New Roman" w:cs="Times New Roman" w:eastAsia="Times New Roman" w:hAnsi="Times New Roman"/>
                <w:sz w:val="16"/>
                <w:szCs w:val="16"/>
                <w:b w:val="1"/>
                <w:bCs w:val="1"/>
                <w:color w:val="auto"/>
              </w:rPr>
              <w:t>Net cash (used in) provided by financing activities</w:t>
            </w:r>
          </w:p>
        </w:tc>
        <w:tc>
          <w:tcPr>
            <w:tcW w:w="2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(213,403)</w:t>
            </w: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25,277</w:t>
            </w:r>
          </w:p>
        </w:tc>
        <w:tc>
          <w:tcPr>
            <w:tcW w:w="0" w:type="dxa"/>
            <w:vAlign w:val="bottom"/>
          </w:tcPr>
          <w:p>
            <w:pPr>
              <w:spacing w:after="0"/>
              <w:rPr>
                <w:sz w:val="1"/>
                <w:szCs w:val="1"/>
                <w:color w:val="auto"/>
              </w:rPr>
            </w:pPr>
          </w:p>
        </w:tc>
      </w:tr>
      <w:tr>
        <w:trPr>
          <w:trHeight w:val="218"/>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cash equivalents, and restricted cash</w:t>
            </w:r>
          </w:p>
        </w:tc>
        <w:tc>
          <w:tcPr>
            <w:tcW w:w="210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16,195</w:t>
            </w:r>
          </w:p>
        </w:tc>
        <w:tc>
          <w:tcPr>
            <w:tcW w:w="12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(4,433)</w:t>
            </w:r>
          </w:p>
        </w:tc>
        <w:tc>
          <w:tcPr>
            <w:tcW w:w="0" w:type="dxa"/>
            <w:vAlign w:val="bottom"/>
          </w:tcPr>
          <w:p>
            <w:pPr>
              <w:spacing w:after="0"/>
              <w:rPr>
                <w:sz w:val="1"/>
                <w:szCs w:val="1"/>
                <w:color w:val="auto"/>
              </w:rPr>
            </w:pPr>
          </w:p>
        </w:tc>
      </w:tr>
      <w:tr>
        <w:trPr>
          <w:trHeight w:val="206"/>
        </w:trPr>
        <w:tc>
          <w:tcPr>
            <w:tcW w:w="5140" w:type="dxa"/>
            <w:vAlign w:val="bottom"/>
          </w:tcPr>
          <w:p>
            <w:pPr>
              <w:ind w:left="340"/>
              <w:spacing w:after="0"/>
              <w:rPr>
                <w:sz w:val="20"/>
                <w:szCs w:val="20"/>
                <w:color w:val="auto"/>
              </w:rPr>
            </w:pPr>
            <w:r>
              <w:rPr>
                <w:rFonts w:ascii="Times New Roman" w:cs="Times New Roman" w:eastAsia="Times New Roman" w:hAnsi="Times New Roman"/>
                <w:sz w:val="16"/>
                <w:szCs w:val="16"/>
                <w:b w:val="1"/>
                <w:bCs w:val="1"/>
                <w:color w:val="auto"/>
              </w:rPr>
              <w:t>Net (decrease) increase in cash, cash equivalents, and restricted cash</w:t>
            </w:r>
          </w:p>
        </w:tc>
        <w:tc>
          <w:tcPr>
            <w:tcW w:w="2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(129,918)</w:t>
            </w: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55,249</w:t>
            </w:r>
          </w:p>
        </w:tc>
        <w:tc>
          <w:tcPr>
            <w:tcW w:w="0" w:type="dxa"/>
            <w:vAlign w:val="bottom"/>
          </w:tcPr>
          <w:p>
            <w:pPr>
              <w:spacing w:after="0"/>
              <w:rPr>
                <w:sz w:val="1"/>
                <w:szCs w:val="1"/>
                <w:color w:val="auto"/>
              </w:rPr>
            </w:pPr>
          </w:p>
        </w:tc>
      </w:tr>
      <w:tr>
        <w:trPr>
          <w:trHeight w:val="218"/>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tc>
        <w:tc>
          <w:tcPr>
            <w:tcW w:w="210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723,556</w:t>
            </w:r>
          </w:p>
        </w:tc>
        <w:tc>
          <w:tcPr>
            <w:tcW w:w="12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577,872</w:t>
            </w:r>
          </w:p>
        </w:tc>
        <w:tc>
          <w:tcPr>
            <w:tcW w:w="0" w:type="dxa"/>
            <w:vAlign w:val="bottom"/>
          </w:tcPr>
          <w:p>
            <w:pPr>
              <w:spacing w:after="0"/>
              <w:rPr>
                <w:sz w:val="1"/>
                <w:szCs w:val="1"/>
                <w:color w:val="auto"/>
              </w:rPr>
            </w:pPr>
          </w:p>
        </w:tc>
      </w:tr>
      <w:tr>
        <w:trPr>
          <w:trHeight w:val="206"/>
        </w:trPr>
        <w:tc>
          <w:tcPr>
            <w:tcW w:w="5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end of period</w:t>
            </w:r>
          </w:p>
        </w:tc>
        <w:tc>
          <w:tcPr>
            <w:tcW w:w="2100" w:type="dxa"/>
            <w:vAlign w:val="bottom"/>
          </w:tcPr>
          <w:p>
            <w:pPr>
              <w:spacing w:after="0"/>
              <w:rPr>
                <w:sz w:val="17"/>
                <w:szCs w:val="17"/>
                <w:color w:val="auto"/>
              </w:rPr>
            </w:pPr>
          </w:p>
        </w:tc>
        <w:tc>
          <w:tcPr>
            <w:tcW w:w="1220" w:type="dxa"/>
            <w:vAlign w:val="bottom"/>
            <w:tcBorders>
              <w:bottom w:val="single" w:sz="8" w:color="auto"/>
            </w:tcBorders>
          </w:tcPr>
          <w:p>
            <w:pPr>
              <w:jc w:val="right"/>
              <w:ind w:right="1033"/>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593,638</w:t>
            </w:r>
          </w:p>
        </w:tc>
        <w:tc>
          <w:tcPr>
            <w:tcW w:w="120" w:type="dxa"/>
            <w:vAlign w:val="bottom"/>
          </w:tcPr>
          <w:p>
            <w:pPr>
              <w:spacing w:after="0"/>
              <w:rPr>
                <w:sz w:val="17"/>
                <w:szCs w:val="17"/>
                <w:color w:val="auto"/>
              </w:rPr>
            </w:pPr>
          </w:p>
        </w:tc>
        <w:tc>
          <w:tcPr>
            <w:tcW w:w="1220" w:type="dxa"/>
            <w:vAlign w:val="bottom"/>
            <w:tcBorders>
              <w:bottom w:val="single" w:sz="8" w:color="auto"/>
            </w:tcBorders>
          </w:tcPr>
          <w:p>
            <w:pPr>
              <w:jc w:val="right"/>
              <w:ind w:right="1036"/>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633,121</w:t>
            </w:r>
          </w:p>
        </w:tc>
        <w:tc>
          <w:tcPr>
            <w:tcW w:w="0" w:type="dxa"/>
            <w:vAlign w:val="bottom"/>
          </w:tcPr>
          <w:p>
            <w:pPr>
              <w:spacing w:after="0"/>
              <w:rPr>
                <w:sz w:val="1"/>
                <w:szCs w:val="1"/>
                <w:color w:val="auto"/>
              </w:rPr>
            </w:pPr>
          </w:p>
        </w:tc>
      </w:tr>
      <w:tr>
        <w:trPr>
          <w:trHeight w:val="23"/>
        </w:trPr>
        <w:tc>
          <w:tcPr>
            <w:tcW w:w="51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59690</wp:posOffset>
            </wp:positionV>
            <wp:extent cx="71583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11" w:name="page12"/>
    <w:bookmarkEnd w:id="11"/>
    <w:p>
      <w:pPr>
        <w:jc w:val="center"/>
        <w:ind w:right="-159"/>
        <w:spacing w:after="0"/>
        <w:rPr>
          <w:sz w:val="20"/>
          <w:szCs w:val="20"/>
          <w:color w:val="auto"/>
        </w:rPr>
      </w:pPr>
      <w:r>
        <w:rPr>
          <w:rFonts w:ascii="Times New Roman" w:cs="Times New Roman" w:eastAsia="Times New Roman" w:hAnsi="Times New Roman"/>
          <w:sz w:val="21"/>
          <w:szCs w:val="21"/>
          <w:b w:val="1"/>
          <w:bCs w:val="1"/>
          <w:color w:val="auto"/>
        </w:rPr>
        <w:t>LIVANOVA PLC AND SUBSIDIARIES</w:t>
      </w:r>
    </w:p>
    <w:p>
      <w:pPr>
        <w:spacing w:after="0" w:line="4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1"/>
          <w:szCs w:val="21"/>
          <w:b w:val="1"/>
          <w:bCs w:val="1"/>
          <w:color w:val="auto"/>
        </w:rPr>
        <w:t>NOTES TO THE CONDENSED CONSOLIDATED FINANCIAL STATEMENTS</w:t>
      </w:r>
    </w:p>
    <w:p>
      <w:pPr>
        <w:spacing w:after="0" w:line="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1"/>
          <w:szCs w:val="21"/>
          <w:b w:val="1"/>
          <w:bCs w:val="1"/>
          <w:color w:val="auto"/>
        </w:rPr>
        <w:t>(Unaudited)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 Unaudited Condensed Consolidated Financial Statements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Basis of Presentation</w:t>
      </w:r>
    </w:p>
    <w:p>
      <w:pPr>
        <w:spacing w:after="0" w:line="11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of LivaNova and the notes thereto as of and for the three and six months ended June 30, 2025 and 2024 have been prepared in accordance with U.S. GAAP for interim financial information and the instructions to Form 10-Q and Article 10 of Regulation S-X. The accompanying condensed consolidated balance sheet of LivaNova as of December 31, 2024 has been derived from audited consolidated financial statements contained in LivaNova’s 2024 Form 10-K but does not include all of the information and footnotes required by U.S. GAAP for complete financial statements. In the opinion of management, the condensed consolidated financial statements reflect all adjustments considered necessary for a fair statement of the operating results of LivaNova and its subsidiaries for the three and six months ended June 30, 2025 and are not necessarily indicative of the results that may be expected for the year ending December 31, 2025. The financial information presented herein should be read in conjunction with the audited consolidated financial statements and notes thereto accompanying LivaNova’s 2024 Form 10-K.</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Cybersecurity Incident</w:t>
      </w:r>
    </w:p>
    <w:p>
      <w:pPr>
        <w:spacing w:after="0" w:line="12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As previously disclosed, in November 2023, LivaNova detected a cybersecurity incident that resulted in a disruption of portions of the Company’s information technology systems. As a result, the Company engaged external cybersecurity experts, coordinated with law enforcement, implemented remediation measures, and notified affected individuals and regulators as required by applicable law. The incident was contained, and the Company’s mitigation efforts are considered complete. For further discussion on legal and regulatory developments, refer to “Note 5. Commitments and Contingencies.”</w:t>
      </w:r>
    </w:p>
    <w:p>
      <w:pPr>
        <w:spacing w:after="0" w:line="8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Through June 30, 2025, LivaNova incurred direct costs totaling $13.0 million in connection with this cybersecurity incident, including $0.6 million and $2.9 million for the three months ended June 30, 2025 and 2024, respectively, and $1.4 million and $5.7 million for the six months ended June 30, 2025 and 2024, respectively. The total direct costs incurred primarily include external cybersecurity expert and legal fees, system restoration costs, and $1.2 million related to a class action settlement, and do not include business interruption losses. The Company may incur additional costs related to this incident in the future. LivaNova maintains insurance, including cyber insurance, which is subject to certain retentions and policy limitations that will likely limit the amount that the insurers may reimburse the Company. LivaNova has filed claims for insurance reimbursement of direct costs and business interruption losses related to this incident and has submitted additional claims and supplemental requests for reimbursement as new costs have been incurred. Through June 30, 2025, LivaNova has received $9.6 million, including $6.2 million in reimbursement of direct costs and $3.4 million in reimbursement of business interruption losses. For the three and six months ended June 30, 2025, LivaNova received $1.0 million and $1.2 million, respectively, in reimbursement of direct costs. The Company’s insurance coverage may be insufficient to cover all costs and expenses related to this cybersecurity incident or may be unavailable to cover all costs and expenses related to this cybersecurity incident.</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Revision of Previously Issued Financial Statements</w:t>
      </w:r>
    </w:p>
    <w:p>
      <w:pPr>
        <w:spacing w:after="0" w:line="12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During the second quarter of 2025, the Company identified and corrected an immaterial error related to the classification of certain employee costs in the Cardiopulmonary segment between cost of sales and selling, general, and administrative expense in the consolidated statements of income (loss). This misclassification understated cost of sales and overstated selling, general, and administrative expense by equal and offsetting amounts, with no impact to operating income (loss) or net income (loss) for annual and interim periods for the years ended December 31, 2023 and 2024 and the three months ended March 31, 2025. The Company evaluated the error and determined that the related impact was not material to the consolidated statements of income for any prior period and had no impact on the consolidated balance sheets, statements of comprehensive income (loss), statements of cash flows, or statements of stockholders’ equity for any of the above periods. The Company has revised the previously issued condensed consolidated statements of income (loss) for the three and six months ended June 30, 2024 to correct for the error, and these revisions are reflected in this Form 10-Q. The Company will also correct previously reported financial information for this error in its future filings, as applicable. A summary of the corrections to the impacted financial statement line items in the previously issued consolidated statements of income (loss) and disaggregated Cardiopulmonary</w:t>
      </w:r>
    </w:p>
    <w:p>
      <w:pPr>
        <w:spacing w:after="0" w:line="200" w:lineRule="exact"/>
        <w:rPr>
          <w:sz w:val="20"/>
          <w:szCs w:val="20"/>
          <w:color w:val="auto"/>
        </w:rPr>
      </w:pPr>
    </w:p>
    <w:p>
      <w:pPr>
        <w:spacing w:after="0" w:line="31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140335</wp:posOffset>
            </wp:positionV>
            <wp:extent cx="71583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segment income disclosure for each affected period is presented in “Note 13. Revision of Previously Issued Financial Statements.”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Significant Accounting Policies</w:t>
      </w:r>
    </w:p>
    <w:p>
      <w:pPr>
        <w:spacing w:after="0" w:line="110"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8"/>
          <w:szCs w:val="18"/>
          <w:color w:val="auto"/>
        </w:rPr>
        <w:t>LivaNova’s significant accounting policies are included within “Note 2. Basis of Presentation, Use of Accounting Estimates, and Significant Accounting Policies” and “Note 3. Revenue Recognition” of LivaNova’s 2024 Form 10-K.</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2. Derivatives and Risk Management</w:t>
      </w:r>
    </w:p>
    <w:p>
      <w:pPr>
        <w:spacing w:after="0" w:line="128"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8"/>
          <w:szCs w:val="18"/>
          <w:color w:val="auto"/>
        </w:rPr>
        <w:t>Due to the global nature of LivaNova’s operations, the Company is exposed to FX fluctuations. LivaNova enters into FX derivative contracts to reduce the impact of FX fluctuations on earnings and cash flow.</w:t>
      </w:r>
    </w:p>
    <w:p>
      <w:pPr>
        <w:spacing w:after="0" w:line="6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color w:val="auto"/>
        </w:rPr>
        <w:t>LivaNova is also exposed to equity price risk in connection with its 2025 Notes and 2029 Notes, including exchange/conversion and settlement provisions based on the price of its ordinary shares at exchange/conversion or maturity of the 2025 Notes and 2029 Notes. The Capped Call Transactions associated with the 2025 Notes and 2029 Notes also include settlement provisions that are based on the price of LivaNova’s ordinary shares, subject to a capped price per share. LivaNova does not enter into derivative contracts for speculative purposes.</w:t>
      </w:r>
    </w:p>
    <w:p>
      <w:pPr>
        <w:spacing w:after="0" w:line="8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LivaNova measures all outstanding derivatives each period-end at fair value and reports the fair value as either financial assets or liabilities on the condensed consolidated balance sheets. At the inception of the contract, the derivative is designated as either a freestanding derivative or a hedge. Derivatives that are not designated as hedging instruments are referred to as freestanding derivatives, with changes in fair value included in earnings. These derivatives are intended to serve as economic hedges and follow the cash flows of the economic hedged item. The cash flows from these derivative contracts are reported as operating activities in LivaNova’s condensed consolidated statements of cash flows. LivaNova had no designated hedging instruments as of June 30, 2025 and December 31, 2024.</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Freestanding FX Derivatives</w:t>
      </w:r>
    </w:p>
    <w:p>
      <w:pPr>
        <w:spacing w:after="0" w:line="11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gross notional amount of freestanding FX derivative contracts not designated as hedging instruments outstanding as of June 30, 2025 and December 31, 2024 was $427.8 million and $442.3 million, respectively. These derivative contracts are designed to offset the FX effects in earnings of various intercompany loans and trade receivables. LivaNova recorded net gains of $15.0 million and $1.7 million for these freestanding derivatives for the three months ended June 30, 2025 and 2024, respectively. LivaNova recorded net gains of $25.4 million and $4.9 million for these freestanding derivatives for the six months ended June 30, 2025 and 2024, respectively. These amounts are included in foreign exchange and other income/(expense) in LivaNova’s condensed consolidated statements of income (loss).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Capped Call Derivatives</w:t>
      </w:r>
    </w:p>
    <w:p>
      <w:pPr>
        <w:spacing w:after="0" w:line="11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The Capped Call Transactions are carried on the condensed consolidated balance sheets as a derivative asset at their estimated fair value and are adjusted at the end of each reporting period, with unrealized gain or loss reflected in foreign exchange and other income/(expense) in the condensed consolidated statements of income (loss). The Capped Call Transactions are measured at fair value using the Black-Scholes model utilizing observable and unobservable market data, including stock price, remaining contractual term, expected volatility, risk-free interest rate, and expected dividend yield, as applicable. For additional information regarding the Capped Call Transactions, refer to LivaNova’s 2024 Form 10-K.</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Embedded Derivatives</w:t>
      </w:r>
    </w:p>
    <w:p>
      <w:pPr>
        <w:spacing w:after="0" w:line="12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color w:val="auto"/>
        </w:rPr>
        <w:t>The 2025 Notes and 2029 Notes each include terms resulting in a bifurcated embedded derivative. The Embedded Derivatives are measured at fair value using a binomial lattice model and estimated discounted cash flows that utilize observable and unobservable market data and are adjusted at the end of each reporting period, with the unrealized gain or loss reflected in foreign exchange and other income/(expense) in the condensed consolidated statements of income (loss).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Counterparty Credit Risk</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LivaNova is exposed to credit risk in the event of non-performance by the counterparties to the Company’s derivatives.</w:t>
      </w:r>
    </w:p>
    <w:p>
      <w:pPr>
        <w:spacing w:after="0" w:line="11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color w:val="auto"/>
        </w:rPr>
        <w:t>The Option Counterparties are financial institutions. To limit LivaNova’s credit risk, the Company selected financial institutions with a minimum long-term investment grade credit rating. LivaNova’s exposure to the credit risk of the Option Counterparties is not secured by any collateral. If one or more of the Option Counterparties becomes subject to insolvency proceedings, LivaNova will become an unsecured creditor in those proceedings, with a claim equal to the Company’s exposure at that time under the 2025 Capped Calls and/or 2029 Capped Calls, as applicable, with that Option Counterparty.</w:t>
      </w:r>
    </w:p>
    <w:p>
      <w:pPr>
        <w:spacing w:after="0" w:line="200" w:lineRule="exact"/>
        <w:rPr>
          <w:sz w:val="20"/>
          <w:szCs w:val="20"/>
          <w:color w:val="auto"/>
        </w:rPr>
      </w:pPr>
    </w:p>
    <w:p>
      <w:pPr>
        <w:spacing w:after="0" w:line="31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149225</wp:posOffset>
            </wp:positionV>
            <wp:extent cx="71583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3" w:name="page14"/>
    <w:bookmarkEnd w:id="13"/>
    <w:p>
      <w:pPr>
        <w:jc w:val="both"/>
        <w:spacing w:after="0" w:line="269" w:lineRule="auto"/>
        <w:rPr>
          <w:sz w:val="20"/>
          <w:szCs w:val="20"/>
          <w:color w:val="auto"/>
        </w:rPr>
      </w:pPr>
      <w:r>
        <w:rPr>
          <w:rFonts w:ascii="Times New Roman" w:cs="Times New Roman" w:eastAsia="Times New Roman" w:hAnsi="Times New Roman"/>
          <w:sz w:val="18"/>
          <w:szCs w:val="18"/>
          <w:color w:val="auto"/>
        </w:rPr>
        <w:t>To manage credit risk with respect to LivaNova’s other derivatives, the Company selects and periodically reviews counterparties based on credit ratings, limits its exposure with respect to each counterparty, and monitors their respective market positions. However, if one or more of these counterparties were in a liability position to the Company and were unable to meet their obligations, any transactions with the counterparty could be subject to early termination, which could result in substantial losses for the Company.</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Balance Sheet Presentation</w:t>
      </w:r>
    </w:p>
    <w:p>
      <w:pPr>
        <w:spacing w:after="0" w:line="11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8"/>
          <w:szCs w:val="18"/>
          <w:color w:val="auto"/>
        </w:rPr>
        <w:t>LivaNova offsets fair value amounts associated with its derivative instruments that are executed with the same counterparty under master netting arrangements on the Company’s condensed consolidated balance sheets. Master netting arrangements include a right to set off or net together purchases and sales of similar products in the settlement process.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the fair value and the location of derivative contracts reported on the condensed consolidated balance sheets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680" w:type="dxa"/>
            <w:vAlign w:val="bottom"/>
          </w:tcPr>
          <w:p>
            <w:pPr>
              <w:spacing w:after="0"/>
              <w:rPr>
                <w:sz w:val="20"/>
                <w:szCs w:val="20"/>
                <w:color w:val="auto"/>
              </w:rPr>
            </w:pPr>
          </w:p>
        </w:tc>
        <w:tc>
          <w:tcPr>
            <w:tcW w:w="2520" w:type="dxa"/>
            <w:vAlign w:val="bottom"/>
            <w:tcBorders>
              <w:bottom w:val="single" w:sz="8" w:color="auto"/>
            </w:tcBorders>
            <w:gridSpan w:val="2"/>
          </w:tcPr>
          <w:p>
            <w:pPr>
              <w:ind w:left="1200"/>
              <w:spacing w:after="0"/>
              <w:rPr>
                <w:sz w:val="20"/>
                <w:szCs w:val="20"/>
                <w:color w:val="auto"/>
              </w:rPr>
            </w:pPr>
            <w:r>
              <w:rPr>
                <w:rFonts w:ascii="Times New Roman" w:cs="Times New Roman" w:eastAsia="Times New Roman" w:hAnsi="Times New Roman"/>
                <w:sz w:val="18"/>
                <w:szCs w:val="18"/>
                <w:b w:val="1"/>
                <w:bCs w:val="1"/>
                <w:color w:val="auto"/>
                <w:w w:val="98"/>
              </w:rPr>
              <w:t>Derivative Assets</w:t>
            </w:r>
          </w:p>
        </w:tc>
        <w:tc>
          <w:tcPr>
            <w:tcW w:w="11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720" w:type="dxa"/>
            <w:vAlign w:val="bottom"/>
            <w:tcBorders>
              <w:bottom w:val="single" w:sz="8" w:color="auto"/>
            </w:tcBorders>
            <w:gridSpan w:val="3"/>
          </w:tcPr>
          <w:p>
            <w:pPr>
              <w:jc w:val="right"/>
              <w:ind w:right="970"/>
              <w:spacing w:after="0"/>
              <w:rPr>
                <w:sz w:val="20"/>
                <w:szCs w:val="20"/>
                <w:color w:val="auto"/>
              </w:rPr>
            </w:pPr>
            <w:r>
              <w:rPr>
                <w:rFonts w:ascii="Times New Roman" w:cs="Times New Roman" w:eastAsia="Times New Roman" w:hAnsi="Times New Roman"/>
                <w:sz w:val="18"/>
                <w:szCs w:val="18"/>
                <w:b w:val="1"/>
                <w:bCs w:val="1"/>
                <w:color w:val="auto"/>
              </w:rPr>
              <w:t>Derivative Liabilities</w:t>
            </w:r>
          </w:p>
        </w:tc>
        <w:tc>
          <w:tcPr>
            <w:tcW w:w="0" w:type="dxa"/>
            <w:vAlign w:val="bottom"/>
          </w:tcPr>
          <w:p>
            <w:pPr>
              <w:spacing w:after="0"/>
              <w:rPr>
                <w:sz w:val="1"/>
                <w:szCs w:val="1"/>
                <w:color w:val="auto"/>
              </w:rPr>
            </w:pPr>
          </w:p>
        </w:tc>
      </w:tr>
      <w:tr>
        <w:trPr>
          <w:trHeight w:val="222"/>
        </w:trPr>
        <w:tc>
          <w:tcPr>
            <w:tcW w:w="3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23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Balance Sheet Location</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90"/>
              <w:spacing w:after="0" w:line="222" w:lineRule="exact"/>
              <w:rPr>
                <w:sz w:val="20"/>
                <w:szCs w:val="20"/>
                <w:color w:val="auto"/>
              </w:rPr>
            </w:pPr>
            <w:r>
              <w:rPr>
                <w:rFonts w:ascii="Times New Roman" w:cs="Times New Roman" w:eastAsia="Times New Roman" w:hAnsi="Times New Roman"/>
                <w:sz w:val="18"/>
                <w:szCs w:val="18"/>
                <w:b w:val="1"/>
                <w:bCs w:val="1"/>
                <w:color w:val="auto"/>
                <w:w w:val="93"/>
              </w:rPr>
              <w:t xml:space="preserve">Fair Value </w:t>
            </w:r>
            <w:r>
              <w:rPr>
                <w:rFonts w:ascii="Times New Roman" w:cs="Times New Roman" w:eastAsia="Times New Roman" w:hAnsi="Times New Roman"/>
                <w:sz w:val="23"/>
                <w:szCs w:val="23"/>
                <w:b w:val="1"/>
                <w:bCs w:val="1"/>
                <w:color w:val="auto"/>
                <w:w w:val="93"/>
                <w:vertAlign w:val="superscript"/>
              </w:rPr>
              <w:t>(1)</w:t>
            </w:r>
          </w:p>
        </w:tc>
        <w:tc>
          <w:tcPr>
            <w:tcW w:w="12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Balance Sheet Location</w:t>
            </w: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10"/>
              <w:spacing w:after="0" w:line="222" w:lineRule="exact"/>
              <w:rPr>
                <w:sz w:val="20"/>
                <w:szCs w:val="20"/>
                <w:color w:val="auto"/>
              </w:rPr>
            </w:pPr>
            <w:r>
              <w:rPr>
                <w:rFonts w:ascii="Times New Roman" w:cs="Times New Roman" w:eastAsia="Times New Roman" w:hAnsi="Times New Roman"/>
                <w:sz w:val="18"/>
                <w:szCs w:val="18"/>
                <w:b w:val="1"/>
                <w:bCs w:val="1"/>
                <w:color w:val="auto"/>
                <w:w w:val="97"/>
              </w:rPr>
              <w:t xml:space="preserve">Fair Value </w:t>
            </w:r>
            <w:r>
              <w:rPr>
                <w:rFonts w:ascii="Times New Roman" w:cs="Times New Roman" w:eastAsia="Times New Roman" w:hAnsi="Times New Roman"/>
                <w:sz w:val="23"/>
                <w:szCs w:val="23"/>
                <w:b w:val="1"/>
                <w:bCs w:val="1"/>
                <w:color w:val="auto"/>
                <w:w w:val="97"/>
                <w:vertAlign w:val="superscript"/>
              </w:rPr>
              <w:t>(1)</w:t>
            </w:r>
          </w:p>
        </w:tc>
        <w:tc>
          <w:tcPr>
            <w:tcW w:w="0" w:type="dxa"/>
            <w:vAlign w:val="bottom"/>
          </w:tcPr>
          <w:p>
            <w:pPr>
              <w:spacing w:after="0"/>
              <w:rPr>
                <w:sz w:val="1"/>
                <w:szCs w:val="1"/>
                <w:color w:val="auto"/>
              </w:rPr>
            </w:pPr>
          </w:p>
        </w:tc>
      </w:tr>
      <w:tr>
        <w:trPr>
          <w:trHeight w:val="222"/>
        </w:trPr>
        <w:tc>
          <w:tcPr>
            <w:tcW w:w="60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Not Designated as Hedging Instruments:</w:t>
            </w: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68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8"/>
                <w:szCs w:val="18"/>
                <w:color w:val="auto"/>
              </w:rPr>
              <w:t>Capped call derivatives (2025 Notes)</w:t>
            </w:r>
          </w:p>
        </w:tc>
        <w:tc>
          <w:tcPr>
            <w:tcW w:w="234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8"/>
                <w:szCs w:val="18"/>
                <w:color w:val="auto"/>
              </w:rPr>
              <w:t>Prepaid expenses and other</w:t>
            </w: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3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3680" w:type="dxa"/>
            <w:vAlign w:val="bottom"/>
            <w:shd w:val="clear" w:color="auto" w:fill="CCEEFF"/>
          </w:tcPr>
          <w:p>
            <w:pPr>
              <w:spacing w:after="0"/>
              <w:rPr>
                <w:sz w:val="21"/>
                <w:szCs w:val="21"/>
                <w:color w:val="auto"/>
              </w:rPr>
            </w:pPr>
          </w:p>
        </w:tc>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w:t>
            </w:r>
          </w:p>
        </w:tc>
        <w:tc>
          <w:tcPr>
            <w:tcW w:w="120" w:type="dxa"/>
            <w:vAlign w:val="bottom"/>
            <w:shd w:val="clear" w:color="auto" w:fill="CCEEFF"/>
          </w:tcPr>
          <w:p>
            <w:pPr>
              <w:spacing w:after="0"/>
              <w:rPr>
                <w:sz w:val="21"/>
                <w:szCs w:val="21"/>
                <w:color w:val="auto"/>
              </w:rPr>
            </w:pPr>
          </w:p>
        </w:tc>
        <w:tc>
          <w:tcPr>
            <w:tcW w:w="23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Capped call derivatives (2029 Notes)</w:t>
            </w:r>
          </w:p>
        </w:tc>
        <w:tc>
          <w:tcPr>
            <w:tcW w:w="2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derivative assets</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21,658</w:t>
            </w:r>
          </w:p>
        </w:tc>
        <w:tc>
          <w:tcPr>
            <w:tcW w:w="12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Embedded derivative (2025 Notes)</w:t>
            </w:r>
          </w:p>
        </w:tc>
        <w:tc>
          <w:tcPr>
            <w:tcW w:w="2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liabilities and other</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w:t>
            </w:r>
          </w:p>
        </w:tc>
        <w:tc>
          <w:tcPr>
            <w:tcW w:w="0" w:type="dxa"/>
            <w:vAlign w:val="bottom"/>
          </w:tcPr>
          <w:p>
            <w:pPr>
              <w:spacing w:after="0"/>
              <w:rPr>
                <w:sz w:val="1"/>
                <w:szCs w:val="1"/>
                <w:color w:val="auto"/>
              </w:rPr>
            </w:pPr>
          </w:p>
        </w:tc>
      </w:tr>
      <w:tr>
        <w:trPr>
          <w:trHeight w:val="175"/>
        </w:trPr>
        <w:tc>
          <w:tcPr>
            <w:tcW w:w="3680" w:type="dxa"/>
            <w:vAlign w:val="bottom"/>
          </w:tcPr>
          <w:p>
            <w:pPr>
              <w:ind w:left="20"/>
              <w:spacing w:after="0" w:line="175" w:lineRule="exact"/>
              <w:rPr>
                <w:sz w:val="20"/>
                <w:szCs w:val="20"/>
                <w:color w:val="auto"/>
              </w:rPr>
            </w:pPr>
            <w:r>
              <w:rPr>
                <w:rFonts w:ascii="Times New Roman" w:cs="Times New Roman" w:eastAsia="Times New Roman" w:hAnsi="Times New Roman"/>
                <w:sz w:val="18"/>
                <w:szCs w:val="18"/>
                <w:color w:val="auto"/>
              </w:rPr>
              <w:t>Embedded derivative (2029 Notes)</w:t>
            </w:r>
          </w:p>
        </w:tc>
        <w:tc>
          <w:tcPr>
            <w:tcW w:w="2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20" w:type="dxa"/>
            <w:vAlign w:val="bottom"/>
          </w:tcPr>
          <w:p>
            <w:pPr>
              <w:spacing w:after="0" w:line="175" w:lineRule="exact"/>
              <w:rPr>
                <w:sz w:val="20"/>
                <w:szCs w:val="20"/>
                <w:color w:val="auto"/>
              </w:rPr>
            </w:pPr>
            <w:r>
              <w:rPr>
                <w:rFonts w:ascii="Times New Roman" w:cs="Times New Roman" w:eastAsia="Times New Roman" w:hAnsi="Times New Roman"/>
                <w:sz w:val="18"/>
                <w:szCs w:val="18"/>
                <w:color w:val="auto"/>
              </w:rPr>
              <w:t>Long-term derivative</w:t>
            </w: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368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48,093</w:t>
            </w:r>
          </w:p>
        </w:tc>
        <w:tc>
          <w:tcPr>
            <w:tcW w:w="0" w:type="dxa"/>
            <w:vAlign w:val="bottom"/>
          </w:tcPr>
          <w:p>
            <w:pPr>
              <w:spacing w:after="0"/>
              <w:rPr>
                <w:sz w:val="1"/>
                <w:szCs w:val="1"/>
                <w:color w:val="auto"/>
              </w:rPr>
            </w:pPr>
          </w:p>
        </w:tc>
      </w:tr>
      <w:tr>
        <w:trPr>
          <w:trHeight w:val="175"/>
        </w:trPr>
        <w:tc>
          <w:tcPr>
            <w:tcW w:w="368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8"/>
                <w:szCs w:val="18"/>
                <w:color w:val="auto"/>
              </w:rPr>
              <w:t>FX derivative contracts</w:t>
            </w:r>
          </w:p>
        </w:tc>
        <w:tc>
          <w:tcPr>
            <w:tcW w:w="234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8"/>
                <w:szCs w:val="18"/>
                <w:color w:val="auto"/>
              </w:rPr>
              <w:t>Prepaid expenses and other</w:t>
            </w: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3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3680" w:type="dxa"/>
            <w:vAlign w:val="bottom"/>
            <w:shd w:val="clear" w:color="auto" w:fill="CCEEFF"/>
          </w:tcPr>
          <w:p>
            <w:pPr>
              <w:spacing w:after="0"/>
              <w:rPr>
                <w:sz w:val="21"/>
                <w:szCs w:val="21"/>
                <w:color w:val="auto"/>
              </w:rPr>
            </w:pPr>
          </w:p>
        </w:tc>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9,373</w:t>
            </w:r>
          </w:p>
        </w:tc>
        <w:tc>
          <w:tcPr>
            <w:tcW w:w="120" w:type="dxa"/>
            <w:vAlign w:val="bottom"/>
            <w:shd w:val="clear" w:color="auto" w:fill="CCEEFF"/>
          </w:tcPr>
          <w:p>
            <w:pPr>
              <w:spacing w:after="0"/>
              <w:rPr>
                <w:sz w:val="21"/>
                <w:szCs w:val="21"/>
                <w:color w:val="auto"/>
              </w:rPr>
            </w:pPr>
          </w:p>
        </w:tc>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liabilities and other</w:t>
            </w:r>
          </w:p>
        </w:tc>
        <w:tc>
          <w:tcPr>
            <w:tcW w:w="1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55"/>
        </w:trPr>
        <w:tc>
          <w:tcPr>
            <w:tcW w:w="3680" w:type="dxa"/>
            <w:vAlign w:val="bottom"/>
          </w:tcPr>
          <w:p>
            <w:pPr>
              <w:ind w:left="20"/>
              <w:spacing w:after="0" w:line="154" w:lineRule="exact"/>
              <w:rPr>
                <w:sz w:val="20"/>
                <w:szCs w:val="20"/>
                <w:color w:val="auto"/>
              </w:rPr>
            </w:pPr>
            <w:r>
              <w:rPr>
                <w:rFonts w:ascii="Times New Roman" w:cs="Times New Roman" w:eastAsia="Times New Roman" w:hAnsi="Times New Roman"/>
                <w:sz w:val="17"/>
                <w:szCs w:val="17"/>
                <w:color w:val="auto"/>
              </w:rPr>
              <w:t>Total derivatives not designated as hedging</w:t>
            </w:r>
          </w:p>
        </w:tc>
        <w:tc>
          <w:tcPr>
            <w:tcW w:w="2340" w:type="dxa"/>
            <w:vAlign w:val="bottom"/>
          </w:tcPr>
          <w:p>
            <w:pPr>
              <w:spacing w:after="0"/>
              <w:rPr>
                <w:sz w:val="13"/>
                <w:szCs w:val="13"/>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32,334</w:t>
            </w:r>
          </w:p>
        </w:tc>
        <w:tc>
          <w:tcPr>
            <w:tcW w:w="12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49,462</w:t>
            </w:r>
          </w:p>
        </w:tc>
        <w:tc>
          <w:tcPr>
            <w:tcW w:w="0" w:type="dxa"/>
            <w:vAlign w:val="bottom"/>
          </w:tcPr>
          <w:p>
            <w:pPr>
              <w:spacing w:after="0"/>
              <w:rPr>
                <w:sz w:val="1"/>
                <w:szCs w:val="1"/>
                <w:color w:val="auto"/>
              </w:rPr>
            </w:pPr>
          </w:p>
        </w:tc>
      </w:tr>
      <w:tr>
        <w:trPr>
          <w:trHeight w:val="220"/>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instruments</w:t>
            </w:r>
          </w:p>
        </w:tc>
        <w:tc>
          <w:tcPr>
            <w:tcW w:w="2340" w:type="dxa"/>
            <w:vAlign w:val="bottom"/>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6" w:lineRule="exact"/>
        <w:rPr>
          <w:sz w:val="20"/>
          <w:szCs w:val="20"/>
          <w:color w:val="auto"/>
        </w:rPr>
      </w:pPr>
    </w:p>
    <w:p>
      <w:pPr>
        <w:ind w:left="640" w:hanging="310"/>
        <w:spacing w:after="0"/>
        <w:tabs>
          <w:tab w:leader="none" w:pos="640" w:val="left"/>
        </w:tabs>
        <w:numPr>
          <w:ilvl w:val="0"/>
          <w:numId w:val="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For the classification of inputs used to evaluate the fair value of LivaNova’s derivatives, refer to “Note 3. Fair Value Measurements.”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700" w:type="dxa"/>
            <w:vAlign w:val="bottom"/>
          </w:tcPr>
          <w:p>
            <w:pPr>
              <w:spacing w:after="0"/>
              <w:rPr>
                <w:sz w:val="20"/>
                <w:szCs w:val="20"/>
                <w:color w:val="auto"/>
              </w:rPr>
            </w:pPr>
          </w:p>
        </w:tc>
        <w:tc>
          <w:tcPr>
            <w:tcW w:w="2520" w:type="dxa"/>
            <w:vAlign w:val="bottom"/>
            <w:tcBorders>
              <w:bottom w:val="single" w:sz="8" w:color="auto"/>
            </w:tcBorders>
            <w:gridSpan w:val="2"/>
          </w:tcPr>
          <w:p>
            <w:pPr>
              <w:ind w:left="1200"/>
              <w:spacing w:after="0"/>
              <w:rPr>
                <w:sz w:val="20"/>
                <w:szCs w:val="20"/>
                <w:color w:val="auto"/>
              </w:rPr>
            </w:pPr>
            <w:r>
              <w:rPr>
                <w:rFonts w:ascii="Times New Roman" w:cs="Times New Roman" w:eastAsia="Times New Roman" w:hAnsi="Times New Roman"/>
                <w:sz w:val="18"/>
                <w:szCs w:val="18"/>
                <w:b w:val="1"/>
                <w:bCs w:val="1"/>
                <w:color w:val="auto"/>
                <w:w w:val="98"/>
              </w:rPr>
              <w:t>Derivative Assets</w:t>
            </w:r>
          </w:p>
        </w:tc>
        <w:tc>
          <w:tcPr>
            <w:tcW w:w="12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720" w:type="dxa"/>
            <w:vAlign w:val="bottom"/>
            <w:tcBorders>
              <w:bottom w:val="single" w:sz="8" w:color="auto"/>
            </w:tcBorders>
            <w:gridSpan w:val="3"/>
          </w:tcPr>
          <w:p>
            <w:pPr>
              <w:jc w:val="right"/>
              <w:ind w:right="970"/>
              <w:spacing w:after="0"/>
              <w:rPr>
                <w:sz w:val="20"/>
                <w:szCs w:val="20"/>
                <w:color w:val="auto"/>
              </w:rPr>
            </w:pPr>
            <w:r>
              <w:rPr>
                <w:rFonts w:ascii="Times New Roman" w:cs="Times New Roman" w:eastAsia="Times New Roman" w:hAnsi="Times New Roman"/>
                <w:sz w:val="18"/>
                <w:szCs w:val="18"/>
                <w:b w:val="1"/>
                <w:bCs w:val="1"/>
                <w:color w:val="auto"/>
              </w:rPr>
              <w:t>Derivative Liabilities</w:t>
            </w:r>
          </w:p>
        </w:tc>
        <w:tc>
          <w:tcPr>
            <w:tcW w:w="0" w:type="dxa"/>
            <w:vAlign w:val="bottom"/>
          </w:tcPr>
          <w:p>
            <w:pPr>
              <w:spacing w:after="0"/>
              <w:rPr>
                <w:sz w:val="1"/>
                <w:szCs w:val="1"/>
                <w:color w:val="auto"/>
              </w:rPr>
            </w:pPr>
          </w:p>
        </w:tc>
      </w:tr>
      <w:tr>
        <w:trPr>
          <w:trHeight w:val="222"/>
        </w:trPr>
        <w:tc>
          <w:tcPr>
            <w:tcW w:w="3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3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Balance Sheet Location</w:t>
            </w: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10"/>
              <w:spacing w:after="0" w:line="222" w:lineRule="exact"/>
              <w:rPr>
                <w:sz w:val="20"/>
                <w:szCs w:val="20"/>
                <w:color w:val="auto"/>
              </w:rPr>
            </w:pPr>
            <w:r>
              <w:rPr>
                <w:rFonts w:ascii="Times New Roman" w:cs="Times New Roman" w:eastAsia="Times New Roman" w:hAnsi="Times New Roman"/>
                <w:sz w:val="18"/>
                <w:szCs w:val="18"/>
                <w:b w:val="1"/>
                <w:bCs w:val="1"/>
                <w:color w:val="auto"/>
                <w:w w:val="93"/>
              </w:rPr>
              <w:t xml:space="preserve">Fair Value </w:t>
            </w:r>
            <w:r>
              <w:rPr>
                <w:rFonts w:ascii="Times New Roman" w:cs="Times New Roman" w:eastAsia="Times New Roman" w:hAnsi="Times New Roman"/>
                <w:sz w:val="23"/>
                <w:szCs w:val="23"/>
                <w:b w:val="1"/>
                <w:bCs w:val="1"/>
                <w:color w:val="auto"/>
                <w:w w:val="93"/>
                <w:vertAlign w:val="superscript"/>
              </w:rPr>
              <w:t>(1)</w:t>
            </w:r>
          </w:p>
        </w:tc>
        <w:tc>
          <w:tcPr>
            <w:tcW w:w="10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Balance Sheet Location</w:t>
            </w: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10"/>
              <w:spacing w:after="0" w:line="222" w:lineRule="exact"/>
              <w:rPr>
                <w:sz w:val="20"/>
                <w:szCs w:val="20"/>
                <w:color w:val="auto"/>
              </w:rPr>
            </w:pPr>
            <w:r>
              <w:rPr>
                <w:rFonts w:ascii="Times New Roman" w:cs="Times New Roman" w:eastAsia="Times New Roman" w:hAnsi="Times New Roman"/>
                <w:sz w:val="18"/>
                <w:szCs w:val="18"/>
                <w:b w:val="1"/>
                <w:bCs w:val="1"/>
                <w:color w:val="auto"/>
                <w:w w:val="95"/>
              </w:rPr>
              <w:t xml:space="preserve">Fair Value </w:t>
            </w:r>
            <w:r>
              <w:rPr>
                <w:rFonts w:ascii="Times New Roman" w:cs="Times New Roman" w:eastAsia="Times New Roman" w:hAnsi="Times New Roman"/>
                <w:sz w:val="23"/>
                <w:szCs w:val="23"/>
                <w:b w:val="1"/>
                <w:bCs w:val="1"/>
                <w:color w:val="auto"/>
                <w:w w:val="95"/>
                <w:vertAlign w:val="superscript"/>
              </w:rPr>
              <w:t>(1)</w:t>
            </w:r>
          </w:p>
        </w:tc>
        <w:tc>
          <w:tcPr>
            <w:tcW w:w="0" w:type="dxa"/>
            <w:vAlign w:val="bottom"/>
          </w:tcPr>
          <w:p>
            <w:pPr>
              <w:spacing w:after="0"/>
              <w:rPr>
                <w:sz w:val="1"/>
                <w:szCs w:val="1"/>
                <w:color w:val="auto"/>
              </w:rPr>
            </w:pPr>
          </w:p>
        </w:tc>
      </w:tr>
      <w:tr>
        <w:trPr>
          <w:trHeight w:val="222"/>
        </w:trPr>
        <w:tc>
          <w:tcPr>
            <w:tcW w:w="60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Not Designated as Hedging Instruments:</w:t>
            </w: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3700" w:type="dxa"/>
            <w:vAlign w:val="bottom"/>
            <w:shd w:val="clear" w:color="auto" w:fill="CCEEFF"/>
          </w:tcPr>
          <w:p>
            <w:pPr>
              <w:ind w:left="20"/>
              <w:spacing w:after="0" w:line="183" w:lineRule="exact"/>
              <w:rPr>
                <w:sz w:val="20"/>
                <w:szCs w:val="20"/>
                <w:color w:val="auto"/>
              </w:rPr>
            </w:pPr>
            <w:r>
              <w:rPr>
                <w:rFonts w:ascii="Times New Roman" w:cs="Times New Roman" w:eastAsia="Times New Roman" w:hAnsi="Times New Roman"/>
                <w:sz w:val="18"/>
                <w:szCs w:val="18"/>
                <w:color w:val="auto"/>
              </w:rPr>
              <w:t>Capped call derivatives (2025 Notes)</w:t>
            </w:r>
          </w:p>
        </w:tc>
        <w:tc>
          <w:tcPr>
            <w:tcW w:w="2340" w:type="dxa"/>
            <w:vAlign w:val="bottom"/>
            <w:shd w:val="clear" w:color="auto" w:fill="CCEEFF"/>
          </w:tcPr>
          <w:p>
            <w:pPr>
              <w:ind w:left="20"/>
              <w:spacing w:after="0" w:line="183" w:lineRule="exact"/>
              <w:rPr>
                <w:sz w:val="20"/>
                <w:szCs w:val="20"/>
                <w:color w:val="auto"/>
              </w:rPr>
            </w:pPr>
            <w:r>
              <w:rPr>
                <w:rFonts w:ascii="Times New Roman" w:cs="Times New Roman" w:eastAsia="Times New Roman" w:hAnsi="Times New Roman"/>
                <w:sz w:val="18"/>
                <w:szCs w:val="18"/>
                <w:color w:val="auto"/>
              </w:rPr>
              <w:t>Prepaid expenses and other</w:t>
            </w: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3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3700" w:type="dxa"/>
            <w:vAlign w:val="bottom"/>
            <w:shd w:val="clear" w:color="auto" w:fill="CCEEFF"/>
          </w:tcPr>
          <w:p>
            <w:pPr>
              <w:spacing w:after="0"/>
              <w:rPr>
                <w:sz w:val="20"/>
                <w:szCs w:val="20"/>
                <w:color w:val="auto"/>
              </w:rPr>
            </w:pPr>
          </w:p>
        </w:tc>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2,624</w:t>
            </w:r>
          </w:p>
        </w:tc>
        <w:tc>
          <w:tcPr>
            <w:tcW w:w="100" w:type="dxa"/>
            <w:vAlign w:val="bottom"/>
            <w:shd w:val="clear" w:color="auto" w:fill="CCEEFF"/>
          </w:tcPr>
          <w:p>
            <w:pPr>
              <w:spacing w:after="0"/>
              <w:rPr>
                <w:sz w:val="20"/>
                <w:szCs w:val="20"/>
                <w:color w:val="auto"/>
              </w:rPr>
            </w:pPr>
          </w:p>
        </w:tc>
        <w:tc>
          <w:tcPr>
            <w:tcW w:w="23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Capped call derivatives (2029 Notes)</w:t>
            </w:r>
          </w:p>
        </w:tc>
        <w:tc>
          <w:tcPr>
            <w:tcW w:w="2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derivative assets</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23,735</w:t>
            </w:r>
          </w:p>
        </w:tc>
        <w:tc>
          <w:tcPr>
            <w:tcW w:w="10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Embedded derivative (2025 Notes)</w:t>
            </w:r>
          </w:p>
        </w:tc>
        <w:tc>
          <w:tcPr>
            <w:tcW w:w="2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liabilities and other</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2,915</w:t>
            </w:r>
          </w:p>
        </w:tc>
        <w:tc>
          <w:tcPr>
            <w:tcW w:w="0" w:type="dxa"/>
            <w:vAlign w:val="bottom"/>
          </w:tcPr>
          <w:p>
            <w:pPr>
              <w:spacing w:after="0"/>
              <w:rPr>
                <w:sz w:val="1"/>
                <w:szCs w:val="1"/>
                <w:color w:val="auto"/>
              </w:rPr>
            </w:pPr>
          </w:p>
        </w:tc>
      </w:tr>
      <w:tr>
        <w:trPr>
          <w:trHeight w:val="183"/>
        </w:trPr>
        <w:tc>
          <w:tcPr>
            <w:tcW w:w="3700" w:type="dxa"/>
            <w:vAlign w:val="bottom"/>
          </w:tcPr>
          <w:p>
            <w:pPr>
              <w:ind w:left="20"/>
              <w:spacing w:after="0" w:line="183" w:lineRule="exact"/>
              <w:rPr>
                <w:sz w:val="20"/>
                <w:szCs w:val="20"/>
                <w:color w:val="auto"/>
              </w:rPr>
            </w:pPr>
            <w:r>
              <w:rPr>
                <w:rFonts w:ascii="Times New Roman" w:cs="Times New Roman" w:eastAsia="Times New Roman" w:hAnsi="Times New Roman"/>
                <w:sz w:val="18"/>
                <w:szCs w:val="18"/>
                <w:color w:val="auto"/>
              </w:rPr>
              <w:t>Embedded derivative (2029 Notes)</w:t>
            </w:r>
          </w:p>
        </w:tc>
        <w:tc>
          <w:tcPr>
            <w:tcW w:w="2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40" w:type="dxa"/>
            <w:vAlign w:val="bottom"/>
          </w:tcPr>
          <w:p>
            <w:pPr>
              <w:ind w:left="20"/>
              <w:spacing w:after="0" w:line="183" w:lineRule="exact"/>
              <w:rPr>
                <w:sz w:val="20"/>
                <w:szCs w:val="20"/>
                <w:color w:val="auto"/>
              </w:rPr>
            </w:pPr>
            <w:r>
              <w:rPr>
                <w:rFonts w:ascii="Times New Roman" w:cs="Times New Roman" w:eastAsia="Times New Roman" w:hAnsi="Times New Roman"/>
                <w:sz w:val="18"/>
                <w:szCs w:val="18"/>
                <w:color w:val="auto"/>
              </w:rPr>
              <w:t>Long-term derivative</w:t>
            </w: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370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51,819</w:t>
            </w:r>
          </w:p>
        </w:tc>
        <w:tc>
          <w:tcPr>
            <w:tcW w:w="0" w:type="dxa"/>
            <w:vAlign w:val="bottom"/>
          </w:tcPr>
          <w:p>
            <w:pPr>
              <w:spacing w:after="0"/>
              <w:rPr>
                <w:sz w:val="1"/>
                <w:szCs w:val="1"/>
                <w:color w:val="auto"/>
              </w:rPr>
            </w:pPr>
          </w:p>
        </w:tc>
      </w:tr>
      <w:tr>
        <w:trPr>
          <w:trHeight w:val="183"/>
        </w:trPr>
        <w:tc>
          <w:tcPr>
            <w:tcW w:w="3700" w:type="dxa"/>
            <w:vAlign w:val="bottom"/>
            <w:shd w:val="clear" w:color="auto" w:fill="CCEEFF"/>
          </w:tcPr>
          <w:p>
            <w:pPr>
              <w:ind w:left="20"/>
              <w:spacing w:after="0" w:line="183" w:lineRule="exact"/>
              <w:rPr>
                <w:sz w:val="20"/>
                <w:szCs w:val="20"/>
                <w:color w:val="auto"/>
              </w:rPr>
            </w:pPr>
            <w:r>
              <w:rPr>
                <w:rFonts w:ascii="Times New Roman" w:cs="Times New Roman" w:eastAsia="Times New Roman" w:hAnsi="Times New Roman"/>
                <w:sz w:val="18"/>
                <w:szCs w:val="18"/>
                <w:color w:val="auto"/>
              </w:rPr>
              <w:t>FX derivative contracts</w:t>
            </w:r>
          </w:p>
        </w:tc>
        <w:tc>
          <w:tcPr>
            <w:tcW w:w="2340" w:type="dxa"/>
            <w:vAlign w:val="bottom"/>
            <w:shd w:val="clear" w:color="auto" w:fill="CCEEFF"/>
          </w:tcPr>
          <w:p>
            <w:pPr>
              <w:ind w:left="20"/>
              <w:spacing w:after="0" w:line="183" w:lineRule="exact"/>
              <w:rPr>
                <w:sz w:val="20"/>
                <w:szCs w:val="20"/>
                <w:color w:val="auto"/>
              </w:rPr>
            </w:pPr>
            <w:r>
              <w:rPr>
                <w:rFonts w:ascii="Times New Roman" w:cs="Times New Roman" w:eastAsia="Times New Roman" w:hAnsi="Times New Roman"/>
                <w:sz w:val="18"/>
                <w:szCs w:val="18"/>
                <w:color w:val="auto"/>
              </w:rPr>
              <w:t>Prepaid expenses and other</w:t>
            </w: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3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3700" w:type="dxa"/>
            <w:vAlign w:val="bottom"/>
            <w:shd w:val="clear" w:color="auto" w:fill="CCEEFF"/>
          </w:tcPr>
          <w:p>
            <w:pPr>
              <w:spacing w:after="0"/>
              <w:rPr>
                <w:sz w:val="20"/>
                <w:szCs w:val="20"/>
                <w:color w:val="auto"/>
              </w:rPr>
            </w:pPr>
          </w:p>
        </w:tc>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100" w:type="dxa"/>
            <w:vAlign w:val="bottom"/>
            <w:shd w:val="clear" w:color="auto" w:fill="CCEEFF"/>
          </w:tcPr>
          <w:p>
            <w:pPr>
              <w:spacing w:after="0"/>
              <w:rPr>
                <w:sz w:val="20"/>
                <w:szCs w:val="20"/>
                <w:color w:val="auto"/>
              </w:rPr>
            </w:pPr>
          </w:p>
        </w:tc>
        <w:tc>
          <w:tcPr>
            <w:tcW w:w="234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3"/>
        </w:trPr>
        <w:tc>
          <w:tcPr>
            <w:tcW w:w="3700" w:type="dxa"/>
            <w:vAlign w:val="bottom"/>
          </w:tcPr>
          <w:p>
            <w:pPr>
              <w:ind w:left="20"/>
              <w:spacing w:after="0" w:line="163" w:lineRule="exact"/>
              <w:rPr>
                <w:sz w:val="20"/>
                <w:szCs w:val="20"/>
                <w:color w:val="auto"/>
              </w:rPr>
            </w:pPr>
            <w:r>
              <w:rPr>
                <w:rFonts w:ascii="Times New Roman" w:cs="Times New Roman" w:eastAsia="Times New Roman" w:hAnsi="Times New Roman"/>
                <w:sz w:val="18"/>
                <w:szCs w:val="18"/>
                <w:color w:val="auto"/>
              </w:rPr>
              <w:t>Total derivatives not designated as hedging</w:t>
            </w:r>
          </w:p>
        </w:tc>
        <w:tc>
          <w:tcPr>
            <w:tcW w:w="2340" w:type="dxa"/>
            <w:vAlign w:val="bottom"/>
          </w:tcPr>
          <w:p>
            <w:pPr>
              <w:spacing w:after="0"/>
              <w:rPr>
                <w:sz w:val="14"/>
                <w:szCs w:val="14"/>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27,097</w:t>
            </w:r>
          </w:p>
        </w:tc>
        <w:tc>
          <w:tcPr>
            <w:tcW w:w="1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54,734</w:t>
            </w:r>
          </w:p>
        </w:tc>
        <w:tc>
          <w:tcPr>
            <w:tcW w:w="0" w:type="dxa"/>
            <w:vAlign w:val="bottom"/>
          </w:tcPr>
          <w:p>
            <w:pPr>
              <w:spacing w:after="0"/>
              <w:rPr>
                <w:sz w:val="1"/>
                <w:szCs w:val="1"/>
                <w:color w:val="auto"/>
              </w:rPr>
            </w:pPr>
          </w:p>
        </w:tc>
      </w:tr>
      <w:tr>
        <w:trPr>
          <w:trHeight w:val="211"/>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instruments</w:t>
            </w:r>
          </w:p>
        </w:tc>
        <w:tc>
          <w:tcPr>
            <w:tcW w:w="2340" w:type="dxa"/>
            <w:vAlign w:val="bottom"/>
          </w:tcPr>
          <w:p>
            <w:pPr>
              <w:spacing w:after="0"/>
              <w:rPr>
                <w:sz w:val="17"/>
                <w:szCs w:val="17"/>
                <w:color w:val="auto"/>
              </w:rPr>
            </w:pPr>
          </w:p>
        </w:tc>
        <w:tc>
          <w:tcPr>
            <w:tcW w:w="180" w:type="dxa"/>
            <w:vAlign w:val="bottom"/>
            <w:tcBorders>
              <w:bottom w:val="single" w:sz="8" w:color="auto"/>
            </w:tcBorders>
            <w:vMerge w:val="continue"/>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160" w:type="dxa"/>
            <w:vAlign w:val="bottom"/>
            <w:tcBorders>
              <w:bottom w:val="single" w:sz="8" w:color="auto"/>
            </w:tcBorders>
            <w:vMerge w:val="continue"/>
          </w:tcPr>
          <w:p>
            <w:pPr>
              <w:spacing w:after="0"/>
              <w:rPr>
                <w:sz w:val="17"/>
                <w:szCs w:val="17"/>
                <w:color w:val="auto"/>
              </w:rPr>
            </w:pPr>
          </w:p>
        </w:tc>
        <w:tc>
          <w:tcPr>
            <w:tcW w:w="12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640" w:hanging="310"/>
        <w:spacing w:after="0"/>
        <w:tabs>
          <w:tab w:leader="none" w:pos="640" w:val="left"/>
        </w:tabs>
        <w:numPr>
          <w:ilvl w:val="0"/>
          <w:numId w:val="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For the classification of inputs used to evaluate the fair value of LivaNova’s derivatives, refer to “Note 3. Fair Value Measurements.”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3. Fair Value Measurements</w:t>
      </w:r>
    </w:p>
    <w:p>
      <w:pPr>
        <w:spacing w:after="0" w:line="114"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LivaNova reviews its fair value hierarchy classification on a quarterly basis. Changes in the ability to observe valuation inputs may result in a reclassification of levels for certain securities in the fair value hierarchy. There were no transfers between Level 1, Level 2, or Level 3 for the six months ended June 30, 2025 and 2024.</w:t>
      </w:r>
    </w:p>
    <w:p>
      <w:pPr>
        <w:spacing w:after="0" w:line="200" w:lineRule="exact"/>
        <w:rPr>
          <w:sz w:val="20"/>
          <w:szCs w:val="20"/>
          <w:color w:val="auto"/>
        </w:rPr>
      </w:pPr>
    </w:p>
    <w:p>
      <w:pPr>
        <w:spacing w:after="0" w:line="29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140335</wp:posOffset>
            </wp:positionV>
            <wp:extent cx="71583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20"/>
          <w:szCs w:val="20"/>
          <w:color w:val="auto"/>
        </w:rPr>
        <w:t>Assets and Liabilities Measured at Fair Value on a Recurring Basis</w:t>
      </w:r>
    </w:p>
    <w:p>
      <w:pPr>
        <w:spacing w:after="0" w:line="110"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18"/>
          <w:szCs w:val="18"/>
          <w:color w:val="auto"/>
        </w:rPr>
        <w:t>The following tables present the level in the fair value hierarchy at which the Company’s assets and liabilities are measured on a recurring basis (in thousands):</w:t>
      </w:r>
    </w:p>
    <w:p>
      <w:pPr>
        <w:sectPr>
          <w:pgSz w:w="11900" w:h="16838" w:orient="portrait"/>
          <w:cols w:equalWidth="0" w:num="1">
            <w:col w:w="11240"/>
          </w:cols>
          <w:pgMar w:left="320" w:top="89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p>
      <w:pPr>
        <w:spacing w:after="0" w:line="11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Derivative assets - freestanding instruments (FX)</w:t>
      </w:r>
    </w:p>
    <w:p>
      <w:pPr>
        <w:spacing w:after="0" w:line="21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Derivative assets - capped call derivatives (2025 Notes)</w:t>
      </w:r>
    </w:p>
    <w:p>
      <w:pPr>
        <w:spacing w:after="0" w:line="11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Derivative assets - capped call derivatives (2029 Notes)</w:t>
      </w:r>
    </w:p>
    <w:p>
      <w:pPr>
        <w:spacing w:after="0" w:line="28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p>
      <w:pPr>
        <w:spacing w:after="0" w:line="3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Derivative liabilities - freestanding instruments (FX)</w:t>
      </w:r>
    </w:p>
    <w:p>
      <w:pPr>
        <w:spacing w:after="0" w:line="2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Derivative liabilities - embedded derivative (2025 Notes)</w:t>
      </w:r>
    </w:p>
    <w:p>
      <w:pPr>
        <w:spacing w:after="0" w:line="12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Derivative liabilities - embedded derivative (2029 Notes)</w:t>
      </w:r>
    </w:p>
    <w:p>
      <w:pPr>
        <w:spacing w:after="0" w:line="22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ImThera contingent consideration arrangement</w:t>
      </w:r>
    </w:p>
    <w:p>
      <w:pPr>
        <w:spacing w:after="0" w:line="21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ImThera contingent consideration arrangement</w:t>
      </w:r>
    </w:p>
    <w:p>
      <w:pPr>
        <w:spacing w:after="0" w:line="20" w:lineRule="exact"/>
        <w:rPr>
          <w:sz w:val="20"/>
          <w:szCs w:val="20"/>
          <w:color w:val="auto"/>
        </w:rPr>
      </w:pPr>
      <w:r>
        <w:rPr>
          <w:sz w:val="20"/>
          <w:szCs w:val="20"/>
          <w:color w:val="auto"/>
        </w:rPr>
        <w:br w:type="column"/>
      </w:r>
    </w:p>
    <w:p>
      <w:pPr>
        <w:spacing w:after="0" w:line="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120" w:type="dxa"/>
            <w:vAlign w:val="bottom"/>
            <w:gridSpan w:val="8"/>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Fair Value Measurements Using Inputs</w:t>
            </w:r>
          </w:p>
        </w:tc>
      </w:tr>
      <w:tr>
        <w:trPr>
          <w:trHeight w:val="238"/>
        </w:trPr>
        <w:tc>
          <w:tcPr>
            <w:tcW w:w="2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Considered as:</w:t>
            </w: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r>
      <w:tr>
        <w:trPr>
          <w:trHeight w:val="240"/>
        </w:trPr>
        <w:tc>
          <w:tcPr>
            <w:tcW w:w="21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Balance Sheet Location</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June 30, 2025</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Level 3</w:t>
            </w:r>
          </w:p>
        </w:tc>
      </w:tr>
      <w:tr>
        <w:trPr>
          <w:trHeight w:val="383"/>
        </w:trPr>
        <w:tc>
          <w:tcPr>
            <w:tcW w:w="2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37"/>
        </w:trPr>
        <w:tc>
          <w:tcPr>
            <w:tcW w:w="2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9,373</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9,373</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80"/>
        </w:trPr>
        <w:tc>
          <w:tcPr>
            <w:tcW w:w="2200" w:type="dxa"/>
            <w:vAlign w:val="bottom"/>
            <w:gridSpan w:val="2"/>
          </w:tcPr>
          <w:p>
            <w:pPr>
              <w:ind w:left="20"/>
              <w:spacing w:after="0" w:line="180" w:lineRule="exact"/>
              <w:rPr>
                <w:sz w:val="20"/>
                <w:szCs w:val="20"/>
                <w:color w:val="auto"/>
              </w:rPr>
            </w:pPr>
            <w:r>
              <w:rPr>
                <w:rFonts w:ascii="Times New Roman" w:cs="Times New Roman" w:eastAsia="Times New Roman" w:hAnsi="Times New Roman"/>
                <w:sz w:val="18"/>
                <w:szCs w:val="18"/>
                <w:color w:val="auto"/>
              </w:rPr>
              <w:t>Prepaid expenses and other</w:t>
            </w: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37"/>
        </w:trPr>
        <w:tc>
          <w:tcPr>
            <w:tcW w:w="2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1,303</w:t>
            </w:r>
          </w:p>
        </w:tc>
      </w:tr>
      <w:tr>
        <w:trPr>
          <w:trHeight w:val="233"/>
        </w:trPr>
        <w:tc>
          <w:tcPr>
            <w:tcW w:w="2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Long-term derivative assets</w:t>
            </w: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21,658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21,658</w:t>
            </w:r>
          </w:p>
        </w:tc>
      </w:tr>
      <w:tr>
        <w:trPr>
          <w:trHeight w:val="222"/>
        </w:trPr>
        <w:tc>
          <w:tcPr>
            <w:tcW w:w="2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32,334</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9,373</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22,961</w:t>
            </w:r>
          </w:p>
        </w:tc>
      </w:tr>
      <w:tr>
        <w:trPr>
          <w:trHeight w:val="20"/>
        </w:trPr>
        <w:tc>
          <w:tcPr>
            <w:tcW w:w="2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418"/>
        </w:trPr>
        <w:tc>
          <w:tcPr>
            <w:tcW w:w="2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liabilities and other</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2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liabilities and other</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1,363</w:t>
            </w:r>
          </w:p>
        </w:tc>
      </w:tr>
      <w:tr>
        <w:trPr>
          <w:trHeight w:val="180"/>
        </w:trPr>
        <w:tc>
          <w:tcPr>
            <w:tcW w:w="2200" w:type="dxa"/>
            <w:vAlign w:val="bottom"/>
            <w:gridSpan w:val="2"/>
          </w:tcPr>
          <w:p>
            <w:pPr>
              <w:ind w:left="20"/>
              <w:spacing w:after="0" w:line="180" w:lineRule="exact"/>
              <w:rPr>
                <w:sz w:val="20"/>
                <w:szCs w:val="20"/>
                <w:color w:val="auto"/>
              </w:rPr>
            </w:pPr>
            <w:r>
              <w:rPr>
                <w:rFonts w:ascii="Times New Roman" w:cs="Times New Roman" w:eastAsia="Times New Roman" w:hAnsi="Times New Roman"/>
                <w:sz w:val="18"/>
                <w:szCs w:val="18"/>
                <w:color w:val="auto"/>
              </w:rPr>
              <w:t>Long-term derivative</w:t>
            </w: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37"/>
        </w:trPr>
        <w:tc>
          <w:tcPr>
            <w:tcW w:w="2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48,093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48,093</w:t>
            </w:r>
          </w:p>
        </w:tc>
      </w:tr>
      <w:tr>
        <w:trPr>
          <w:trHeight w:val="180"/>
        </w:trPr>
        <w:tc>
          <w:tcPr>
            <w:tcW w:w="2200" w:type="dxa"/>
            <w:vAlign w:val="bottom"/>
            <w:gridSpan w:val="2"/>
          </w:tcPr>
          <w:p>
            <w:pPr>
              <w:ind w:left="20"/>
              <w:spacing w:after="0" w:line="180" w:lineRule="exact"/>
              <w:rPr>
                <w:sz w:val="20"/>
                <w:szCs w:val="20"/>
                <w:color w:val="auto"/>
              </w:rPr>
            </w:pPr>
            <w:r>
              <w:rPr>
                <w:rFonts w:ascii="Times New Roman" w:cs="Times New Roman" w:eastAsia="Times New Roman" w:hAnsi="Times New Roman"/>
                <w:sz w:val="18"/>
                <w:szCs w:val="18"/>
                <w:color w:val="auto"/>
              </w:rPr>
              <w:t>Current contingent</w:t>
            </w: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37"/>
        </w:trPr>
        <w:tc>
          <w:tcPr>
            <w:tcW w:w="2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consideration</w:t>
            </w: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48,265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48,265</w:t>
            </w:r>
          </w:p>
        </w:tc>
      </w:tr>
      <w:tr>
        <w:trPr>
          <w:trHeight w:val="180"/>
        </w:trPr>
        <w:tc>
          <w:tcPr>
            <w:tcW w:w="2200" w:type="dxa"/>
            <w:vAlign w:val="bottom"/>
            <w:gridSpan w:val="2"/>
          </w:tcPr>
          <w:p>
            <w:pPr>
              <w:ind w:left="20"/>
              <w:spacing w:after="0" w:line="180" w:lineRule="exact"/>
              <w:rPr>
                <w:sz w:val="20"/>
                <w:szCs w:val="20"/>
                <w:color w:val="auto"/>
              </w:rPr>
            </w:pPr>
            <w:r>
              <w:rPr>
                <w:rFonts w:ascii="Times New Roman" w:cs="Times New Roman" w:eastAsia="Times New Roman" w:hAnsi="Times New Roman"/>
                <w:sz w:val="18"/>
                <w:szCs w:val="18"/>
                <w:color w:val="auto"/>
              </w:rPr>
              <w:t>Long-term contingent</w:t>
            </w: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42"/>
        </w:trPr>
        <w:tc>
          <w:tcPr>
            <w:tcW w:w="2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consideration</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39,662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39,662</w:t>
            </w:r>
          </w:p>
        </w:tc>
      </w:tr>
      <w:tr>
        <w:trPr>
          <w:trHeight w:val="222"/>
        </w:trPr>
        <w:tc>
          <w:tcPr>
            <w:tcW w:w="2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137,389</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137,383</w:t>
            </w:r>
          </w:p>
        </w:tc>
      </w:tr>
      <w:tr>
        <w:trPr>
          <w:trHeight w:val="20"/>
        </w:trPr>
        <w:tc>
          <w:tcPr>
            <w:tcW w:w="2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-2827020</wp:posOffset>
            </wp:positionH>
            <wp:positionV relativeFrom="paragraph">
              <wp:posOffset>-2260600</wp:posOffset>
            </wp:positionV>
            <wp:extent cx="7132955" cy="2647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955" cy="264795"/>
                    </a:xfrm>
                    <a:prstGeom prst="rect">
                      <a:avLst/>
                    </a:prstGeom>
                    <a:noFill/>
                  </pic:spPr>
                </pic:pic>
              </a:graphicData>
            </a:graphic>
          </wp:anchor>
        </w:drawing>
        <w:drawing>
          <wp:anchor simplePos="0" relativeHeight="251657728" behindDoc="1" locked="0" layoutInCell="0" allowOverlap="1">
            <wp:simplePos x="0" y="0"/>
            <wp:positionH relativeFrom="column">
              <wp:posOffset>-2827020</wp:posOffset>
            </wp:positionH>
            <wp:positionV relativeFrom="paragraph">
              <wp:posOffset>-1731645</wp:posOffset>
            </wp:positionV>
            <wp:extent cx="7132955" cy="1447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955" cy="144780"/>
                    </a:xfrm>
                    <a:prstGeom prst="rect">
                      <a:avLst/>
                    </a:prstGeom>
                    <a:noFill/>
                  </pic:spPr>
                </pic:pic>
              </a:graphicData>
            </a:graphic>
          </wp:anchor>
        </w:drawing>
        <w:drawing>
          <wp:anchor simplePos="0" relativeHeight="251657728" behindDoc="1" locked="0" layoutInCell="0" allowOverlap="1">
            <wp:simplePos x="0" y="0"/>
            <wp:positionH relativeFrom="column">
              <wp:posOffset>-2827020</wp:posOffset>
            </wp:positionH>
            <wp:positionV relativeFrom="paragraph">
              <wp:posOffset>-1415415</wp:posOffset>
            </wp:positionV>
            <wp:extent cx="7132955" cy="1447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955" cy="144780"/>
                    </a:xfrm>
                    <a:prstGeom prst="rect">
                      <a:avLst/>
                    </a:prstGeom>
                    <a:noFill/>
                  </pic:spPr>
                </pic:pic>
              </a:graphicData>
            </a:graphic>
          </wp:anchor>
        </w:drawing>
        <w:drawing>
          <wp:anchor simplePos="0" relativeHeight="251657728" behindDoc="1" locked="0" layoutInCell="0" allowOverlap="1">
            <wp:simplePos x="0" y="0"/>
            <wp:positionH relativeFrom="column">
              <wp:posOffset>-2827020</wp:posOffset>
            </wp:positionH>
            <wp:positionV relativeFrom="paragraph">
              <wp:posOffset>-1125855</wp:posOffset>
            </wp:positionV>
            <wp:extent cx="7132955" cy="1447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955" cy="144780"/>
                    </a:xfrm>
                    <a:prstGeom prst="rect">
                      <a:avLst/>
                    </a:prstGeom>
                    <a:noFill/>
                  </pic:spPr>
                </pic:pic>
              </a:graphicData>
            </a:graphic>
          </wp:anchor>
        </w:drawing>
        <w:drawing>
          <wp:anchor simplePos="0" relativeHeight="251657728" behindDoc="1" locked="0" layoutInCell="0" allowOverlap="1">
            <wp:simplePos x="0" y="0"/>
            <wp:positionH relativeFrom="column">
              <wp:posOffset>-2827020</wp:posOffset>
            </wp:positionH>
            <wp:positionV relativeFrom="paragraph">
              <wp:posOffset>-716280</wp:posOffset>
            </wp:positionV>
            <wp:extent cx="7132955" cy="2647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955" cy="264795"/>
                    </a:xfrm>
                    <a:prstGeom prst="rect">
                      <a:avLst/>
                    </a:prstGeom>
                    <a:noFill/>
                  </pic:spPr>
                </pic:pic>
              </a:graphicData>
            </a:graphic>
          </wp:anchor>
        </w:drawing>
        <w:drawing>
          <wp:anchor simplePos="0" relativeHeight="251657728" behindDoc="1" locked="0" layoutInCell="0" allowOverlap="1">
            <wp:simplePos x="0" y="0"/>
            <wp:positionH relativeFrom="column">
              <wp:posOffset>-2827020</wp:posOffset>
            </wp:positionH>
            <wp:positionV relativeFrom="paragraph">
              <wp:posOffset>-187325</wp:posOffset>
            </wp:positionV>
            <wp:extent cx="7132955" cy="1708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955" cy="170815"/>
                    </a:xfrm>
                    <a:prstGeom prst="rect">
                      <a:avLst/>
                    </a:prstGeom>
                    <a:noFill/>
                  </pic:spPr>
                </pic:pic>
              </a:graphicData>
            </a:graphic>
          </wp:anchor>
        </w:drawing>
      </w:r>
    </w:p>
    <w:p>
      <w:pPr>
        <w:spacing w:after="0" w:line="200" w:lineRule="exact"/>
        <w:rPr>
          <w:sz w:val="20"/>
          <w:szCs w:val="20"/>
          <w:color w:val="auto"/>
        </w:rPr>
      </w:pPr>
    </w:p>
    <w:p>
      <w:pPr>
        <w:jc w:val="center"/>
        <w:ind w:left="-3319"/>
        <w:spacing w:after="0"/>
        <w:rPr>
          <w:sz w:val="20"/>
          <w:szCs w:val="20"/>
          <w:color w:val="auto"/>
        </w:rPr>
      </w:pPr>
      <w:r>
        <w:rPr>
          <w:rFonts w:ascii="Times New Roman" w:cs="Times New Roman" w:eastAsia="Times New Roman" w:hAnsi="Times New Roman"/>
          <w:sz w:val="18"/>
          <w:szCs w:val="18"/>
          <w:b w:val="1"/>
          <w:bCs w:val="1"/>
          <w:color w:val="auto"/>
        </w:rPr>
        <w:t>Fair Value Measurements Using Inputs</w:t>
      </w:r>
    </w:p>
    <w:p>
      <w:pPr>
        <w:spacing w:after="0" w:line="5" w:lineRule="exact"/>
        <w:rPr>
          <w:sz w:val="20"/>
          <w:szCs w:val="20"/>
          <w:color w:val="auto"/>
        </w:rPr>
      </w:pPr>
    </w:p>
    <w:p>
      <w:pPr>
        <w:jc w:val="center"/>
        <w:ind w:left="-3319"/>
        <w:spacing w:after="0"/>
        <w:rPr>
          <w:sz w:val="20"/>
          <w:szCs w:val="20"/>
          <w:color w:val="auto"/>
        </w:rPr>
      </w:pPr>
      <w:r>
        <w:rPr>
          <w:rFonts w:ascii="Times New Roman" w:cs="Times New Roman" w:eastAsia="Times New Roman" w:hAnsi="Times New Roman"/>
          <w:sz w:val="18"/>
          <w:szCs w:val="18"/>
          <w:b w:val="1"/>
          <w:bCs w:val="1"/>
          <w:color w:val="auto"/>
        </w:rPr>
        <w:t>Considered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2326005</wp:posOffset>
            </wp:positionH>
            <wp:positionV relativeFrom="paragraph">
              <wp:posOffset>3810</wp:posOffset>
            </wp:positionV>
            <wp:extent cx="197929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979295" cy="8255"/>
                    </a:xfrm>
                    <a:prstGeom prst="rect">
                      <a:avLst/>
                    </a:prstGeom>
                    <a:noFill/>
                  </pic:spPr>
                </pic:pic>
              </a:graphicData>
            </a:graphic>
          </wp:anchor>
        </w:drawing>
      </w:r>
    </w:p>
    <w:p>
      <w:pPr>
        <w:spacing w:after="0" w:line="24" w:lineRule="exact"/>
        <w:rPr>
          <w:sz w:val="20"/>
          <w:szCs w:val="20"/>
          <w:color w:val="auto"/>
        </w:rPr>
      </w:pPr>
    </w:p>
    <w:p>
      <w:pPr>
        <w:sectPr>
          <w:pgSz w:w="11900" w:h="16838" w:orient="portrait"/>
          <w:cols w:equalWidth="0" w:num="2">
            <w:col w:w="4240" w:space="220"/>
            <w:col w:w="6780"/>
          </w:cols>
          <w:pgMar w:left="320" w:top="896" w:right="339" w:bottom="1440" w:gutter="0" w:footer="0" w:header="0"/>
          <w:type w:val="continuous"/>
        </w:sectPr>
      </w:pPr>
    </w:p>
    <w:tbl>
      <w:tblPr>
        <w:tblLayout w:type="fixed"/>
        <w:tblInd w:w="0" w:type="dxa"/>
        <w:tblCellMar>
          <w:top w:w="0" w:type="dxa"/>
          <w:left w:w="0" w:type="dxa"/>
          <w:bottom w:w="0" w:type="dxa"/>
          <w:right w:w="0" w:type="dxa"/>
        </w:tblCellMar>
      </w:tblPr>
      <w:tr>
        <w:trPr>
          <w:trHeight w:val="237"/>
        </w:trPr>
        <w:tc>
          <w:tcPr>
            <w:tcW w:w="43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Balance Sheet Location</w:t>
            </w:r>
          </w:p>
        </w:tc>
        <w:tc>
          <w:tcPr>
            <w:tcW w:w="16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60" w:type="dxa"/>
            <w:vAlign w:val="bottom"/>
          </w:tcPr>
          <w:p>
            <w:pPr>
              <w:spacing w:after="0"/>
              <w:rPr>
                <w:sz w:val="20"/>
                <w:szCs w:val="20"/>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60" w:type="dxa"/>
            <w:vAlign w:val="bottom"/>
          </w:tcPr>
          <w:p>
            <w:pPr>
              <w:spacing w:after="0"/>
              <w:rPr>
                <w:sz w:val="20"/>
                <w:szCs w:val="20"/>
                <w:color w:val="auto"/>
              </w:rPr>
            </w:pP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60" w:type="dxa"/>
            <w:vAlign w:val="bottom"/>
          </w:tcPr>
          <w:p>
            <w:pPr>
              <w:spacing w:after="0"/>
              <w:rPr>
                <w:sz w:val="20"/>
                <w:szCs w:val="20"/>
                <w:color w:val="auto"/>
              </w:rPr>
            </w:pPr>
          </w:p>
        </w:tc>
        <w:tc>
          <w:tcPr>
            <w:tcW w:w="8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0" w:type="dxa"/>
            <w:vAlign w:val="bottom"/>
          </w:tcPr>
          <w:p>
            <w:pPr>
              <w:spacing w:after="0"/>
              <w:rPr>
                <w:sz w:val="1"/>
                <w:szCs w:val="1"/>
                <w:color w:val="auto"/>
              </w:rPr>
            </w:pPr>
          </w:p>
        </w:tc>
      </w:tr>
      <w:tr>
        <w:trPr>
          <w:trHeight w:val="208"/>
        </w:trPr>
        <w:tc>
          <w:tcPr>
            <w:tcW w:w="4320" w:type="dxa"/>
            <w:vAlign w:val="bottom"/>
            <w:vMerge w:val="continue"/>
          </w:tcPr>
          <w:p>
            <w:pPr>
              <w:spacing w:after="0"/>
              <w:rPr>
                <w:sz w:val="18"/>
                <w:szCs w:val="18"/>
                <w:color w:val="auto"/>
              </w:rPr>
            </w:pPr>
          </w:p>
        </w:tc>
        <w:tc>
          <w:tcPr>
            <w:tcW w:w="2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4320" w:type="dxa"/>
            <w:vAlign w:val="bottom"/>
            <w:shd w:val="clear" w:color="auto" w:fill="CCEEFF"/>
          </w:tcPr>
          <w:p>
            <w:pPr>
              <w:ind w:left="140"/>
              <w:spacing w:after="0" w:line="183" w:lineRule="exact"/>
              <w:rPr>
                <w:sz w:val="20"/>
                <w:szCs w:val="20"/>
                <w:color w:val="auto"/>
              </w:rPr>
            </w:pPr>
            <w:r>
              <w:rPr>
                <w:rFonts w:ascii="Times New Roman" w:cs="Times New Roman" w:eastAsia="Times New Roman" w:hAnsi="Times New Roman"/>
                <w:sz w:val="18"/>
                <w:szCs w:val="18"/>
                <w:color w:val="auto"/>
              </w:rPr>
              <w:t>Derivative assets - freestanding instruments (FX)</w:t>
            </w:r>
          </w:p>
        </w:tc>
        <w:tc>
          <w:tcPr>
            <w:tcW w:w="2200" w:type="dxa"/>
            <w:vAlign w:val="bottom"/>
            <w:gridSpan w:val="2"/>
            <w:shd w:val="clear" w:color="auto" w:fill="CCEEFF"/>
          </w:tcPr>
          <w:p>
            <w:pPr>
              <w:ind w:left="20"/>
              <w:spacing w:after="0" w:line="183" w:lineRule="exact"/>
              <w:rPr>
                <w:sz w:val="20"/>
                <w:szCs w:val="20"/>
                <w:color w:val="auto"/>
              </w:rPr>
            </w:pPr>
            <w:r>
              <w:rPr>
                <w:rFonts w:ascii="Times New Roman" w:cs="Times New Roman" w:eastAsia="Times New Roman" w:hAnsi="Times New Roman"/>
                <w:sz w:val="18"/>
                <w:szCs w:val="18"/>
                <w:color w:val="auto"/>
              </w:rPr>
              <w:t>Prepaid expenses and other</w:t>
            </w:r>
          </w:p>
        </w:tc>
        <w:tc>
          <w:tcPr>
            <w:tcW w:w="4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4320" w:type="dxa"/>
            <w:vAlign w:val="bottom"/>
            <w:shd w:val="clear" w:color="auto" w:fill="CCEEFF"/>
          </w:tcPr>
          <w:p>
            <w:pPr>
              <w:spacing w:after="0"/>
              <w:rPr>
                <w:sz w:val="20"/>
                <w:szCs w:val="20"/>
                <w:color w:val="auto"/>
              </w:rPr>
            </w:pPr>
          </w:p>
        </w:tc>
        <w:tc>
          <w:tcPr>
            <w:tcW w:w="2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3"/>
        </w:trPr>
        <w:tc>
          <w:tcPr>
            <w:tcW w:w="4320" w:type="dxa"/>
            <w:vAlign w:val="bottom"/>
          </w:tcPr>
          <w:p>
            <w:pPr>
              <w:spacing w:after="0"/>
              <w:rPr>
                <w:sz w:val="15"/>
                <w:szCs w:val="15"/>
                <w:color w:val="auto"/>
              </w:rPr>
            </w:pPr>
          </w:p>
        </w:tc>
        <w:tc>
          <w:tcPr>
            <w:tcW w:w="2200" w:type="dxa"/>
            <w:vAlign w:val="bottom"/>
            <w:gridSpan w:val="2"/>
          </w:tcPr>
          <w:p>
            <w:pPr>
              <w:ind w:left="20"/>
              <w:spacing w:after="0" w:line="183" w:lineRule="exact"/>
              <w:rPr>
                <w:sz w:val="20"/>
                <w:szCs w:val="20"/>
                <w:color w:val="auto"/>
              </w:rPr>
            </w:pPr>
            <w:r>
              <w:rPr>
                <w:rFonts w:ascii="Times New Roman" w:cs="Times New Roman" w:eastAsia="Times New Roman" w:hAnsi="Times New Roman"/>
                <w:sz w:val="18"/>
                <w:szCs w:val="18"/>
                <w:color w:val="auto"/>
              </w:rPr>
              <w:t>Prepaid expenses and other</w:t>
            </w:r>
          </w:p>
        </w:tc>
        <w:tc>
          <w:tcPr>
            <w:tcW w:w="4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4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Derivative assets - capped call derivatives (2025 Notes)</w:t>
            </w:r>
          </w:p>
        </w:tc>
        <w:tc>
          <w:tcPr>
            <w:tcW w:w="2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4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2,624</w:t>
            </w:r>
          </w:p>
        </w:tc>
        <w:tc>
          <w:tcPr>
            <w:tcW w:w="0" w:type="dxa"/>
            <w:vAlign w:val="bottom"/>
          </w:tcPr>
          <w:p>
            <w:pPr>
              <w:spacing w:after="0"/>
              <w:rPr>
                <w:sz w:val="1"/>
                <w:szCs w:val="1"/>
                <w:color w:val="auto"/>
              </w:rPr>
            </w:pPr>
          </w:p>
        </w:tc>
      </w:tr>
      <w:tr>
        <w:trPr>
          <w:trHeight w:val="228"/>
        </w:trPr>
        <w:tc>
          <w:tcPr>
            <w:tcW w:w="4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Derivative assets - capped call derivatives (2029 Notes)</w:t>
            </w:r>
          </w:p>
        </w:tc>
        <w:tc>
          <w:tcPr>
            <w:tcW w:w="2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derivative assets</w:t>
            </w: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23,735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23,735</w:t>
            </w:r>
          </w:p>
        </w:tc>
        <w:tc>
          <w:tcPr>
            <w:tcW w:w="0" w:type="dxa"/>
            <w:vAlign w:val="bottom"/>
          </w:tcPr>
          <w:p>
            <w:pPr>
              <w:spacing w:after="0"/>
              <w:rPr>
                <w:sz w:val="1"/>
                <w:szCs w:val="1"/>
                <w:color w:val="auto"/>
              </w:rPr>
            </w:pPr>
          </w:p>
        </w:tc>
      </w:tr>
      <w:tr>
        <w:trPr>
          <w:trHeight w:val="228"/>
        </w:trPr>
        <w:tc>
          <w:tcPr>
            <w:tcW w:w="4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Investment with readily determinable fair value</w:t>
            </w:r>
          </w:p>
        </w:tc>
        <w:tc>
          <w:tcPr>
            <w:tcW w:w="2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4320" w:type="dxa"/>
            <w:vAlign w:val="bottom"/>
            <w:tcBorders>
              <w:top w:val="single" w:sz="8" w:color="CCEEFF"/>
              <w:bottom w:val="single" w:sz="8" w:color="CCEEFF"/>
            </w:tcBorders>
            <w:shd w:val="clear" w:color="auto" w:fill="CCEEFF"/>
          </w:tcPr>
          <w:p>
            <w:pPr>
              <w:spacing w:after="0"/>
              <w:rPr>
                <w:sz w:val="21"/>
                <w:szCs w:val="21"/>
                <w:color w:val="auto"/>
              </w:rPr>
            </w:pPr>
          </w:p>
        </w:tc>
        <w:tc>
          <w:tcPr>
            <w:tcW w:w="2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26,359</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3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4320" w:type="dxa"/>
            <w:vAlign w:val="bottom"/>
          </w:tcPr>
          <w:p>
            <w:pPr>
              <w:ind w:left="140"/>
              <w:spacing w:after="0" w:line="183" w:lineRule="exact"/>
              <w:rPr>
                <w:sz w:val="20"/>
                <w:szCs w:val="20"/>
                <w:color w:val="auto"/>
              </w:rPr>
            </w:pPr>
            <w:r>
              <w:rPr>
                <w:rFonts w:ascii="Times New Roman" w:cs="Times New Roman" w:eastAsia="Times New Roman" w:hAnsi="Times New Roman"/>
                <w:sz w:val="18"/>
                <w:szCs w:val="18"/>
                <w:color w:val="auto"/>
              </w:rPr>
              <w:t>Derivative liabilities - embedded derivative (2025</w:t>
            </w:r>
          </w:p>
        </w:tc>
        <w:tc>
          <w:tcPr>
            <w:tcW w:w="2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4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Notes)</w:t>
            </w:r>
          </w:p>
        </w:tc>
        <w:tc>
          <w:tcPr>
            <w:tcW w:w="2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liabilities and other</w:t>
            </w:r>
          </w:p>
        </w:tc>
        <w:tc>
          <w:tcPr>
            <w:tcW w:w="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2,915</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2,915</w:t>
            </w:r>
          </w:p>
        </w:tc>
        <w:tc>
          <w:tcPr>
            <w:tcW w:w="0" w:type="dxa"/>
            <w:vAlign w:val="bottom"/>
          </w:tcPr>
          <w:p>
            <w:pPr>
              <w:spacing w:after="0"/>
              <w:rPr>
                <w:sz w:val="1"/>
                <w:szCs w:val="1"/>
                <w:color w:val="auto"/>
              </w:rPr>
            </w:pPr>
          </w:p>
        </w:tc>
      </w:tr>
      <w:tr>
        <w:trPr>
          <w:trHeight w:val="183"/>
        </w:trPr>
        <w:tc>
          <w:tcPr>
            <w:tcW w:w="4320" w:type="dxa"/>
            <w:vAlign w:val="bottom"/>
            <w:shd w:val="clear" w:color="auto" w:fill="CCEEFF"/>
          </w:tcPr>
          <w:p>
            <w:pPr>
              <w:ind w:left="140"/>
              <w:spacing w:after="0" w:line="183" w:lineRule="exact"/>
              <w:rPr>
                <w:sz w:val="20"/>
                <w:szCs w:val="20"/>
                <w:color w:val="auto"/>
              </w:rPr>
            </w:pPr>
            <w:r>
              <w:rPr>
                <w:rFonts w:ascii="Times New Roman" w:cs="Times New Roman" w:eastAsia="Times New Roman" w:hAnsi="Times New Roman"/>
                <w:sz w:val="18"/>
                <w:szCs w:val="18"/>
                <w:color w:val="auto"/>
              </w:rPr>
              <w:t>Derivative liabilities - embedded derivative (2029</w:t>
            </w:r>
          </w:p>
        </w:tc>
        <w:tc>
          <w:tcPr>
            <w:tcW w:w="2200" w:type="dxa"/>
            <w:vAlign w:val="bottom"/>
            <w:gridSpan w:val="2"/>
            <w:shd w:val="clear" w:color="auto" w:fill="CCEEFF"/>
          </w:tcPr>
          <w:p>
            <w:pPr>
              <w:ind w:left="20"/>
              <w:spacing w:after="0" w:line="183" w:lineRule="exact"/>
              <w:rPr>
                <w:sz w:val="20"/>
                <w:szCs w:val="20"/>
                <w:color w:val="auto"/>
              </w:rPr>
            </w:pPr>
            <w:r>
              <w:rPr>
                <w:rFonts w:ascii="Times New Roman" w:cs="Times New Roman" w:eastAsia="Times New Roman" w:hAnsi="Times New Roman"/>
                <w:sz w:val="18"/>
                <w:szCs w:val="18"/>
                <w:color w:val="auto"/>
              </w:rPr>
              <w:t>Long-term derivative</w:t>
            </w:r>
          </w:p>
        </w:tc>
        <w:tc>
          <w:tcPr>
            <w:tcW w:w="4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4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Notes)</w:t>
            </w:r>
          </w:p>
        </w:tc>
        <w:tc>
          <w:tcPr>
            <w:tcW w:w="2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4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51,819</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51,819</w:t>
            </w:r>
          </w:p>
        </w:tc>
        <w:tc>
          <w:tcPr>
            <w:tcW w:w="0" w:type="dxa"/>
            <w:vAlign w:val="bottom"/>
          </w:tcPr>
          <w:p>
            <w:pPr>
              <w:spacing w:after="0"/>
              <w:rPr>
                <w:sz w:val="1"/>
                <w:szCs w:val="1"/>
                <w:color w:val="auto"/>
              </w:rPr>
            </w:pPr>
          </w:p>
        </w:tc>
      </w:tr>
      <w:tr>
        <w:trPr>
          <w:trHeight w:val="183"/>
        </w:trPr>
        <w:tc>
          <w:tcPr>
            <w:tcW w:w="4320" w:type="dxa"/>
            <w:vAlign w:val="bottom"/>
          </w:tcPr>
          <w:p>
            <w:pPr>
              <w:spacing w:after="0"/>
              <w:rPr>
                <w:sz w:val="15"/>
                <w:szCs w:val="15"/>
                <w:color w:val="auto"/>
              </w:rPr>
            </w:pPr>
          </w:p>
        </w:tc>
        <w:tc>
          <w:tcPr>
            <w:tcW w:w="2200" w:type="dxa"/>
            <w:vAlign w:val="bottom"/>
            <w:gridSpan w:val="2"/>
          </w:tcPr>
          <w:p>
            <w:pPr>
              <w:ind w:left="20"/>
              <w:spacing w:after="0" w:line="183" w:lineRule="exact"/>
              <w:rPr>
                <w:sz w:val="20"/>
                <w:szCs w:val="20"/>
                <w:color w:val="auto"/>
              </w:rPr>
            </w:pPr>
            <w:r>
              <w:rPr>
                <w:rFonts w:ascii="Times New Roman" w:cs="Times New Roman" w:eastAsia="Times New Roman" w:hAnsi="Times New Roman"/>
                <w:sz w:val="18"/>
                <w:szCs w:val="18"/>
                <w:color w:val="auto"/>
              </w:rPr>
              <w:t>Long-term contingent</w:t>
            </w:r>
          </w:p>
        </w:tc>
        <w:tc>
          <w:tcPr>
            <w:tcW w:w="4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4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ImThera contingent consideration arrangement</w:t>
            </w:r>
          </w:p>
        </w:tc>
        <w:tc>
          <w:tcPr>
            <w:tcW w:w="2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consideration</w:t>
            </w:r>
          </w:p>
        </w:tc>
        <w:tc>
          <w:tcPr>
            <w:tcW w:w="4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84,218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84,218</w:t>
            </w:r>
          </w:p>
        </w:tc>
        <w:tc>
          <w:tcPr>
            <w:tcW w:w="0" w:type="dxa"/>
            <w:vAlign w:val="bottom"/>
          </w:tcPr>
          <w:p>
            <w:pPr>
              <w:spacing w:after="0"/>
              <w:rPr>
                <w:sz w:val="1"/>
                <w:szCs w:val="1"/>
                <w:color w:val="auto"/>
              </w:rPr>
            </w:pPr>
          </w:p>
        </w:tc>
      </w:tr>
      <w:tr>
        <w:trPr>
          <w:trHeight w:val="247"/>
        </w:trPr>
        <w:tc>
          <w:tcPr>
            <w:tcW w:w="4320" w:type="dxa"/>
            <w:vAlign w:val="bottom"/>
            <w:tcBorders>
              <w:top w:val="single" w:sz="8" w:color="CCEEFF"/>
              <w:bottom w:val="single" w:sz="8" w:color="CCEEFF"/>
            </w:tcBorders>
            <w:shd w:val="clear" w:color="auto" w:fill="CCEEFF"/>
          </w:tcPr>
          <w:p>
            <w:pPr>
              <w:spacing w:after="0"/>
              <w:rPr>
                <w:sz w:val="21"/>
                <w:szCs w:val="21"/>
                <w:color w:val="auto"/>
              </w:rPr>
            </w:pPr>
          </w:p>
        </w:tc>
        <w:tc>
          <w:tcPr>
            <w:tcW w:w="2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138,952</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bottom w:val="single" w:sz="8" w:color="CCEEFF"/>
            </w:tcBorders>
            <w:vMerge w:val="restart"/>
          </w:tcPr>
          <w:p>
            <w:pPr>
              <w:ind w:left="130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1"/>
        </w:trPr>
        <w:tc>
          <w:tcPr>
            <w:tcW w:w="4320" w:type="dxa"/>
            <w:vAlign w:val="bottom"/>
          </w:tcPr>
          <w:p>
            <w:pPr>
              <w:spacing w:after="0"/>
              <w:rPr>
                <w:sz w:val="24"/>
                <w:szCs w:val="24"/>
                <w:color w:val="auto"/>
              </w:rPr>
            </w:pPr>
          </w:p>
        </w:tc>
        <w:tc>
          <w:tcPr>
            <w:tcW w:w="21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4320" w:type="dxa"/>
            <w:vAlign w:val="bottom"/>
            <w:tcBorders>
              <w:bottom w:val="single" w:sz="8" w:color="9A9A9A"/>
            </w:tcBorders>
          </w:tcPr>
          <w:p>
            <w:pPr>
              <w:spacing w:after="0"/>
              <w:rPr>
                <w:sz w:val="20"/>
                <w:szCs w:val="20"/>
                <w:color w:val="auto"/>
              </w:rPr>
            </w:pPr>
          </w:p>
        </w:tc>
        <w:tc>
          <w:tcPr>
            <w:tcW w:w="2100" w:type="dxa"/>
            <w:vAlign w:val="bottom"/>
            <w:tcBorders>
              <w:bottom w:val="single" w:sz="8" w:color="9A9A9A"/>
            </w:tcBorders>
          </w:tcPr>
          <w:p>
            <w:pPr>
              <w:spacing w:after="0"/>
              <w:rPr>
                <w:sz w:val="20"/>
                <w:szCs w:val="20"/>
                <w:color w:val="auto"/>
              </w:rPr>
            </w:pPr>
          </w:p>
        </w:tc>
        <w:tc>
          <w:tcPr>
            <w:tcW w:w="100" w:type="dxa"/>
            <w:vAlign w:val="bottom"/>
            <w:tcBorders>
              <w:bottom w:val="single" w:sz="8" w:color="9A9A9A"/>
            </w:tcBorders>
          </w:tcPr>
          <w:p>
            <w:pPr>
              <w:spacing w:after="0"/>
              <w:rPr>
                <w:sz w:val="20"/>
                <w:szCs w:val="20"/>
                <w:color w:val="auto"/>
              </w:rPr>
            </w:pPr>
          </w:p>
        </w:tc>
        <w:tc>
          <w:tcPr>
            <w:tcW w:w="480" w:type="dxa"/>
            <w:vAlign w:val="bottom"/>
            <w:tcBorders>
              <w:bottom w:val="single" w:sz="8" w:color="9A9A9A"/>
            </w:tcBorders>
          </w:tcPr>
          <w:p>
            <w:pPr>
              <w:spacing w:after="0"/>
              <w:rPr>
                <w:sz w:val="20"/>
                <w:szCs w:val="20"/>
                <w:color w:val="auto"/>
              </w:rPr>
            </w:pPr>
          </w:p>
        </w:tc>
        <w:tc>
          <w:tcPr>
            <w:tcW w:w="1020" w:type="dxa"/>
            <w:vAlign w:val="bottom"/>
            <w:tcBorders>
              <w:bottom w:val="single" w:sz="8" w:color="9A9A9A"/>
            </w:tcBorders>
          </w:tcPr>
          <w:p>
            <w:pPr>
              <w:spacing w:after="0"/>
              <w:rPr>
                <w:sz w:val="20"/>
                <w:szCs w:val="20"/>
                <w:color w:val="auto"/>
              </w:rPr>
            </w:pPr>
          </w:p>
        </w:tc>
        <w:tc>
          <w:tcPr>
            <w:tcW w:w="100" w:type="dxa"/>
            <w:vAlign w:val="bottom"/>
            <w:tcBorders>
              <w:bottom w:val="single" w:sz="8" w:color="9A9A9A"/>
            </w:tcBorders>
          </w:tcPr>
          <w:p>
            <w:pPr>
              <w:spacing w:after="0"/>
              <w:rPr>
                <w:sz w:val="20"/>
                <w:szCs w:val="20"/>
                <w:color w:val="auto"/>
              </w:rPr>
            </w:pPr>
          </w:p>
        </w:tc>
        <w:tc>
          <w:tcPr>
            <w:tcW w:w="160" w:type="dxa"/>
            <w:vAlign w:val="bottom"/>
            <w:tcBorders>
              <w:bottom w:val="single" w:sz="8" w:color="9A9A9A"/>
            </w:tcBorders>
          </w:tcPr>
          <w:p>
            <w:pPr>
              <w:spacing w:after="0"/>
              <w:rPr>
                <w:sz w:val="20"/>
                <w:szCs w:val="20"/>
                <w:color w:val="auto"/>
              </w:rPr>
            </w:pPr>
          </w:p>
        </w:tc>
        <w:tc>
          <w:tcPr>
            <w:tcW w:w="820" w:type="dxa"/>
            <w:vAlign w:val="bottom"/>
            <w:tcBorders>
              <w:bottom w:val="single" w:sz="8" w:color="9A9A9A"/>
            </w:tcBorders>
          </w:tcPr>
          <w:p>
            <w:pPr>
              <w:spacing w:after="0"/>
              <w:rPr>
                <w:sz w:val="20"/>
                <w:szCs w:val="20"/>
                <w:color w:val="auto"/>
              </w:rPr>
            </w:pPr>
          </w:p>
        </w:tc>
        <w:tc>
          <w:tcPr>
            <w:tcW w:w="100" w:type="dxa"/>
            <w:vAlign w:val="bottom"/>
            <w:tcBorders>
              <w:bottom w:val="single" w:sz="8" w:color="9A9A9A"/>
            </w:tcBorders>
          </w:tcPr>
          <w:p>
            <w:pPr>
              <w:spacing w:after="0"/>
              <w:rPr>
                <w:sz w:val="20"/>
                <w:szCs w:val="20"/>
                <w:color w:val="auto"/>
              </w:rPr>
            </w:pPr>
          </w:p>
        </w:tc>
        <w:tc>
          <w:tcPr>
            <w:tcW w:w="160" w:type="dxa"/>
            <w:vAlign w:val="bottom"/>
            <w:tcBorders>
              <w:bottom w:val="single" w:sz="8" w:color="9A9A9A"/>
            </w:tcBorders>
          </w:tcPr>
          <w:p>
            <w:pPr>
              <w:spacing w:after="0"/>
              <w:rPr>
                <w:sz w:val="20"/>
                <w:szCs w:val="20"/>
                <w:color w:val="auto"/>
              </w:rPr>
            </w:pPr>
          </w:p>
        </w:tc>
        <w:tc>
          <w:tcPr>
            <w:tcW w:w="800" w:type="dxa"/>
            <w:vAlign w:val="bottom"/>
            <w:tcBorders>
              <w:bottom w:val="single" w:sz="8" w:color="9A9A9A"/>
            </w:tcBorders>
          </w:tcPr>
          <w:p>
            <w:pPr>
              <w:spacing w:after="0"/>
              <w:rPr>
                <w:sz w:val="20"/>
                <w:szCs w:val="20"/>
                <w:color w:val="auto"/>
              </w:rPr>
            </w:pPr>
          </w:p>
        </w:tc>
        <w:tc>
          <w:tcPr>
            <w:tcW w:w="120" w:type="dxa"/>
            <w:vAlign w:val="bottom"/>
            <w:tcBorders>
              <w:bottom w:val="single" w:sz="8" w:color="9A9A9A"/>
            </w:tcBorders>
          </w:tcPr>
          <w:p>
            <w:pPr>
              <w:spacing w:after="0"/>
              <w:rPr>
                <w:sz w:val="20"/>
                <w:szCs w:val="20"/>
                <w:color w:val="auto"/>
              </w:rPr>
            </w:pPr>
          </w:p>
        </w:tc>
        <w:tc>
          <w:tcPr>
            <w:tcW w:w="160" w:type="dxa"/>
            <w:vAlign w:val="bottom"/>
            <w:tcBorders>
              <w:bottom w:val="single" w:sz="8" w:color="9A9A9A"/>
            </w:tcBorders>
          </w:tcPr>
          <w:p>
            <w:pPr>
              <w:spacing w:after="0"/>
              <w:rPr>
                <w:sz w:val="20"/>
                <w:szCs w:val="20"/>
                <w:color w:val="auto"/>
              </w:rPr>
            </w:pPr>
          </w:p>
        </w:tc>
        <w:tc>
          <w:tcPr>
            <w:tcW w:w="800" w:type="dxa"/>
            <w:vAlign w:val="bottom"/>
            <w:tcBorders>
              <w:bottom w:val="single" w:sz="8" w:color="9A9A9A"/>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20"/>
          <w:szCs w:val="20"/>
          <w:color w:val="auto"/>
        </w:rPr>
        <w:t>Reconciliation of Level 3 Assets and Liabilities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reconciliations of recurring fair value measurements that use significant unobservable inputs (Level 3)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280" w:type="dxa"/>
            <w:vAlign w:val="bottom"/>
            <w:tcBorders>
              <w:bottom w:val="single" w:sz="8" w:color="auto"/>
            </w:tcBorders>
            <w:gridSpan w:val="11"/>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Three Months Ended June 30, 2025</w:t>
            </w: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8"/>
        </w:trPr>
        <w:tc>
          <w:tcPr>
            <w:tcW w:w="2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240"/>
              <w:spacing w:after="0" w:line="168" w:lineRule="exact"/>
              <w:rPr>
                <w:sz w:val="20"/>
                <w:szCs w:val="20"/>
                <w:color w:val="auto"/>
              </w:rPr>
            </w:pPr>
            <w:r>
              <w:rPr>
                <w:rFonts w:ascii="Times New Roman" w:cs="Times New Roman" w:eastAsia="Times New Roman" w:hAnsi="Times New Roman"/>
                <w:sz w:val="18"/>
                <w:szCs w:val="18"/>
                <w:b w:val="1"/>
                <w:bCs w:val="1"/>
                <w:color w:val="auto"/>
                <w:w w:val="99"/>
              </w:rPr>
              <w:t>Capped Call</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240"/>
              <w:spacing w:after="0" w:line="168" w:lineRule="exact"/>
              <w:rPr>
                <w:sz w:val="20"/>
                <w:szCs w:val="20"/>
                <w:color w:val="auto"/>
              </w:rPr>
            </w:pPr>
            <w:r>
              <w:rPr>
                <w:rFonts w:ascii="Times New Roman" w:cs="Times New Roman" w:eastAsia="Times New Roman" w:hAnsi="Times New Roman"/>
                <w:sz w:val="18"/>
                <w:szCs w:val="18"/>
                <w:b w:val="1"/>
                <w:bCs w:val="1"/>
                <w:color w:val="auto"/>
                <w:w w:val="99"/>
              </w:rPr>
              <w:t>Capped Call</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center"/>
              <w:ind w:right="260"/>
              <w:spacing w:after="0" w:line="168" w:lineRule="exact"/>
              <w:rPr>
                <w:sz w:val="20"/>
                <w:szCs w:val="20"/>
                <w:color w:val="auto"/>
              </w:rPr>
            </w:pPr>
            <w:r>
              <w:rPr>
                <w:rFonts w:ascii="Times New Roman" w:cs="Times New Roman" w:eastAsia="Times New Roman" w:hAnsi="Times New Roman"/>
                <w:sz w:val="18"/>
                <w:szCs w:val="18"/>
                <w:b w:val="1"/>
                <w:bCs w:val="1"/>
                <w:color w:val="auto"/>
              </w:rPr>
              <w:t>Embedded</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3"/>
          </w:tcPr>
          <w:p>
            <w:pPr>
              <w:jc w:val="center"/>
              <w:ind w:right="280"/>
              <w:spacing w:after="0" w:line="168" w:lineRule="exact"/>
              <w:rPr>
                <w:sz w:val="20"/>
                <w:szCs w:val="20"/>
                <w:color w:val="auto"/>
              </w:rPr>
            </w:pPr>
            <w:r>
              <w:rPr>
                <w:rFonts w:ascii="Times New Roman" w:cs="Times New Roman" w:eastAsia="Times New Roman" w:hAnsi="Times New Roman"/>
                <w:sz w:val="18"/>
                <w:szCs w:val="18"/>
                <w:b w:val="1"/>
                <w:bCs w:val="1"/>
                <w:color w:val="auto"/>
                <w:w w:val="98"/>
              </w:rPr>
              <w:t>Embedded</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jc w:val="center"/>
              <w:ind w:right="70"/>
              <w:spacing w:after="0" w:line="168" w:lineRule="exact"/>
              <w:rPr>
                <w:sz w:val="20"/>
                <w:szCs w:val="20"/>
                <w:color w:val="auto"/>
              </w:rPr>
            </w:pPr>
            <w:r>
              <w:rPr>
                <w:rFonts w:ascii="Times New Roman" w:cs="Times New Roman" w:eastAsia="Times New Roman" w:hAnsi="Times New Roman"/>
                <w:sz w:val="18"/>
                <w:szCs w:val="18"/>
                <w:b w:val="1"/>
                <w:bCs w:val="1"/>
                <w:color w:val="auto"/>
                <w:w w:val="98"/>
              </w:rPr>
              <w:t>ImThera</w:t>
            </w:r>
          </w:p>
        </w:tc>
        <w:tc>
          <w:tcPr>
            <w:tcW w:w="0" w:type="dxa"/>
            <w:vAlign w:val="bottom"/>
          </w:tcPr>
          <w:p>
            <w:pPr>
              <w:spacing w:after="0"/>
              <w:rPr>
                <w:sz w:val="1"/>
                <w:szCs w:val="1"/>
                <w:color w:val="auto"/>
              </w:rPr>
            </w:pPr>
          </w:p>
        </w:tc>
      </w:tr>
      <w:tr>
        <w:trPr>
          <w:trHeight w:val="179"/>
        </w:trPr>
        <w:tc>
          <w:tcPr>
            <w:tcW w:w="2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center"/>
              <w:ind w:right="240"/>
              <w:spacing w:after="0" w:line="179" w:lineRule="exact"/>
              <w:rPr>
                <w:sz w:val="20"/>
                <w:szCs w:val="20"/>
                <w:color w:val="auto"/>
              </w:rPr>
            </w:pPr>
            <w:r>
              <w:rPr>
                <w:rFonts w:ascii="Times New Roman" w:cs="Times New Roman" w:eastAsia="Times New Roman" w:hAnsi="Times New Roman"/>
                <w:sz w:val="18"/>
                <w:szCs w:val="18"/>
                <w:b w:val="1"/>
                <w:bCs w:val="1"/>
                <w:color w:val="auto"/>
                <w:w w:val="99"/>
              </w:rPr>
              <w:t>Derivative</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jc w:val="center"/>
              <w:ind w:right="240"/>
              <w:spacing w:after="0" w:line="179" w:lineRule="exact"/>
              <w:rPr>
                <w:sz w:val="20"/>
                <w:szCs w:val="20"/>
                <w:color w:val="auto"/>
              </w:rPr>
            </w:pPr>
            <w:r>
              <w:rPr>
                <w:rFonts w:ascii="Times New Roman" w:cs="Times New Roman" w:eastAsia="Times New Roman" w:hAnsi="Times New Roman"/>
                <w:sz w:val="18"/>
                <w:szCs w:val="18"/>
                <w:b w:val="1"/>
                <w:bCs w:val="1"/>
                <w:color w:val="auto"/>
                <w:w w:val="99"/>
              </w:rPr>
              <w:t>Derivative</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2"/>
          </w:tcPr>
          <w:p>
            <w:pPr>
              <w:jc w:val="center"/>
              <w:ind w:right="260"/>
              <w:spacing w:after="0" w:line="179" w:lineRule="exact"/>
              <w:rPr>
                <w:sz w:val="20"/>
                <w:szCs w:val="20"/>
                <w:color w:val="auto"/>
              </w:rPr>
            </w:pPr>
            <w:r>
              <w:rPr>
                <w:rFonts w:ascii="Times New Roman" w:cs="Times New Roman" w:eastAsia="Times New Roman" w:hAnsi="Times New Roman"/>
                <w:sz w:val="18"/>
                <w:szCs w:val="18"/>
                <w:b w:val="1"/>
                <w:bCs w:val="1"/>
                <w:color w:val="auto"/>
                <w:w w:val="99"/>
              </w:rPr>
              <w:t>Derivative</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3"/>
          </w:tcPr>
          <w:p>
            <w:pPr>
              <w:jc w:val="center"/>
              <w:ind w:right="260"/>
              <w:spacing w:after="0" w:line="179" w:lineRule="exact"/>
              <w:rPr>
                <w:sz w:val="20"/>
                <w:szCs w:val="20"/>
                <w:color w:val="auto"/>
              </w:rPr>
            </w:pPr>
            <w:r>
              <w:rPr>
                <w:rFonts w:ascii="Times New Roman" w:cs="Times New Roman" w:eastAsia="Times New Roman" w:hAnsi="Times New Roman"/>
                <w:sz w:val="18"/>
                <w:szCs w:val="18"/>
                <w:b w:val="1"/>
                <w:bCs w:val="1"/>
                <w:color w:val="auto"/>
                <w:w w:val="99"/>
              </w:rPr>
              <w:t>Derivative</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jc w:val="center"/>
              <w:ind w:right="70"/>
              <w:spacing w:after="0" w:line="179" w:lineRule="exact"/>
              <w:rPr>
                <w:sz w:val="20"/>
                <w:szCs w:val="20"/>
                <w:color w:val="auto"/>
              </w:rPr>
            </w:pPr>
            <w:r>
              <w:rPr>
                <w:rFonts w:ascii="Times New Roman" w:cs="Times New Roman" w:eastAsia="Times New Roman" w:hAnsi="Times New Roman"/>
                <w:sz w:val="18"/>
                <w:szCs w:val="18"/>
                <w:b w:val="1"/>
                <w:bCs w:val="1"/>
                <w:color w:val="auto"/>
                <w:w w:val="97"/>
              </w:rPr>
              <w:t>Contingent</w:t>
            </w:r>
          </w:p>
        </w:tc>
        <w:tc>
          <w:tcPr>
            <w:tcW w:w="0" w:type="dxa"/>
            <w:vAlign w:val="bottom"/>
          </w:tcPr>
          <w:p>
            <w:pPr>
              <w:spacing w:after="0"/>
              <w:rPr>
                <w:sz w:val="1"/>
                <w:szCs w:val="1"/>
                <w:color w:val="auto"/>
              </w:rPr>
            </w:pPr>
          </w:p>
        </w:tc>
      </w:tr>
      <w:tr>
        <w:trPr>
          <w:trHeight w:val="184"/>
        </w:trPr>
        <w:tc>
          <w:tcPr>
            <w:tcW w:w="2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center"/>
              <w:ind w:right="280"/>
              <w:spacing w:after="0" w:line="183" w:lineRule="exact"/>
              <w:rPr>
                <w:sz w:val="20"/>
                <w:szCs w:val="20"/>
                <w:color w:val="auto"/>
              </w:rPr>
            </w:pPr>
            <w:r>
              <w:rPr>
                <w:rFonts w:ascii="Times New Roman" w:cs="Times New Roman" w:eastAsia="Times New Roman" w:hAnsi="Times New Roman"/>
                <w:sz w:val="18"/>
                <w:szCs w:val="18"/>
                <w:b w:val="1"/>
                <w:bCs w:val="1"/>
                <w:color w:val="auto"/>
                <w:w w:val="99"/>
              </w:rPr>
              <w:t>Assets</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jc w:val="center"/>
              <w:ind w:right="280"/>
              <w:spacing w:after="0" w:line="183" w:lineRule="exact"/>
              <w:rPr>
                <w:sz w:val="20"/>
                <w:szCs w:val="20"/>
                <w:color w:val="auto"/>
              </w:rPr>
            </w:pPr>
            <w:r>
              <w:rPr>
                <w:rFonts w:ascii="Times New Roman" w:cs="Times New Roman" w:eastAsia="Times New Roman" w:hAnsi="Times New Roman"/>
                <w:sz w:val="18"/>
                <w:szCs w:val="18"/>
                <w:b w:val="1"/>
                <w:bCs w:val="1"/>
                <w:color w:val="auto"/>
                <w:w w:val="99"/>
              </w:rPr>
              <w:t>Assets</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2"/>
          </w:tcPr>
          <w:p>
            <w:pPr>
              <w:jc w:val="center"/>
              <w:ind w:right="320"/>
              <w:spacing w:after="0" w:line="183" w:lineRule="exact"/>
              <w:rPr>
                <w:sz w:val="20"/>
                <w:szCs w:val="20"/>
                <w:color w:val="auto"/>
              </w:rPr>
            </w:pPr>
            <w:r>
              <w:rPr>
                <w:rFonts w:ascii="Times New Roman" w:cs="Times New Roman" w:eastAsia="Times New Roman" w:hAnsi="Times New Roman"/>
                <w:sz w:val="18"/>
                <w:szCs w:val="18"/>
                <w:b w:val="1"/>
                <w:bCs w:val="1"/>
                <w:color w:val="auto"/>
                <w:w w:val="99"/>
              </w:rPr>
              <w:t>Liability</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3"/>
          </w:tcPr>
          <w:p>
            <w:pPr>
              <w:jc w:val="center"/>
              <w:ind w:right="320"/>
              <w:spacing w:after="0" w:line="183" w:lineRule="exact"/>
              <w:rPr>
                <w:sz w:val="20"/>
                <w:szCs w:val="20"/>
                <w:color w:val="auto"/>
              </w:rPr>
            </w:pPr>
            <w:r>
              <w:rPr>
                <w:rFonts w:ascii="Times New Roman" w:cs="Times New Roman" w:eastAsia="Times New Roman" w:hAnsi="Times New Roman"/>
                <w:sz w:val="18"/>
                <w:szCs w:val="18"/>
                <w:b w:val="1"/>
                <w:bCs w:val="1"/>
                <w:color w:val="auto"/>
                <w:w w:val="99"/>
              </w:rPr>
              <w:t>Liability</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jc w:val="center"/>
              <w:ind w:right="70"/>
              <w:spacing w:after="0" w:line="183" w:lineRule="exact"/>
              <w:rPr>
                <w:sz w:val="20"/>
                <w:szCs w:val="20"/>
                <w:color w:val="auto"/>
              </w:rPr>
            </w:pPr>
            <w:r>
              <w:rPr>
                <w:rFonts w:ascii="Times New Roman" w:cs="Times New Roman" w:eastAsia="Times New Roman" w:hAnsi="Times New Roman"/>
                <w:sz w:val="18"/>
                <w:szCs w:val="18"/>
                <w:b w:val="1"/>
                <w:bCs w:val="1"/>
                <w:color w:val="auto"/>
                <w:w w:val="99"/>
              </w:rPr>
              <w:t>Consideration</w:t>
            </w:r>
          </w:p>
        </w:tc>
        <w:tc>
          <w:tcPr>
            <w:tcW w:w="0" w:type="dxa"/>
            <w:vAlign w:val="bottom"/>
          </w:tcPr>
          <w:p>
            <w:pPr>
              <w:spacing w:after="0"/>
              <w:rPr>
                <w:sz w:val="1"/>
                <w:szCs w:val="1"/>
                <w:color w:val="auto"/>
              </w:rPr>
            </w:pPr>
          </w:p>
        </w:tc>
      </w:tr>
      <w:tr>
        <w:trPr>
          <w:trHeight w:val="228"/>
        </w:trPr>
        <w:tc>
          <w:tcPr>
            <w:tcW w:w="2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(2025 Notes)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(2029 Notes)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(2025 Notes)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(2029 Notes)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Liability</w:t>
            </w:r>
          </w:p>
        </w:tc>
        <w:tc>
          <w:tcPr>
            <w:tcW w:w="0" w:type="dxa"/>
            <w:vAlign w:val="bottom"/>
          </w:tcPr>
          <w:p>
            <w:pPr>
              <w:spacing w:after="0"/>
              <w:rPr>
                <w:sz w:val="1"/>
                <w:szCs w:val="1"/>
                <w:color w:val="auto"/>
              </w:rPr>
            </w:pPr>
          </w:p>
        </w:tc>
      </w:tr>
      <w:tr>
        <w:trPr>
          <w:trHeight w:val="222"/>
        </w:trPr>
        <w:tc>
          <w:tcPr>
            <w:tcW w:w="2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31, 2025</w:t>
            </w:r>
          </w:p>
        </w:tc>
        <w:tc>
          <w:tcPr>
            <w:tcW w:w="14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17,190</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37,226</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85,140</w:t>
            </w:r>
          </w:p>
        </w:tc>
        <w:tc>
          <w:tcPr>
            <w:tcW w:w="0" w:type="dxa"/>
            <w:vAlign w:val="bottom"/>
          </w:tcPr>
          <w:p>
            <w:pPr>
              <w:spacing w:after="0"/>
              <w:rPr>
                <w:sz w:val="1"/>
                <w:szCs w:val="1"/>
                <w:color w:val="auto"/>
              </w:rPr>
            </w:pPr>
          </w:p>
        </w:tc>
      </w:tr>
      <w:tr>
        <w:trPr>
          <w:trHeight w:val="228"/>
        </w:trPr>
        <w:tc>
          <w:tcPr>
            <w:tcW w:w="2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Changes in fair value</w:t>
            </w:r>
          </w:p>
        </w:tc>
        <w:tc>
          <w:tcPr>
            <w:tcW w:w="14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4,468</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10,867</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2,787</w:t>
            </w:r>
          </w:p>
        </w:tc>
        <w:tc>
          <w:tcPr>
            <w:tcW w:w="0" w:type="dxa"/>
            <w:vAlign w:val="bottom"/>
          </w:tcPr>
          <w:p>
            <w:pPr>
              <w:spacing w:after="0"/>
              <w:rPr>
                <w:sz w:val="1"/>
                <w:szCs w:val="1"/>
                <w:color w:val="auto"/>
              </w:rPr>
            </w:pPr>
          </w:p>
        </w:tc>
      </w:tr>
      <w:tr>
        <w:trPr>
          <w:trHeight w:val="247"/>
        </w:trPr>
        <w:tc>
          <w:tcPr>
            <w:tcW w:w="2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30, 2025</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21,658</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48,093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87,927</w:t>
            </w:r>
          </w:p>
        </w:tc>
        <w:tc>
          <w:tcPr>
            <w:tcW w:w="0" w:type="dxa"/>
            <w:vAlign w:val="bottom"/>
          </w:tcPr>
          <w:p>
            <w:pPr>
              <w:spacing w:after="0"/>
              <w:rPr>
                <w:sz w:val="1"/>
                <w:szCs w:val="1"/>
                <w:color w:val="auto"/>
              </w:rPr>
            </w:pP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25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w w:val="98"/>
              </w:rPr>
              <w:t>Three Months Ended June 30, 2024</w:t>
            </w: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2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center"/>
              <w:ind w:right="220"/>
              <w:spacing w:after="0" w:line="168" w:lineRule="exact"/>
              <w:rPr>
                <w:sz w:val="20"/>
                <w:szCs w:val="20"/>
                <w:color w:val="auto"/>
              </w:rPr>
            </w:pPr>
            <w:r>
              <w:rPr>
                <w:rFonts w:ascii="Times New Roman" w:cs="Times New Roman" w:eastAsia="Times New Roman" w:hAnsi="Times New Roman"/>
                <w:sz w:val="18"/>
                <w:szCs w:val="18"/>
                <w:b w:val="1"/>
                <w:bCs w:val="1"/>
                <w:color w:val="auto"/>
                <w:w w:val="99"/>
              </w:rPr>
              <w:t>Capped Call</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200"/>
              <w:spacing w:after="0" w:line="168" w:lineRule="exact"/>
              <w:rPr>
                <w:sz w:val="20"/>
                <w:szCs w:val="20"/>
                <w:color w:val="auto"/>
              </w:rPr>
            </w:pPr>
            <w:r>
              <w:rPr>
                <w:rFonts w:ascii="Times New Roman" w:cs="Times New Roman" w:eastAsia="Times New Roman" w:hAnsi="Times New Roman"/>
                <w:sz w:val="18"/>
                <w:szCs w:val="18"/>
                <w:b w:val="1"/>
                <w:bCs w:val="1"/>
                <w:color w:val="auto"/>
                <w:w w:val="99"/>
              </w:rPr>
              <w:t>Capped Call</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Convertible</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center"/>
              <w:ind w:right="240"/>
              <w:spacing w:after="0" w:line="168" w:lineRule="exact"/>
              <w:rPr>
                <w:sz w:val="20"/>
                <w:szCs w:val="20"/>
                <w:color w:val="auto"/>
              </w:rPr>
            </w:pPr>
            <w:r>
              <w:rPr>
                <w:rFonts w:ascii="Times New Roman" w:cs="Times New Roman" w:eastAsia="Times New Roman" w:hAnsi="Times New Roman"/>
                <w:sz w:val="18"/>
                <w:szCs w:val="18"/>
                <w:b w:val="1"/>
                <w:bCs w:val="1"/>
                <w:color w:val="auto"/>
                <w:w w:val="98"/>
              </w:rPr>
              <w:t>Embedded</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3"/>
          </w:tcPr>
          <w:p>
            <w:pPr>
              <w:jc w:val="center"/>
              <w:ind w:right="240"/>
              <w:spacing w:after="0" w:line="168" w:lineRule="exact"/>
              <w:rPr>
                <w:sz w:val="20"/>
                <w:szCs w:val="20"/>
                <w:color w:val="auto"/>
              </w:rPr>
            </w:pPr>
            <w:r>
              <w:rPr>
                <w:rFonts w:ascii="Times New Roman" w:cs="Times New Roman" w:eastAsia="Times New Roman" w:hAnsi="Times New Roman"/>
                <w:sz w:val="18"/>
                <w:szCs w:val="18"/>
                <w:b w:val="1"/>
                <w:bCs w:val="1"/>
                <w:color w:val="auto"/>
                <w:w w:val="98"/>
              </w:rPr>
              <w:t>Embedded</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Contingent</w:t>
            </w:r>
          </w:p>
        </w:tc>
        <w:tc>
          <w:tcPr>
            <w:tcW w:w="0" w:type="dxa"/>
            <w:vAlign w:val="bottom"/>
          </w:tcPr>
          <w:p>
            <w:pPr>
              <w:spacing w:after="0"/>
              <w:rPr>
                <w:sz w:val="1"/>
                <w:szCs w:val="1"/>
                <w:color w:val="auto"/>
              </w:rPr>
            </w:pPr>
          </w:p>
        </w:tc>
      </w:tr>
      <w:tr>
        <w:trPr>
          <w:trHeight w:val="175"/>
        </w:trPr>
        <w:tc>
          <w:tcPr>
            <w:tcW w:w="2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jc w:val="center"/>
              <w:ind w:right="220"/>
              <w:spacing w:after="0" w:line="175" w:lineRule="exact"/>
              <w:rPr>
                <w:sz w:val="20"/>
                <w:szCs w:val="20"/>
                <w:color w:val="auto"/>
              </w:rPr>
            </w:pPr>
            <w:r>
              <w:rPr>
                <w:rFonts w:ascii="Times New Roman" w:cs="Times New Roman" w:eastAsia="Times New Roman" w:hAnsi="Times New Roman"/>
                <w:sz w:val="18"/>
                <w:szCs w:val="18"/>
                <w:b w:val="1"/>
                <w:bCs w:val="1"/>
                <w:color w:val="auto"/>
                <w:w w:val="99"/>
              </w:rPr>
              <w:t>Derivative</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center"/>
              <w:ind w:right="200"/>
              <w:spacing w:after="0" w:line="175" w:lineRule="exact"/>
              <w:rPr>
                <w:sz w:val="20"/>
                <w:szCs w:val="20"/>
                <w:color w:val="auto"/>
              </w:rPr>
            </w:pPr>
            <w:r>
              <w:rPr>
                <w:rFonts w:ascii="Times New Roman" w:cs="Times New Roman" w:eastAsia="Times New Roman" w:hAnsi="Times New Roman"/>
                <w:sz w:val="18"/>
                <w:szCs w:val="18"/>
                <w:b w:val="1"/>
                <w:bCs w:val="1"/>
                <w:color w:val="auto"/>
                <w:w w:val="99"/>
              </w:rPr>
              <w:t>Derivative</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2"/>
          </w:tcPr>
          <w:p>
            <w:pPr>
              <w:jc w:val="center"/>
              <w:ind w:right="240"/>
              <w:spacing w:after="0" w:line="175" w:lineRule="exact"/>
              <w:rPr>
                <w:sz w:val="20"/>
                <w:szCs w:val="20"/>
                <w:color w:val="auto"/>
              </w:rPr>
            </w:pPr>
            <w:r>
              <w:rPr>
                <w:rFonts w:ascii="Times New Roman" w:cs="Times New Roman" w:eastAsia="Times New Roman" w:hAnsi="Times New Roman"/>
                <w:sz w:val="18"/>
                <w:szCs w:val="18"/>
                <w:b w:val="1"/>
                <w:bCs w:val="1"/>
                <w:color w:val="auto"/>
                <w:w w:val="97"/>
              </w:rPr>
              <w:t>Derivative</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3"/>
          </w:tcPr>
          <w:p>
            <w:pPr>
              <w:jc w:val="center"/>
              <w:ind w:right="240"/>
              <w:spacing w:after="0" w:line="175" w:lineRule="exact"/>
              <w:rPr>
                <w:sz w:val="20"/>
                <w:szCs w:val="20"/>
                <w:color w:val="auto"/>
              </w:rPr>
            </w:pPr>
            <w:r>
              <w:rPr>
                <w:rFonts w:ascii="Times New Roman" w:cs="Times New Roman" w:eastAsia="Times New Roman" w:hAnsi="Times New Roman"/>
                <w:sz w:val="18"/>
                <w:szCs w:val="18"/>
                <w:b w:val="1"/>
                <w:bCs w:val="1"/>
                <w:color w:val="auto"/>
                <w:w w:val="97"/>
              </w:rPr>
              <w:t>Derivative</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jc w:val="center"/>
              <w:ind w:right="260"/>
              <w:spacing w:after="0" w:line="175" w:lineRule="exact"/>
              <w:rPr>
                <w:sz w:val="20"/>
                <w:szCs w:val="20"/>
                <w:color w:val="auto"/>
              </w:rPr>
            </w:pPr>
            <w:r>
              <w:rPr>
                <w:rFonts w:ascii="Times New Roman" w:cs="Times New Roman" w:eastAsia="Times New Roman" w:hAnsi="Times New Roman"/>
                <w:sz w:val="18"/>
                <w:szCs w:val="18"/>
                <w:b w:val="1"/>
                <w:bCs w:val="1"/>
                <w:color w:val="auto"/>
                <w:w w:val="99"/>
              </w:rPr>
              <w:t>Assets</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center"/>
              <w:ind w:right="240"/>
              <w:spacing w:after="0" w:line="175" w:lineRule="exact"/>
              <w:rPr>
                <w:sz w:val="20"/>
                <w:szCs w:val="20"/>
                <w:color w:val="auto"/>
              </w:rPr>
            </w:pPr>
            <w:r>
              <w:rPr>
                <w:rFonts w:ascii="Times New Roman" w:cs="Times New Roman" w:eastAsia="Times New Roman" w:hAnsi="Times New Roman"/>
                <w:sz w:val="18"/>
                <w:szCs w:val="18"/>
                <w:b w:val="1"/>
                <w:bCs w:val="1"/>
                <w:color w:val="auto"/>
                <w:w w:val="99"/>
              </w:rPr>
              <w:t>Assets</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jc w:val="center"/>
              <w:ind w:right="220"/>
              <w:spacing w:after="0" w:line="175" w:lineRule="exact"/>
              <w:rPr>
                <w:sz w:val="20"/>
                <w:szCs w:val="20"/>
                <w:color w:val="auto"/>
              </w:rPr>
            </w:pPr>
            <w:r>
              <w:rPr>
                <w:rFonts w:ascii="Times New Roman" w:cs="Times New Roman" w:eastAsia="Times New Roman" w:hAnsi="Times New Roman"/>
                <w:sz w:val="18"/>
                <w:szCs w:val="18"/>
                <w:b w:val="1"/>
                <w:bCs w:val="1"/>
                <w:color w:val="auto"/>
                <w:w w:val="97"/>
              </w:rPr>
              <w:t>Notes</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2"/>
          </w:tcPr>
          <w:p>
            <w:pPr>
              <w:jc w:val="center"/>
              <w:ind w:right="280"/>
              <w:spacing w:after="0" w:line="175" w:lineRule="exact"/>
              <w:rPr>
                <w:sz w:val="20"/>
                <w:szCs w:val="20"/>
                <w:color w:val="auto"/>
              </w:rPr>
            </w:pPr>
            <w:r>
              <w:rPr>
                <w:rFonts w:ascii="Times New Roman" w:cs="Times New Roman" w:eastAsia="Times New Roman" w:hAnsi="Times New Roman"/>
                <w:sz w:val="18"/>
                <w:szCs w:val="18"/>
                <w:b w:val="1"/>
                <w:bCs w:val="1"/>
                <w:color w:val="auto"/>
                <w:w w:val="99"/>
              </w:rPr>
              <w:t>Liability</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3"/>
          </w:tcPr>
          <w:p>
            <w:pPr>
              <w:jc w:val="center"/>
              <w:ind w:right="280"/>
              <w:spacing w:after="0" w:line="175" w:lineRule="exact"/>
              <w:rPr>
                <w:sz w:val="20"/>
                <w:szCs w:val="20"/>
                <w:color w:val="auto"/>
              </w:rPr>
            </w:pPr>
            <w:r>
              <w:rPr>
                <w:rFonts w:ascii="Times New Roman" w:cs="Times New Roman" w:eastAsia="Times New Roman" w:hAnsi="Times New Roman"/>
                <w:sz w:val="18"/>
                <w:szCs w:val="18"/>
                <w:b w:val="1"/>
                <w:bCs w:val="1"/>
                <w:color w:val="auto"/>
                <w:w w:val="99"/>
              </w:rPr>
              <w:t>Liability</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jc w:val="center"/>
              <w:ind w:right="50"/>
              <w:spacing w:after="0" w:line="175" w:lineRule="exact"/>
              <w:rPr>
                <w:sz w:val="20"/>
                <w:szCs w:val="20"/>
                <w:color w:val="auto"/>
              </w:rPr>
            </w:pPr>
            <w:r>
              <w:rPr>
                <w:rFonts w:ascii="Times New Roman" w:cs="Times New Roman" w:eastAsia="Times New Roman" w:hAnsi="Times New Roman"/>
                <w:sz w:val="18"/>
                <w:szCs w:val="18"/>
                <w:b w:val="1"/>
                <w:bCs w:val="1"/>
                <w:color w:val="auto"/>
              </w:rPr>
              <w:t>Consideration</w:t>
            </w:r>
          </w:p>
        </w:tc>
        <w:tc>
          <w:tcPr>
            <w:tcW w:w="0" w:type="dxa"/>
            <w:vAlign w:val="bottom"/>
          </w:tcPr>
          <w:p>
            <w:pPr>
              <w:spacing w:after="0"/>
              <w:rPr>
                <w:sz w:val="1"/>
                <w:szCs w:val="1"/>
                <w:color w:val="auto"/>
              </w:rPr>
            </w:pPr>
          </w:p>
        </w:tc>
      </w:tr>
      <w:tr>
        <w:trPr>
          <w:trHeight w:val="242"/>
        </w:trPr>
        <w:tc>
          <w:tcPr>
            <w:tcW w:w="2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(2025 Notes)</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(2029 Notes)</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Receivable</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(2025 Notes)</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(2029 Notes)</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Liability</w:t>
            </w:r>
          </w:p>
        </w:tc>
        <w:tc>
          <w:tcPr>
            <w:tcW w:w="0" w:type="dxa"/>
            <w:vAlign w:val="bottom"/>
          </w:tcPr>
          <w:p>
            <w:pPr>
              <w:spacing w:after="0"/>
              <w:rPr>
                <w:sz w:val="1"/>
                <w:szCs w:val="1"/>
                <w:color w:val="auto"/>
              </w:rPr>
            </w:pPr>
          </w:p>
        </w:tc>
      </w:tr>
      <w:tr>
        <w:trPr>
          <w:trHeight w:val="222"/>
        </w:trPr>
        <w:tc>
          <w:tcPr>
            <w:tcW w:w="2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31, 2024</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8,010</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33,607</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10,632</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94,288</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80,769</w:t>
            </w:r>
          </w:p>
        </w:tc>
        <w:tc>
          <w:tcPr>
            <w:tcW w:w="0" w:type="dxa"/>
            <w:vAlign w:val="bottom"/>
          </w:tcPr>
          <w:p>
            <w:pPr>
              <w:spacing w:after="0"/>
              <w:rPr>
                <w:sz w:val="1"/>
                <w:szCs w:val="1"/>
                <w:color w:val="auto"/>
              </w:rPr>
            </w:pPr>
          </w:p>
        </w:tc>
      </w:tr>
      <w:tr>
        <w:trPr>
          <w:trHeight w:val="228"/>
        </w:trPr>
        <w:tc>
          <w:tcPr>
            <w:tcW w:w="2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Changes in fair value</w:t>
            </w: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(1,493)</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1,104</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0" w:type="dxa"/>
            <w:vAlign w:val="bottom"/>
          </w:tcPr>
          <w:p>
            <w:pPr>
              <w:spacing w:after="0"/>
              <w:rPr>
                <w:sz w:val="1"/>
                <w:szCs w:val="1"/>
                <w:color w:val="auto"/>
              </w:rPr>
            </w:pPr>
          </w:p>
        </w:tc>
      </w:tr>
      <w:tr>
        <w:trPr>
          <w:trHeight w:val="247"/>
        </w:trPr>
        <w:tc>
          <w:tcPr>
            <w:tcW w:w="2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30, 2024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7,439</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32,114</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10,017</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95,392</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81,174</w:t>
            </w:r>
          </w:p>
        </w:tc>
        <w:tc>
          <w:tcPr>
            <w:tcW w:w="0" w:type="dxa"/>
            <w:vAlign w:val="bottom"/>
          </w:tcPr>
          <w:p>
            <w:pPr>
              <w:spacing w:after="0"/>
              <w:rPr>
                <w:sz w:val="1"/>
                <w:szCs w:val="1"/>
                <w:color w:val="auto"/>
              </w:rPr>
            </w:pP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14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1420" w:type="dxa"/>
            <w:vAlign w:val="bottom"/>
            <w:tcBorders>
              <w:top w:val="single" w:sz="8" w:color="CCEEFF"/>
              <w:bottom w:val="single" w:sz="8" w:color="auto"/>
            </w:tcBorders>
            <w:gridSpan w:val="3"/>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2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280" w:type="dxa"/>
            <w:vAlign w:val="bottom"/>
            <w:tcBorders>
              <w:bottom w:val="single" w:sz="8" w:color="auto"/>
            </w:tcBorders>
            <w:gridSpan w:val="11"/>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Six Months Ended June 30, 2025</w:t>
            </w: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2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center"/>
              <w:ind w:right="240"/>
              <w:spacing w:after="0" w:line="173" w:lineRule="exact"/>
              <w:rPr>
                <w:sz w:val="20"/>
                <w:szCs w:val="20"/>
                <w:color w:val="auto"/>
              </w:rPr>
            </w:pPr>
            <w:r>
              <w:rPr>
                <w:rFonts w:ascii="Times New Roman" w:cs="Times New Roman" w:eastAsia="Times New Roman" w:hAnsi="Times New Roman"/>
                <w:sz w:val="18"/>
                <w:szCs w:val="18"/>
                <w:b w:val="1"/>
                <w:bCs w:val="1"/>
                <w:color w:val="auto"/>
                <w:w w:val="99"/>
              </w:rPr>
              <w:t>Capped Call</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jc w:val="center"/>
              <w:ind w:right="240"/>
              <w:spacing w:after="0" w:line="173" w:lineRule="exact"/>
              <w:rPr>
                <w:sz w:val="20"/>
                <w:szCs w:val="20"/>
                <w:color w:val="auto"/>
              </w:rPr>
            </w:pPr>
            <w:r>
              <w:rPr>
                <w:rFonts w:ascii="Times New Roman" w:cs="Times New Roman" w:eastAsia="Times New Roman" w:hAnsi="Times New Roman"/>
                <w:sz w:val="18"/>
                <w:szCs w:val="18"/>
                <w:b w:val="1"/>
                <w:bCs w:val="1"/>
                <w:color w:val="auto"/>
                <w:w w:val="99"/>
              </w:rPr>
              <w:t>Capped Call</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2"/>
          </w:tcPr>
          <w:p>
            <w:pPr>
              <w:jc w:val="center"/>
              <w:ind w:right="260"/>
              <w:spacing w:after="0" w:line="173" w:lineRule="exact"/>
              <w:rPr>
                <w:sz w:val="20"/>
                <w:szCs w:val="20"/>
                <w:color w:val="auto"/>
              </w:rPr>
            </w:pPr>
            <w:r>
              <w:rPr>
                <w:rFonts w:ascii="Times New Roman" w:cs="Times New Roman" w:eastAsia="Times New Roman" w:hAnsi="Times New Roman"/>
                <w:sz w:val="18"/>
                <w:szCs w:val="18"/>
                <w:b w:val="1"/>
                <w:bCs w:val="1"/>
                <w:color w:val="auto"/>
              </w:rPr>
              <w:t>Embedded</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3"/>
          </w:tcPr>
          <w:p>
            <w:pPr>
              <w:jc w:val="center"/>
              <w:ind w:right="280"/>
              <w:spacing w:after="0" w:line="173" w:lineRule="exact"/>
              <w:rPr>
                <w:sz w:val="20"/>
                <w:szCs w:val="20"/>
                <w:color w:val="auto"/>
              </w:rPr>
            </w:pPr>
            <w:r>
              <w:rPr>
                <w:rFonts w:ascii="Times New Roman" w:cs="Times New Roman" w:eastAsia="Times New Roman" w:hAnsi="Times New Roman"/>
                <w:sz w:val="18"/>
                <w:szCs w:val="18"/>
                <w:b w:val="1"/>
                <w:bCs w:val="1"/>
                <w:color w:val="auto"/>
                <w:w w:val="98"/>
              </w:rPr>
              <w:t>Embedded</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jc w:val="center"/>
              <w:ind w:right="70"/>
              <w:spacing w:after="0" w:line="173" w:lineRule="exact"/>
              <w:rPr>
                <w:sz w:val="20"/>
                <w:szCs w:val="20"/>
                <w:color w:val="auto"/>
              </w:rPr>
            </w:pPr>
            <w:r>
              <w:rPr>
                <w:rFonts w:ascii="Times New Roman" w:cs="Times New Roman" w:eastAsia="Times New Roman" w:hAnsi="Times New Roman"/>
                <w:sz w:val="18"/>
                <w:szCs w:val="18"/>
                <w:b w:val="1"/>
                <w:bCs w:val="1"/>
                <w:color w:val="auto"/>
                <w:w w:val="98"/>
              </w:rPr>
              <w:t>ImThera</w:t>
            </w:r>
          </w:p>
        </w:tc>
        <w:tc>
          <w:tcPr>
            <w:tcW w:w="0" w:type="dxa"/>
            <w:vAlign w:val="bottom"/>
          </w:tcPr>
          <w:p>
            <w:pPr>
              <w:spacing w:after="0"/>
              <w:rPr>
                <w:sz w:val="1"/>
                <w:szCs w:val="1"/>
                <w:color w:val="auto"/>
              </w:rPr>
            </w:pPr>
          </w:p>
        </w:tc>
      </w:tr>
      <w:tr>
        <w:trPr>
          <w:trHeight w:val="184"/>
        </w:trPr>
        <w:tc>
          <w:tcPr>
            <w:tcW w:w="2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center"/>
              <w:ind w:right="240"/>
              <w:spacing w:after="0" w:line="183" w:lineRule="exact"/>
              <w:rPr>
                <w:sz w:val="20"/>
                <w:szCs w:val="20"/>
                <w:color w:val="auto"/>
              </w:rPr>
            </w:pPr>
            <w:r>
              <w:rPr>
                <w:rFonts w:ascii="Times New Roman" w:cs="Times New Roman" w:eastAsia="Times New Roman" w:hAnsi="Times New Roman"/>
                <w:sz w:val="18"/>
                <w:szCs w:val="18"/>
                <w:b w:val="1"/>
                <w:bCs w:val="1"/>
                <w:color w:val="auto"/>
                <w:w w:val="99"/>
              </w:rPr>
              <w:t>Derivative</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jc w:val="center"/>
              <w:ind w:right="240"/>
              <w:spacing w:after="0" w:line="183" w:lineRule="exact"/>
              <w:rPr>
                <w:sz w:val="20"/>
                <w:szCs w:val="20"/>
                <w:color w:val="auto"/>
              </w:rPr>
            </w:pPr>
            <w:r>
              <w:rPr>
                <w:rFonts w:ascii="Times New Roman" w:cs="Times New Roman" w:eastAsia="Times New Roman" w:hAnsi="Times New Roman"/>
                <w:sz w:val="18"/>
                <w:szCs w:val="18"/>
                <w:b w:val="1"/>
                <w:bCs w:val="1"/>
                <w:color w:val="auto"/>
                <w:w w:val="99"/>
              </w:rPr>
              <w:t>Derivative</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2"/>
          </w:tcPr>
          <w:p>
            <w:pPr>
              <w:jc w:val="center"/>
              <w:ind w:right="260"/>
              <w:spacing w:after="0" w:line="183" w:lineRule="exact"/>
              <w:rPr>
                <w:sz w:val="20"/>
                <w:szCs w:val="20"/>
                <w:color w:val="auto"/>
              </w:rPr>
            </w:pPr>
            <w:r>
              <w:rPr>
                <w:rFonts w:ascii="Times New Roman" w:cs="Times New Roman" w:eastAsia="Times New Roman" w:hAnsi="Times New Roman"/>
                <w:sz w:val="18"/>
                <w:szCs w:val="18"/>
                <w:b w:val="1"/>
                <w:bCs w:val="1"/>
                <w:color w:val="auto"/>
                <w:w w:val="99"/>
              </w:rPr>
              <w:t>Derivative</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3"/>
          </w:tcPr>
          <w:p>
            <w:pPr>
              <w:jc w:val="center"/>
              <w:ind w:right="260"/>
              <w:spacing w:after="0" w:line="183" w:lineRule="exact"/>
              <w:rPr>
                <w:sz w:val="20"/>
                <w:szCs w:val="20"/>
                <w:color w:val="auto"/>
              </w:rPr>
            </w:pPr>
            <w:r>
              <w:rPr>
                <w:rFonts w:ascii="Times New Roman" w:cs="Times New Roman" w:eastAsia="Times New Roman" w:hAnsi="Times New Roman"/>
                <w:sz w:val="18"/>
                <w:szCs w:val="18"/>
                <w:b w:val="1"/>
                <w:bCs w:val="1"/>
                <w:color w:val="auto"/>
                <w:w w:val="99"/>
              </w:rPr>
              <w:t>Derivative</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jc w:val="center"/>
              <w:ind w:right="70"/>
              <w:spacing w:after="0" w:line="183" w:lineRule="exact"/>
              <w:rPr>
                <w:sz w:val="20"/>
                <w:szCs w:val="20"/>
                <w:color w:val="auto"/>
              </w:rPr>
            </w:pPr>
            <w:r>
              <w:rPr>
                <w:rFonts w:ascii="Times New Roman" w:cs="Times New Roman" w:eastAsia="Times New Roman" w:hAnsi="Times New Roman"/>
                <w:sz w:val="18"/>
                <w:szCs w:val="18"/>
                <w:b w:val="1"/>
                <w:bCs w:val="1"/>
                <w:color w:val="auto"/>
                <w:w w:val="97"/>
              </w:rPr>
              <w:t>Contingent</w:t>
            </w:r>
          </w:p>
        </w:tc>
        <w:tc>
          <w:tcPr>
            <w:tcW w:w="0" w:type="dxa"/>
            <w:vAlign w:val="bottom"/>
          </w:tcPr>
          <w:p>
            <w:pPr>
              <w:spacing w:after="0"/>
              <w:rPr>
                <w:sz w:val="1"/>
                <w:szCs w:val="1"/>
                <w:color w:val="auto"/>
              </w:rPr>
            </w:pPr>
          </w:p>
        </w:tc>
      </w:tr>
      <w:tr>
        <w:trPr>
          <w:trHeight w:val="175"/>
        </w:trPr>
        <w:tc>
          <w:tcPr>
            <w:tcW w:w="2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center"/>
              <w:ind w:right="280"/>
              <w:spacing w:after="0" w:line="175" w:lineRule="exact"/>
              <w:rPr>
                <w:sz w:val="20"/>
                <w:szCs w:val="20"/>
                <w:color w:val="auto"/>
              </w:rPr>
            </w:pPr>
            <w:r>
              <w:rPr>
                <w:rFonts w:ascii="Times New Roman" w:cs="Times New Roman" w:eastAsia="Times New Roman" w:hAnsi="Times New Roman"/>
                <w:sz w:val="18"/>
                <w:szCs w:val="18"/>
                <w:b w:val="1"/>
                <w:bCs w:val="1"/>
                <w:color w:val="auto"/>
                <w:w w:val="99"/>
              </w:rPr>
              <w:t>Assets</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jc w:val="center"/>
              <w:ind w:right="280"/>
              <w:spacing w:after="0" w:line="175" w:lineRule="exact"/>
              <w:rPr>
                <w:sz w:val="20"/>
                <w:szCs w:val="20"/>
                <w:color w:val="auto"/>
              </w:rPr>
            </w:pPr>
            <w:r>
              <w:rPr>
                <w:rFonts w:ascii="Times New Roman" w:cs="Times New Roman" w:eastAsia="Times New Roman" w:hAnsi="Times New Roman"/>
                <w:sz w:val="18"/>
                <w:szCs w:val="18"/>
                <w:b w:val="1"/>
                <w:bCs w:val="1"/>
                <w:color w:val="auto"/>
                <w:w w:val="99"/>
              </w:rPr>
              <w:t>Assets</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2"/>
          </w:tcPr>
          <w:p>
            <w:pPr>
              <w:jc w:val="center"/>
              <w:ind w:right="320"/>
              <w:spacing w:after="0" w:line="175" w:lineRule="exact"/>
              <w:rPr>
                <w:sz w:val="20"/>
                <w:szCs w:val="20"/>
                <w:color w:val="auto"/>
              </w:rPr>
            </w:pPr>
            <w:r>
              <w:rPr>
                <w:rFonts w:ascii="Times New Roman" w:cs="Times New Roman" w:eastAsia="Times New Roman" w:hAnsi="Times New Roman"/>
                <w:sz w:val="18"/>
                <w:szCs w:val="18"/>
                <w:b w:val="1"/>
                <w:bCs w:val="1"/>
                <w:color w:val="auto"/>
                <w:w w:val="99"/>
              </w:rPr>
              <w:t>Liability</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3"/>
          </w:tcPr>
          <w:p>
            <w:pPr>
              <w:jc w:val="center"/>
              <w:ind w:right="320"/>
              <w:spacing w:after="0" w:line="175" w:lineRule="exact"/>
              <w:rPr>
                <w:sz w:val="20"/>
                <w:szCs w:val="20"/>
                <w:color w:val="auto"/>
              </w:rPr>
            </w:pPr>
            <w:r>
              <w:rPr>
                <w:rFonts w:ascii="Times New Roman" w:cs="Times New Roman" w:eastAsia="Times New Roman" w:hAnsi="Times New Roman"/>
                <w:sz w:val="18"/>
                <w:szCs w:val="18"/>
                <w:b w:val="1"/>
                <w:bCs w:val="1"/>
                <w:color w:val="auto"/>
                <w:w w:val="99"/>
              </w:rPr>
              <w:t>Liability</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jc w:val="center"/>
              <w:ind w:right="70"/>
              <w:spacing w:after="0" w:line="175" w:lineRule="exact"/>
              <w:rPr>
                <w:sz w:val="20"/>
                <w:szCs w:val="20"/>
                <w:color w:val="auto"/>
              </w:rPr>
            </w:pPr>
            <w:r>
              <w:rPr>
                <w:rFonts w:ascii="Times New Roman" w:cs="Times New Roman" w:eastAsia="Times New Roman" w:hAnsi="Times New Roman"/>
                <w:sz w:val="18"/>
                <w:szCs w:val="18"/>
                <w:b w:val="1"/>
                <w:bCs w:val="1"/>
                <w:color w:val="auto"/>
                <w:w w:val="99"/>
              </w:rPr>
              <w:t>Consideration</w:t>
            </w:r>
          </w:p>
        </w:tc>
        <w:tc>
          <w:tcPr>
            <w:tcW w:w="0" w:type="dxa"/>
            <w:vAlign w:val="bottom"/>
          </w:tcPr>
          <w:p>
            <w:pPr>
              <w:spacing w:after="0"/>
              <w:rPr>
                <w:sz w:val="1"/>
                <w:szCs w:val="1"/>
                <w:color w:val="auto"/>
              </w:rPr>
            </w:pPr>
          </w:p>
        </w:tc>
      </w:tr>
      <w:tr>
        <w:trPr>
          <w:trHeight w:val="228"/>
        </w:trPr>
        <w:tc>
          <w:tcPr>
            <w:tcW w:w="2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(2025 Notes)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(2029 Notes)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(2025 Notes)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(2029 Notes)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Liability</w:t>
            </w:r>
          </w:p>
        </w:tc>
        <w:tc>
          <w:tcPr>
            <w:tcW w:w="0" w:type="dxa"/>
            <w:vAlign w:val="bottom"/>
          </w:tcPr>
          <w:p>
            <w:pPr>
              <w:spacing w:after="0"/>
              <w:rPr>
                <w:sz w:val="1"/>
                <w:szCs w:val="1"/>
                <w:color w:val="auto"/>
              </w:rPr>
            </w:pPr>
          </w:p>
        </w:tc>
      </w:tr>
      <w:tr>
        <w:trPr>
          <w:trHeight w:val="222"/>
        </w:trPr>
        <w:tc>
          <w:tcPr>
            <w:tcW w:w="2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2024</w:t>
            </w:r>
          </w:p>
        </w:tc>
        <w:tc>
          <w:tcPr>
            <w:tcW w:w="14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2,624</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23,735</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2,915</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51,819</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84,218</w:t>
            </w:r>
          </w:p>
        </w:tc>
        <w:tc>
          <w:tcPr>
            <w:tcW w:w="0" w:type="dxa"/>
            <w:vAlign w:val="bottom"/>
          </w:tcPr>
          <w:p>
            <w:pPr>
              <w:spacing w:after="0"/>
              <w:rPr>
                <w:sz w:val="1"/>
                <w:szCs w:val="1"/>
                <w:color w:val="auto"/>
              </w:rPr>
            </w:pPr>
          </w:p>
        </w:tc>
      </w:tr>
      <w:tr>
        <w:trPr>
          <w:trHeight w:val="228"/>
        </w:trPr>
        <w:tc>
          <w:tcPr>
            <w:tcW w:w="2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Changes in fair value</w:t>
            </w:r>
          </w:p>
        </w:tc>
        <w:tc>
          <w:tcPr>
            <w:tcW w:w="14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(1,321)</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(2,077)</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(1,552)</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w w:val="98"/>
              </w:rPr>
              <w:t>(3,726)</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3,709</w:t>
            </w:r>
          </w:p>
        </w:tc>
        <w:tc>
          <w:tcPr>
            <w:tcW w:w="0" w:type="dxa"/>
            <w:vAlign w:val="bottom"/>
          </w:tcPr>
          <w:p>
            <w:pPr>
              <w:spacing w:after="0"/>
              <w:rPr>
                <w:sz w:val="1"/>
                <w:szCs w:val="1"/>
                <w:color w:val="auto"/>
              </w:rPr>
            </w:pPr>
          </w:p>
        </w:tc>
      </w:tr>
      <w:tr>
        <w:trPr>
          <w:trHeight w:val="247"/>
        </w:trPr>
        <w:tc>
          <w:tcPr>
            <w:tcW w:w="2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30, 2025</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21,658</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48,093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87,927</w:t>
            </w:r>
          </w:p>
        </w:tc>
        <w:tc>
          <w:tcPr>
            <w:tcW w:w="0" w:type="dxa"/>
            <w:vAlign w:val="bottom"/>
          </w:tcPr>
          <w:p>
            <w:pPr>
              <w:spacing w:after="0"/>
              <w:rPr>
                <w:sz w:val="1"/>
                <w:szCs w:val="1"/>
                <w:color w:val="auto"/>
              </w:rPr>
            </w:pP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gridSpan w:val="5"/>
          </w:tcPr>
          <w:p>
            <w:pPr>
              <w:ind w:left="280"/>
              <w:spacing w:after="0"/>
              <w:rPr>
                <w:sz w:val="20"/>
                <w:szCs w:val="20"/>
                <w:color w:val="auto"/>
              </w:rPr>
            </w:pPr>
            <w:r>
              <w:rPr>
                <w:rFonts w:ascii="Times New Roman" w:cs="Times New Roman" w:eastAsia="Times New Roman" w:hAnsi="Times New Roman"/>
                <w:sz w:val="18"/>
                <w:szCs w:val="18"/>
                <w:b w:val="1"/>
                <w:bCs w:val="1"/>
                <w:color w:val="auto"/>
              </w:rPr>
              <w:t>Six Months Ended June 30, 2024</w:t>
            </w: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8"/>
        </w:trPr>
        <w:tc>
          <w:tcPr>
            <w:tcW w:w="2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center"/>
              <w:ind w:right="260"/>
              <w:spacing w:after="0" w:line="168" w:lineRule="exact"/>
              <w:rPr>
                <w:sz w:val="20"/>
                <w:szCs w:val="20"/>
                <w:color w:val="auto"/>
              </w:rPr>
            </w:pPr>
            <w:r>
              <w:rPr>
                <w:rFonts w:ascii="Times New Roman" w:cs="Times New Roman" w:eastAsia="Times New Roman" w:hAnsi="Times New Roman"/>
                <w:sz w:val="18"/>
                <w:szCs w:val="18"/>
                <w:b w:val="1"/>
                <w:bCs w:val="1"/>
                <w:color w:val="auto"/>
                <w:w w:val="99"/>
              </w:rPr>
              <w:t>Capped Call</w:t>
            </w:r>
          </w:p>
        </w:tc>
        <w:tc>
          <w:tcPr>
            <w:tcW w:w="140" w:type="dxa"/>
            <w:vAlign w:val="bottom"/>
          </w:tcPr>
          <w:p>
            <w:pPr>
              <w:spacing w:after="0"/>
              <w:rPr>
                <w:sz w:val="14"/>
                <w:szCs w:val="14"/>
                <w:color w:val="auto"/>
              </w:rPr>
            </w:pPr>
          </w:p>
        </w:tc>
        <w:tc>
          <w:tcPr>
            <w:tcW w:w="1260" w:type="dxa"/>
            <w:vAlign w:val="bottom"/>
            <w:gridSpan w:val="2"/>
          </w:tcPr>
          <w:p>
            <w:pPr>
              <w:jc w:val="center"/>
              <w:ind w:right="220"/>
              <w:spacing w:after="0" w:line="168" w:lineRule="exact"/>
              <w:rPr>
                <w:sz w:val="20"/>
                <w:szCs w:val="20"/>
                <w:color w:val="auto"/>
              </w:rPr>
            </w:pPr>
            <w:r>
              <w:rPr>
                <w:rFonts w:ascii="Times New Roman" w:cs="Times New Roman" w:eastAsia="Times New Roman" w:hAnsi="Times New Roman"/>
                <w:sz w:val="18"/>
                <w:szCs w:val="18"/>
                <w:b w:val="1"/>
                <w:bCs w:val="1"/>
                <w:color w:val="auto"/>
                <w:w w:val="99"/>
              </w:rPr>
              <w:t>Capped Call</w:t>
            </w: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Embedded</w:t>
            </w:r>
          </w:p>
        </w:tc>
        <w:tc>
          <w:tcPr>
            <w:tcW w:w="140" w:type="dxa"/>
            <w:vAlign w:val="bottom"/>
          </w:tcPr>
          <w:p>
            <w:pPr>
              <w:spacing w:after="0"/>
              <w:rPr>
                <w:sz w:val="14"/>
                <w:szCs w:val="14"/>
                <w:color w:val="auto"/>
              </w:rPr>
            </w:pPr>
          </w:p>
        </w:tc>
        <w:tc>
          <w:tcPr>
            <w:tcW w:w="1240" w:type="dxa"/>
            <w:vAlign w:val="bottom"/>
            <w:gridSpan w:val="2"/>
          </w:tcPr>
          <w:p>
            <w:pPr>
              <w:jc w:val="center"/>
              <w:ind w:right="240"/>
              <w:spacing w:after="0" w:line="168" w:lineRule="exact"/>
              <w:rPr>
                <w:sz w:val="20"/>
                <w:szCs w:val="20"/>
                <w:color w:val="auto"/>
              </w:rPr>
            </w:pPr>
            <w:r>
              <w:rPr>
                <w:rFonts w:ascii="Times New Roman" w:cs="Times New Roman" w:eastAsia="Times New Roman" w:hAnsi="Times New Roman"/>
                <w:sz w:val="18"/>
                <w:szCs w:val="18"/>
                <w:b w:val="1"/>
                <w:bCs w:val="1"/>
                <w:color w:val="auto"/>
              </w:rPr>
              <w:t>Embedded</w:t>
            </w:r>
          </w:p>
        </w:tc>
        <w:tc>
          <w:tcPr>
            <w:tcW w:w="180" w:type="dxa"/>
            <w:vAlign w:val="bottom"/>
          </w:tcPr>
          <w:p>
            <w:pPr>
              <w:spacing w:after="0"/>
              <w:rPr>
                <w:sz w:val="14"/>
                <w:szCs w:val="14"/>
                <w:color w:val="auto"/>
              </w:rPr>
            </w:pPr>
          </w:p>
        </w:tc>
        <w:tc>
          <w:tcPr>
            <w:tcW w:w="1460" w:type="dxa"/>
            <w:vAlign w:val="bottom"/>
          </w:tcPr>
          <w:p>
            <w:pPr>
              <w:jc w:val="center"/>
              <w:ind w:right="90"/>
              <w:spacing w:after="0" w:line="168" w:lineRule="exact"/>
              <w:rPr>
                <w:sz w:val="20"/>
                <w:szCs w:val="20"/>
                <w:color w:val="auto"/>
              </w:rPr>
            </w:pPr>
            <w:r>
              <w:rPr>
                <w:rFonts w:ascii="Times New Roman" w:cs="Times New Roman" w:eastAsia="Times New Roman" w:hAnsi="Times New Roman"/>
                <w:sz w:val="18"/>
                <w:szCs w:val="18"/>
                <w:b w:val="1"/>
                <w:bCs w:val="1"/>
                <w:color w:val="auto"/>
                <w:w w:val="97"/>
              </w:rPr>
              <w:t>Contingent</w:t>
            </w:r>
          </w:p>
        </w:tc>
        <w:tc>
          <w:tcPr>
            <w:tcW w:w="0" w:type="dxa"/>
            <w:vAlign w:val="bottom"/>
          </w:tcPr>
          <w:p>
            <w:pPr>
              <w:spacing w:after="0"/>
              <w:rPr>
                <w:sz w:val="1"/>
                <w:szCs w:val="1"/>
                <w:color w:val="auto"/>
              </w:rPr>
            </w:pPr>
          </w:p>
        </w:tc>
      </w:tr>
      <w:tr>
        <w:trPr>
          <w:trHeight w:val="175"/>
        </w:trPr>
        <w:tc>
          <w:tcPr>
            <w:tcW w:w="2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jc w:val="center"/>
              <w:ind w:right="240"/>
              <w:spacing w:after="0" w:line="175" w:lineRule="exact"/>
              <w:rPr>
                <w:sz w:val="20"/>
                <w:szCs w:val="20"/>
                <w:color w:val="auto"/>
              </w:rPr>
            </w:pPr>
            <w:r>
              <w:rPr>
                <w:rFonts w:ascii="Times New Roman" w:cs="Times New Roman" w:eastAsia="Times New Roman" w:hAnsi="Times New Roman"/>
                <w:sz w:val="18"/>
                <w:szCs w:val="18"/>
                <w:b w:val="1"/>
                <w:bCs w:val="1"/>
                <w:color w:val="auto"/>
                <w:w w:val="97"/>
              </w:rPr>
              <w:t>Derivative</w:t>
            </w:r>
          </w:p>
        </w:tc>
        <w:tc>
          <w:tcPr>
            <w:tcW w:w="140" w:type="dxa"/>
            <w:vAlign w:val="bottom"/>
          </w:tcPr>
          <w:p>
            <w:pPr>
              <w:spacing w:after="0"/>
              <w:rPr>
                <w:sz w:val="15"/>
                <w:szCs w:val="15"/>
                <w:color w:val="auto"/>
              </w:rPr>
            </w:pPr>
          </w:p>
        </w:tc>
        <w:tc>
          <w:tcPr>
            <w:tcW w:w="1260" w:type="dxa"/>
            <w:vAlign w:val="bottom"/>
            <w:gridSpan w:val="2"/>
          </w:tcPr>
          <w:p>
            <w:pPr>
              <w:jc w:val="center"/>
              <w:ind w:right="220"/>
              <w:spacing w:after="0" w:line="175" w:lineRule="exact"/>
              <w:rPr>
                <w:sz w:val="20"/>
                <w:szCs w:val="20"/>
                <w:color w:val="auto"/>
              </w:rPr>
            </w:pPr>
            <w:r>
              <w:rPr>
                <w:rFonts w:ascii="Times New Roman" w:cs="Times New Roman" w:eastAsia="Times New Roman" w:hAnsi="Times New Roman"/>
                <w:sz w:val="18"/>
                <w:szCs w:val="18"/>
                <w:b w:val="1"/>
                <w:bCs w:val="1"/>
                <w:color w:val="auto"/>
                <w:w w:val="99"/>
              </w:rPr>
              <w:t>Derivative</w:t>
            </w:r>
          </w:p>
        </w:tc>
        <w:tc>
          <w:tcPr>
            <w:tcW w:w="154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Convertible Notes</w:t>
            </w:r>
          </w:p>
        </w:tc>
        <w:tc>
          <w:tcPr>
            <w:tcW w:w="220" w:type="dxa"/>
            <w:vAlign w:val="bottom"/>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jc w:val="center"/>
              <w:ind w:right="240"/>
              <w:spacing w:after="0" w:line="175" w:lineRule="exact"/>
              <w:rPr>
                <w:sz w:val="20"/>
                <w:szCs w:val="20"/>
                <w:color w:val="auto"/>
              </w:rPr>
            </w:pPr>
            <w:r>
              <w:rPr>
                <w:rFonts w:ascii="Times New Roman" w:cs="Times New Roman" w:eastAsia="Times New Roman" w:hAnsi="Times New Roman"/>
                <w:sz w:val="18"/>
                <w:szCs w:val="18"/>
                <w:b w:val="1"/>
                <w:bCs w:val="1"/>
                <w:color w:val="auto"/>
                <w:w w:val="99"/>
              </w:rPr>
              <w:t>Derivative</w:t>
            </w:r>
          </w:p>
        </w:tc>
        <w:tc>
          <w:tcPr>
            <w:tcW w:w="180" w:type="dxa"/>
            <w:vAlign w:val="bottom"/>
          </w:tcPr>
          <w:p>
            <w:pPr>
              <w:spacing w:after="0"/>
              <w:rPr>
                <w:sz w:val="15"/>
                <w:szCs w:val="15"/>
                <w:color w:val="auto"/>
              </w:rPr>
            </w:pPr>
          </w:p>
        </w:tc>
        <w:tc>
          <w:tcPr>
            <w:tcW w:w="1460" w:type="dxa"/>
            <w:vAlign w:val="bottom"/>
          </w:tcPr>
          <w:p>
            <w:pPr>
              <w:jc w:val="center"/>
              <w:ind w:right="90"/>
              <w:spacing w:after="0" w:line="175" w:lineRule="exact"/>
              <w:rPr>
                <w:sz w:val="20"/>
                <w:szCs w:val="20"/>
                <w:color w:val="auto"/>
              </w:rPr>
            </w:pPr>
            <w:r>
              <w:rPr>
                <w:rFonts w:ascii="Times New Roman" w:cs="Times New Roman" w:eastAsia="Times New Roman" w:hAnsi="Times New Roman"/>
                <w:sz w:val="18"/>
                <w:szCs w:val="18"/>
                <w:b w:val="1"/>
                <w:bCs w:val="1"/>
                <w:color w:val="auto"/>
                <w:w w:val="99"/>
              </w:rPr>
              <w:t>Consideration</w:t>
            </w:r>
          </w:p>
        </w:tc>
        <w:tc>
          <w:tcPr>
            <w:tcW w:w="0" w:type="dxa"/>
            <w:vAlign w:val="bottom"/>
          </w:tcPr>
          <w:p>
            <w:pPr>
              <w:spacing w:after="0"/>
              <w:rPr>
                <w:sz w:val="1"/>
                <w:szCs w:val="1"/>
                <w:color w:val="auto"/>
              </w:rPr>
            </w:pPr>
          </w:p>
        </w:tc>
      </w:tr>
      <w:tr>
        <w:trPr>
          <w:trHeight w:val="188"/>
        </w:trPr>
        <w:tc>
          <w:tcPr>
            <w:tcW w:w="2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center"/>
              <w:ind w:right="300"/>
              <w:spacing w:after="0" w:line="189" w:lineRule="exact"/>
              <w:rPr>
                <w:sz w:val="20"/>
                <w:szCs w:val="20"/>
                <w:color w:val="auto"/>
              </w:rPr>
            </w:pPr>
            <w:r>
              <w:rPr>
                <w:rFonts w:ascii="Times New Roman" w:cs="Times New Roman" w:eastAsia="Times New Roman" w:hAnsi="Times New Roman"/>
                <w:sz w:val="18"/>
                <w:szCs w:val="18"/>
                <w:b w:val="1"/>
                <w:bCs w:val="1"/>
                <w:color w:val="auto"/>
                <w:w w:val="99"/>
              </w:rPr>
              <w:t>Assets</w:t>
            </w:r>
          </w:p>
        </w:tc>
        <w:tc>
          <w:tcPr>
            <w:tcW w:w="140" w:type="dxa"/>
            <w:vAlign w:val="bottom"/>
          </w:tcPr>
          <w:p>
            <w:pPr>
              <w:spacing w:after="0"/>
              <w:rPr>
                <w:sz w:val="16"/>
                <w:szCs w:val="16"/>
                <w:color w:val="auto"/>
              </w:rPr>
            </w:pPr>
          </w:p>
        </w:tc>
        <w:tc>
          <w:tcPr>
            <w:tcW w:w="1260" w:type="dxa"/>
            <w:vAlign w:val="bottom"/>
            <w:gridSpan w:val="2"/>
          </w:tcPr>
          <w:p>
            <w:pPr>
              <w:jc w:val="center"/>
              <w:ind w:right="280"/>
              <w:spacing w:after="0" w:line="189" w:lineRule="exact"/>
              <w:rPr>
                <w:sz w:val="20"/>
                <w:szCs w:val="20"/>
                <w:color w:val="auto"/>
              </w:rPr>
            </w:pPr>
            <w:r>
              <w:rPr>
                <w:rFonts w:ascii="Times New Roman" w:cs="Times New Roman" w:eastAsia="Times New Roman" w:hAnsi="Times New Roman"/>
                <w:sz w:val="18"/>
                <w:szCs w:val="18"/>
                <w:b w:val="1"/>
                <w:bCs w:val="1"/>
                <w:color w:val="auto"/>
                <w:w w:val="95"/>
              </w:rPr>
              <w:t>Assets</w:t>
            </w:r>
          </w:p>
        </w:tc>
        <w:tc>
          <w:tcPr>
            <w:tcW w:w="1540" w:type="dxa"/>
            <w:vAlign w:val="bottom"/>
            <w:gridSpan w:val="3"/>
            <w:vMerge w:val="continue"/>
          </w:tcPr>
          <w:p>
            <w:pPr>
              <w:spacing w:after="0"/>
              <w:rPr>
                <w:sz w:val="16"/>
                <w:szCs w:val="16"/>
                <w:color w:val="auto"/>
              </w:rPr>
            </w:pPr>
          </w:p>
        </w:tc>
        <w:tc>
          <w:tcPr>
            <w:tcW w:w="1720" w:type="dxa"/>
            <w:vAlign w:val="bottom"/>
            <w:gridSpan w:val="3"/>
          </w:tcPr>
          <w:p>
            <w:pPr>
              <w:ind w:left="40"/>
              <w:spacing w:after="0" w:line="189" w:lineRule="exact"/>
              <w:rPr>
                <w:sz w:val="20"/>
                <w:szCs w:val="20"/>
                <w:color w:val="auto"/>
              </w:rPr>
            </w:pPr>
            <w:r>
              <w:rPr>
                <w:rFonts w:ascii="Times New Roman" w:cs="Times New Roman" w:eastAsia="Times New Roman" w:hAnsi="Times New Roman"/>
                <w:sz w:val="18"/>
                <w:szCs w:val="18"/>
                <w:b w:val="1"/>
                <w:bCs w:val="1"/>
                <w:color w:val="auto"/>
              </w:rPr>
              <w:t>Derivative Liability</w:t>
            </w:r>
          </w:p>
        </w:tc>
        <w:tc>
          <w:tcPr>
            <w:tcW w:w="140" w:type="dxa"/>
            <w:vAlign w:val="bottom"/>
          </w:tcPr>
          <w:p>
            <w:pPr>
              <w:spacing w:after="0"/>
              <w:rPr>
                <w:sz w:val="16"/>
                <w:szCs w:val="16"/>
                <w:color w:val="auto"/>
              </w:rPr>
            </w:pPr>
          </w:p>
        </w:tc>
        <w:tc>
          <w:tcPr>
            <w:tcW w:w="1240" w:type="dxa"/>
            <w:vAlign w:val="bottom"/>
            <w:gridSpan w:val="2"/>
          </w:tcPr>
          <w:p>
            <w:pPr>
              <w:jc w:val="center"/>
              <w:ind w:right="280"/>
              <w:spacing w:after="0" w:line="189" w:lineRule="exact"/>
              <w:rPr>
                <w:sz w:val="20"/>
                <w:szCs w:val="20"/>
                <w:color w:val="auto"/>
              </w:rPr>
            </w:pPr>
            <w:r>
              <w:rPr>
                <w:rFonts w:ascii="Times New Roman" w:cs="Times New Roman" w:eastAsia="Times New Roman" w:hAnsi="Times New Roman"/>
                <w:sz w:val="18"/>
                <w:szCs w:val="18"/>
                <w:b w:val="1"/>
                <w:bCs w:val="1"/>
                <w:color w:val="auto"/>
                <w:w w:val="96"/>
              </w:rPr>
              <w:t>Liability</w:t>
            </w:r>
          </w:p>
        </w:tc>
        <w:tc>
          <w:tcPr>
            <w:tcW w:w="180" w:type="dxa"/>
            <w:vAlign w:val="bottom"/>
          </w:tcPr>
          <w:p>
            <w:pPr>
              <w:spacing w:after="0"/>
              <w:rPr>
                <w:sz w:val="16"/>
                <w:szCs w:val="16"/>
                <w:color w:val="auto"/>
              </w:rPr>
            </w:pPr>
          </w:p>
        </w:tc>
        <w:tc>
          <w:tcPr>
            <w:tcW w:w="1460" w:type="dxa"/>
            <w:vAlign w:val="bottom"/>
          </w:tcPr>
          <w:p>
            <w:pPr>
              <w:jc w:val="center"/>
              <w:ind w:right="90"/>
              <w:spacing w:after="0" w:line="189" w:lineRule="exact"/>
              <w:rPr>
                <w:sz w:val="20"/>
                <w:szCs w:val="20"/>
                <w:color w:val="auto"/>
              </w:rPr>
            </w:pPr>
            <w:r>
              <w:rPr>
                <w:rFonts w:ascii="Times New Roman" w:cs="Times New Roman" w:eastAsia="Times New Roman" w:hAnsi="Times New Roman"/>
                <w:sz w:val="18"/>
                <w:szCs w:val="18"/>
                <w:b w:val="1"/>
                <w:bCs w:val="1"/>
                <w:color w:val="auto"/>
                <w:w w:val="96"/>
              </w:rPr>
              <w:t>Liability</w:t>
            </w:r>
          </w:p>
        </w:tc>
        <w:tc>
          <w:tcPr>
            <w:tcW w:w="0" w:type="dxa"/>
            <w:vAlign w:val="bottom"/>
          </w:tcPr>
          <w:p>
            <w:pPr>
              <w:spacing w:after="0"/>
              <w:rPr>
                <w:sz w:val="1"/>
                <w:szCs w:val="1"/>
                <w:color w:val="auto"/>
              </w:rPr>
            </w:pPr>
          </w:p>
        </w:tc>
      </w:tr>
      <w:tr>
        <w:trPr>
          <w:trHeight w:val="228"/>
        </w:trPr>
        <w:tc>
          <w:tcPr>
            <w:tcW w:w="2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(2025 Notes)</w:t>
            </w:r>
          </w:p>
        </w:tc>
        <w:tc>
          <w:tcPr>
            <w:tcW w:w="140" w:type="dxa"/>
            <w:vAlign w:val="bottom"/>
          </w:tcPr>
          <w:p>
            <w:pPr>
              <w:spacing w:after="0"/>
              <w:rPr>
                <w:sz w:val="19"/>
                <w:szCs w:val="19"/>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(2029 Notes)</w:t>
            </w:r>
          </w:p>
        </w:tc>
        <w:tc>
          <w:tcPr>
            <w:tcW w:w="220" w:type="dxa"/>
            <w:vAlign w:val="bottom"/>
          </w:tcPr>
          <w:p>
            <w:pPr>
              <w:spacing w:after="0"/>
              <w:rPr>
                <w:sz w:val="19"/>
                <w:szCs w:val="19"/>
                <w:color w:val="auto"/>
              </w:rPr>
            </w:pP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Receivable</w:t>
            </w:r>
          </w:p>
        </w:tc>
        <w:tc>
          <w:tcPr>
            <w:tcW w:w="220" w:type="dxa"/>
            <w:vAlign w:val="bottom"/>
          </w:tcPr>
          <w:p>
            <w:pPr>
              <w:spacing w:after="0"/>
              <w:rPr>
                <w:sz w:val="19"/>
                <w:szCs w:val="19"/>
                <w:color w:val="auto"/>
              </w:rPr>
            </w:pPr>
          </w:p>
        </w:tc>
        <w:tc>
          <w:tcPr>
            <w:tcW w:w="15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(2025 Notes)</w:t>
            </w:r>
          </w:p>
        </w:tc>
        <w:tc>
          <w:tcPr>
            <w:tcW w:w="140" w:type="dxa"/>
            <w:vAlign w:val="bottom"/>
          </w:tcPr>
          <w:p>
            <w:pPr>
              <w:spacing w:after="0"/>
              <w:rPr>
                <w:sz w:val="19"/>
                <w:szCs w:val="19"/>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(2029 Notes)</w:t>
            </w:r>
          </w:p>
        </w:tc>
        <w:tc>
          <w:tcPr>
            <w:tcW w:w="180" w:type="dxa"/>
            <w:vAlign w:val="bottom"/>
          </w:tcPr>
          <w:p>
            <w:pPr>
              <w:spacing w:after="0"/>
              <w:rPr>
                <w:sz w:val="19"/>
                <w:szCs w:val="19"/>
                <w:color w:val="auto"/>
              </w:rPr>
            </w:pPr>
          </w:p>
        </w:tc>
        <w:tc>
          <w:tcPr>
            <w:tcW w:w="14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Arrangements</w:t>
            </w:r>
          </w:p>
        </w:tc>
        <w:tc>
          <w:tcPr>
            <w:tcW w:w="0" w:type="dxa"/>
            <w:vAlign w:val="bottom"/>
          </w:tcPr>
          <w:p>
            <w:pPr>
              <w:spacing w:after="0"/>
              <w:rPr>
                <w:sz w:val="1"/>
                <w:szCs w:val="1"/>
                <w:color w:val="auto"/>
              </w:rPr>
            </w:pPr>
          </w:p>
        </w:tc>
      </w:tr>
      <w:tr>
        <w:trPr>
          <w:trHeight w:val="222"/>
        </w:trPr>
        <w:tc>
          <w:tcPr>
            <w:tcW w:w="2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2023</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38,496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45,569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94,652</w:t>
            </w:r>
          </w:p>
        </w:tc>
        <w:tc>
          <w:tcPr>
            <w:tcW w:w="0" w:type="dxa"/>
            <w:vAlign w:val="bottom"/>
          </w:tcPr>
          <w:p>
            <w:pPr>
              <w:spacing w:after="0"/>
              <w:rPr>
                <w:sz w:val="1"/>
                <w:szCs w:val="1"/>
                <w:color w:val="auto"/>
              </w:rPr>
            </w:pPr>
          </w:p>
        </w:tc>
      </w:tr>
      <w:tr>
        <w:trPr>
          <w:trHeight w:val="228"/>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14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31,637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87,457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receipt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(22,524)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w:t>
            </w:r>
          </w:p>
        </w:tc>
        <w:tc>
          <w:tcPr>
            <w:tcW w:w="14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(36,915)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(13,750)</w:t>
            </w:r>
          </w:p>
        </w:tc>
        <w:tc>
          <w:tcPr>
            <w:tcW w:w="0" w:type="dxa"/>
            <w:vAlign w:val="bottom"/>
          </w:tcPr>
          <w:p>
            <w:pPr>
              <w:spacing w:after="0"/>
              <w:rPr>
                <w:sz w:val="1"/>
                <w:szCs w:val="1"/>
                <w:color w:val="auto"/>
              </w:rPr>
            </w:pPr>
          </w:p>
        </w:tc>
      </w:tr>
      <w:tr>
        <w:trPr>
          <w:trHeight w:val="228"/>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fair value</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0" w:type="dxa"/>
            <w:vAlign w:val="bottom"/>
          </w:tcPr>
          <w:p>
            <w:pPr>
              <w:spacing w:after="0"/>
              <w:rPr>
                <w:sz w:val="1"/>
                <w:szCs w:val="1"/>
                <w:color w:val="auto"/>
              </w:rPr>
            </w:pPr>
          </w:p>
        </w:tc>
      </w:tr>
      <w:tr>
        <w:trPr>
          <w:trHeight w:val="222"/>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June 30, 2024</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7,439</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32,114</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10,017</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95,392</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81,174</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Stock Price Volatility</w:t>
      </w:r>
    </w:p>
    <w:p>
      <w:pPr>
        <w:spacing w:after="0" w:line="110"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8"/>
          <w:szCs w:val="18"/>
          <w:color w:val="auto"/>
        </w:rPr>
        <w:t>The following table presents the stock price volatility utilized in determining the fair value of LivaNova’s capped call derivative assets and embedded derivative liabilities: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Capped Call Derivative</w:t>
            </w:r>
          </w:p>
        </w:tc>
        <w:tc>
          <w:tcPr>
            <w:tcW w:w="2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Capped Call Derivative</w:t>
            </w:r>
          </w:p>
        </w:tc>
        <w:tc>
          <w:tcPr>
            <w:tcW w:w="22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Embedded Derivative</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Embedded Derivative</w:t>
            </w:r>
          </w:p>
        </w:tc>
        <w:tc>
          <w:tcPr>
            <w:tcW w:w="0" w:type="dxa"/>
            <w:vAlign w:val="bottom"/>
          </w:tcPr>
          <w:p>
            <w:pPr>
              <w:spacing w:after="0"/>
              <w:rPr>
                <w:sz w:val="1"/>
                <w:szCs w:val="1"/>
                <w:color w:val="auto"/>
              </w:rPr>
            </w:pPr>
          </w:p>
        </w:tc>
      </w:tr>
      <w:tr>
        <w:trPr>
          <w:trHeight w:val="184"/>
        </w:trPr>
        <w:tc>
          <w:tcPr>
            <w:tcW w:w="23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 xml:space="preserve">Stock Price Volatility </w:t>
            </w:r>
            <w:r>
              <w:rPr>
                <w:rFonts w:ascii="Times New Roman" w:cs="Times New Roman" w:eastAsia="Times New Roman" w:hAnsi="Times New Roman"/>
                <w:sz w:val="23"/>
                <w:szCs w:val="23"/>
                <w:b w:val="1"/>
                <w:bCs w:val="1"/>
                <w:color w:val="auto"/>
                <w:vertAlign w:val="superscript"/>
              </w:rPr>
              <w:t>(1)</w:t>
            </w:r>
          </w:p>
        </w:tc>
        <w:tc>
          <w:tcPr>
            <w:tcW w:w="2240" w:type="dxa"/>
            <w:vAlign w:val="bottom"/>
            <w:gridSpan w:val="2"/>
          </w:tcPr>
          <w:p>
            <w:pPr>
              <w:jc w:val="center"/>
              <w:ind w:right="160"/>
              <w:spacing w:after="0" w:line="183" w:lineRule="exact"/>
              <w:rPr>
                <w:sz w:val="20"/>
                <w:szCs w:val="20"/>
                <w:color w:val="auto"/>
              </w:rPr>
            </w:pPr>
            <w:r>
              <w:rPr>
                <w:rFonts w:ascii="Times New Roman" w:cs="Times New Roman" w:eastAsia="Times New Roman" w:hAnsi="Times New Roman"/>
                <w:sz w:val="18"/>
                <w:szCs w:val="18"/>
                <w:b w:val="1"/>
                <w:bCs w:val="1"/>
                <w:color w:val="auto"/>
                <w:w w:val="99"/>
              </w:rPr>
              <w:t>Assets</w:t>
            </w:r>
          </w:p>
        </w:tc>
        <w:tc>
          <w:tcPr>
            <w:tcW w:w="2260" w:type="dxa"/>
            <w:vAlign w:val="bottom"/>
            <w:gridSpan w:val="2"/>
          </w:tcPr>
          <w:p>
            <w:pPr>
              <w:jc w:val="center"/>
              <w:ind w:right="140"/>
              <w:spacing w:after="0" w:line="183" w:lineRule="exact"/>
              <w:rPr>
                <w:sz w:val="20"/>
                <w:szCs w:val="20"/>
                <w:color w:val="auto"/>
              </w:rPr>
            </w:pPr>
            <w:r>
              <w:rPr>
                <w:rFonts w:ascii="Times New Roman" w:cs="Times New Roman" w:eastAsia="Times New Roman" w:hAnsi="Times New Roman"/>
                <w:sz w:val="18"/>
                <w:szCs w:val="18"/>
                <w:b w:val="1"/>
                <w:bCs w:val="1"/>
                <w:color w:val="auto"/>
                <w:w w:val="99"/>
              </w:rPr>
              <w:t>Assets</w:t>
            </w:r>
          </w:p>
        </w:tc>
        <w:tc>
          <w:tcPr>
            <w:tcW w:w="2280" w:type="dxa"/>
            <w:vAlign w:val="bottom"/>
            <w:gridSpan w:val="2"/>
          </w:tcPr>
          <w:p>
            <w:pPr>
              <w:jc w:val="center"/>
              <w:ind w:right="160"/>
              <w:spacing w:after="0" w:line="183" w:lineRule="exact"/>
              <w:rPr>
                <w:sz w:val="20"/>
                <w:szCs w:val="20"/>
                <w:color w:val="auto"/>
              </w:rPr>
            </w:pPr>
            <w:r>
              <w:rPr>
                <w:rFonts w:ascii="Times New Roman" w:cs="Times New Roman" w:eastAsia="Times New Roman" w:hAnsi="Times New Roman"/>
                <w:sz w:val="18"/>
                <w:szCs w:val="18"/>
                <w:b w:val="1"/>
                <w:bCs w:val="1"/>
                <w:color w:val="auto"/>
                <w:w w:val="96"/>
              </w:rPr>
              <w:t>Liability</w:t>
            </w:r>
          </w:p>
        </w:tc>
        <w:tc>
          <w:tcPr>
            <w:tcW w:w="2160" w:type="dxa"/>
            <w:vAlign w:val="bottom"/>
          </w:tcPr>
          <w:p>
            <w:pPr>
              <w:jc w:val="center"/>
              <w:spacing w:after="0" w:line="183" w:lineRule="exact"/>
              <w:rPr>
                <w:sz w:val="20"/>
                <w:szCs w:val="20"/>
                <w:color w:val="auto"/>
              </w:rPr>
            </w:pPr>
            <w:r>
              <w:rPr>
                <w:rFonts w:ascii="Times New Roman" w:cs="Times New Roman" w:eastAsia="Times New Roman" w:hAnsi="Times New Roman"/>
                <w:sz w:val="18"/>
                <w:szCs w:val="18"/>
                <w:b w:val="1"/>
                <w:bCs w:val="1"/>
                <w:color w:val="auto"/>
                <w:w w:val="99"/>
              </w:rPr>
              <w:t>Liability</w:t>
            </w:r>
          </w:p>
        </w:tc>
        <w:tc>
          <w:tcPr>
            <w:tcW w:w="0" w:type="dxa"/>
            <w:vAlign w:val="bottom"/>
          </w:tcPr>
          <w:p>
            <w:pPr>
              <w:spacing w:after="0"/>
              <w:rPr>
                <w:sz w:val="1"/>
                <w:szCs w:val="1"/>
                <w:color w:val="auto"/>
              </w:rPr>
            </w:pPr>
          </w:p>
        </w:tc>
      </w:tr>
      <w:tr>
        <w:trPr>
          <w:trHeight w:val="228"/>
        </w:trPr>
        <w:tc>
          <w:tcPr>
            <w:tcW w:w="2300" w:type="dxa"/>
            <w:vAlign w:val="bottom"/>
            <w:gridSpan w:val="2"/>
            <w:vMerge w:val="continue"/>
          </w:tcPr>
          <w:p>
            <w:pPr>
              <w:spacing w:after="0"/>
              <w:rPr>
                <w:sz w:val="19"/>
                <w:szCs w:val="19"/>
                <w:color w:val="auto"/>
              </w:rPr>
            </w:pPr>
          </w:p>
        </w:tc>
        <w:tc>
          <w:tcPr>
            <w:tcW w:w="2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(2025 Notes)</w:t>
            </w:r>
          </w:p>
        </w:tc>
        <w:tc>
          <w:tcPr>
            <w:tcW w:w="2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(2029 Notes)</w:t>
            </w:r>
          </w:p>
        </w:tc>
        <w:tc>
          <w:tcPr>
            <w:tcW w:w="22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(2025 Notes)</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(2029 Notes)</w:t>
            </w:r>
          </w:p>
        </w:tc>
        <w:tc>
          <w:tcPr>
            <w:tcW w:w="0" w:type="dxa"/>
            <w:vAlign w:val="bottom"/>
          </w:tcPr>
          <w:p>
            <w:pPr>
              <w:spacing w:after="0"/>
              <w:rPr>
                <w:sz w:val="1"/>
                <w:szCs w:val="1"/>
                <w:color w:val="auto"/>
              </w:rPr>
            </w:pPr>
          </w:p>
        </w:tc>
      </w:tr>
      <w:tr>
        <w:trPr>
          <w:trHeight w:val="222"/>
        </w:trPr>
        <w:tc>
          <w:tcPr>
            <w:tcW w:w="2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30, 2025</w:t>
            </w:r>
          </w:p>
        </w:tc>
        <w:tc>
          <w:tcPr>
            <w:tcW w:w="120" w:type="dxa"/>
            <w:vAlign w:val="bottom"/>
            <w:tcBorders>
              <w:top w:val="single" w:sz="8" w:color="CCEEFF"/>
            </w:tcBorders>
            <w:shd w:val="clear" w:color="auto" w:fill="CCEEFF"/>
          </w:tcPr>
          <w:p>
            <w:pPr>
              <w:spacing w:after="0"/>
              <w:rPr>
                <w:sz w:val="19"/>
                <w:szCs w:val="19"/>
                <w:color w:val="auto"/>
              </w:rPr>
            </w:pPr>
          </w:p>
        </w:tc>
        <w:tc>
          <w:tcPr>
            <w:tcW w:w="2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120" w:type="dxa"/>
            <w:vAlign w:val="bottom"/>
            <w:tcBorders>
              <w:top w:val="single" w:sz="8" w:color="CCEEFF"/>
            </w:tcBorders>
            <w:shd w:val="clear" w:color="auto" w:fill="CCEEFF"/>
          </w:tcPr>
          <w:p>
            <w:pPr>
              <w:spacing w:after="0"/>
              <w:rPr>
                <w:sz w:val="19"/>
                <w:szCs w:val="19"/>
                <w:color w:val="auto"/>
              </w:rPr>
            </w:pPr>
          </w:p>
        </w:tc>
        <w:tc>
          <w:tcPr>
            <w:tcW w:w="2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120" w:type="dxa"/>
            <w:vAlign w:val="bottom"/>
            <w:tcBorders>
              <w:top w:val="single" w:sz="8" w:color="CCEEFF"/>
            </w:tcBorders>
            <w:shd w:val="clear" w:color="auto" w:fill="CCEEFF"/>
          </w:tcPr>
          <w:p>
            <w:pPr>
              <w:spacing w:after="0"/>
              <w:rPr>
                <w:sz w:val="19"/>
                <w:szCs w:val="19"/>
                <w:color w:val="auto"/>
              </w:rPr>
            </w:pPr>
          </w:p>
        </w:tc>
        <w:tc>
          <w:tcPr>
            <w:tcW w:w="2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120" w:type="dxa"/>
            <w:vAlign w:val="bottom"/>
            <w:tcBorders>
              <w:top w:val="single" w:sz="8" w:color="CCEEFF"/>
            </w:tcBorders>
            <w:shd w:val="clear" w:color="auto" w:fill="CCEEFF"/>
          </w:tcPr>
          <w:p>
            <w:pPr>
              <w:spacing w:after="0"/>
              <w:rPr>
                <w:sz w:val="19"/>
                <w:szCs w:val="19"/>
                <w:color w:val="auto"/>
              </w:rPr>
            </w:pPr>
          </w:p>
        </w:tc>
        <w:tc>
          <w:tcPr>
            <w:tcW w:w="2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0" w:type="dxa"/>
            <w:vAlign w:val="bottom"/>
          </w:tcPr>
          <w:p>
            <w:pPr>
              <w:spacing w:after="0"/>
              <w:rPr>
                <w:sz w:val="1"/>
                <w:szCs w:val="1"/>
                <w:color w:val="auto"/>
              </w:rPr>
            </w:pPr>
          </w:p>
        </w:tc>
      </w:tr>
      <w:tr>
        <w:trPr>
          <w:trHeight w:val="234"/>
        </w:trPr>
        <w:tc>
          <w:tcPr>
            <w:tcW w:w="2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December 31, 2024</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120" w:type="dxa"/>
            <w:vAlign w:val="bottom"/>
          </w:tcPr>
          <w:p>
            <w:pPr>
              <w:spacing w:after="0"/>
              <w:rPr>
                <w:sz w:val="20"/>
                <w:szCs w:val="20"/>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12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12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0" w:type="dxa"/>
            <w:vAlign w:val="bottom"/>
          </w:tcPr>
          <w:p>
            <w:pPr>
              <w:spacing w:after="0"/>
              <w:rPr>
                <w:sz w:val="1"/>
                <w:szCs w:val="1"/>
                <w:color w:val="auto"/>
              </w:rPr>
            </w:pPr>
          </w:p>
        </w:tc>
      </w:tr>
      <w:tr>
        <w:trPr>
          <w:trHeight w:val="842"/>
        </w:trPr>
        <w:tc>
          <w:tcPr>
            <w:tcW w:w="2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4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2180" w:type="dxa"/>
            <w:vAlign w:val="bottom"/>
            <w:tcBorders>
              <w:bottom w:val="single" w:sz="8" w:color="9A9A9A"/>
            </w:tcBorders>
          </w:tcPr>
          <w:p>
            <w:pPr>
              <w:spacing w:after="0"/>
              <w:rPr>
                <w:sz w:val="20"/>
                <w:szCs w:val="20"/>
                <w:color w:val="auto"/>
              </w:rPr>
            </w:pPr>
          </w:p>
        </w:tc>
        <w:tc>
          <w:tcPr>
            <w:tcW w:w="120" w:type="dxa"/>
            <w:vAlign w:val="bottom"/>
            <w:tcBorders>
              <w:bottom w:val="single" w:sz="8" w:color="9A9A9A"/>
            </w:tcBorders>
          </w:tcPr>
          <w:p>
            <w:pPr>
              <w:spacing w:after="0"/>
              <w:rPr>
                <w:sz w:val="20"/>
                <w:szCs w:val="20"/>
                <w:color w:val="auto"/>
              </w:rPr>
            </w:pPr>
          </w:p>
        </w:tc>
        <w:tc>
          <w:tcPr>
            <w:tcW w:w="2120" w:type="dxa"/>
            <w:vAlign w:val="bottom"/>
            <w:tcBorders>
              <w:bottom w:val="single" w:sz="8" w:color="9A9A9A"/>
            </w:tcBorders>
          </w:tcPr>
          <w:p>
            <w:pPr>
              <w:spacing w:after="0"/>
              <w:rPr>
                <w:sz w:val="20"/>
                <w:szCs w:val="20"/>
                <w:color w:val="auto"/>
              </w:rPr>
            </w:pPr>
          </w:p>
        </w:tc>
        <w:tc>
          <w:tcPr>
            <w:tcW w:w="120" w:type="dxa"/>
            <w:vAlign w:val="bottom"/>
            <w:tcBorders>
              <w:bottom w:val="single" w:sz="8" w:color="9A9A9A"/>
            </w:tcBorders>
          </w:tcPr>
          <w:p>
            <w:pPr>
              <w:spacing w:after="0"/>
              <w:rPr>
                <w:sz w:val="20"/>
                <w:szCs w:val="20"/>
                <w:color w:val="auto"/>
              </w:rPr>
            </w:pPr>
          </w:p>
        </w:tc>
        <w:tc>
          <w:tcPr>
            <w:tcW w:w="2140" w:type="dxa"/>
            <w:vAlign w:val="bottom"/>
            <w:tcBorders>
              <w:bottom w:val="single" w:sz="8" w:color="9A9A9A"/>
            </w:tcBorders>
          </w:tcPr>
          <w:p>
            <w:pPr>
              <w:spacing w:after="0"/>
              <w:rPr>
                <w:sz w:val="20"/>
                <w:szCs w:val="20"/>
                <w:color w:val="auto"/>
              </w:rPr>
            </w:pPr>
          </w:p>
        </w:tc>
        <w:tc>
          <w:tcPr>
            <w:tcW w:w="120" w:type="dxa"/>
            <w:vAlign w:val="bottom"/>
            <w:tcBorders>
              <w:bottom w:val="single" w:sz="8" w:color="9A9A9A"/>
            </w:tcBorders>
          </w:tcPr>
          <w:p>
            <w:pPr>
              <w:spacing w:after="0"/>
              <w:rPr>
                <w:sz w:val="20"/>
                <w:szCs w:val="20"/>
                <w:color w:val="auto"/>
              </w:rPr>
            </w:pPr>
          </w:p>
        </w:tc>
        <w:tc>
          <w:tcPr>
            <w:tcW w:w="2160" w:type="dxa"/>
            <w:vAlign w:val="bottom"/>
            <w:tcBorders>
              <w:bottom w:val="single" w:sz="8" w:color="9A9A9A"/>
            </w:tcBorders>
          </w:tcPr>
          <w:p>
            <w:pPr>
              <w:spacing w:after="0"/>
              <w:rPr>
                <w:sz w:val="20"/>
                <w:szCs w:val="20"/>
                <w:color w:val="auto"/>
              </w:rPr>
            </w:pPr>
          </w:p>
        </w:tc>
        <w:tc>
          <w:tcPr>
            <w:tcW w:w="120" w:type="dxa"/>
            <w:vAlign w:val="bottom"/>
            <w:tcBorders>
              <w:bottom w:val="single" w:sz="8" w:color="9A9A9A"/>
            </w:tcBorders>
          </w:tcPr>
          <w:p>
            <w:pPr>
              <w:spacing w:after="0"/>
              <w:rPr>
                <w:sz w:val="20"/>
                <w:szCs w:val="20"/>
                <w:color w:val="auto"/>
              </w:rPr>
            </w:pPr>
          </w:p>
        </w:tc>
        <w:tc>
          <w:tcPr>
            <w:tcW w:w="2160" w:type="dxa"/>
            <w:vAlign w:val="bottom"/>
            <w:tcBorders>
              <w:bottom w:val="single" w:sz="8" w:color="9A9A9A"/>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16" w:name="page17"/>
    <w:bookmarkEnd w:id="16"/>
    <w:p>
      <w:pPr>
        <w:jc w:val="both"/>
        <w:ind w:left="660" w:hanging="330"/>
        <w:spacing w:after="0" w:line="251" w:lineRule="auto"/>
        <w:tabs>
          <w:tab w:leader="none" w:pos="632" w:val="left"/>
        </w:tabs>
        <w:numPr>
          <w:ilvl w:val="0"/>
          <w:numId w:val="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embedded and capped call derivatives are classified as Level 3 because the Company uses historical volatility and implied volatility from actual options traded to determine expected stock price volatility, an unobservable input that is significant to the valuation. In general, an increase in LivaNova’s stock price or stock price volatility would increase the fair value of the embedded and capped call derivatives, which would result in an increase in net expense. As the remaining time to the expiration of the derivatives decreases, the fair value of the derivatives decreases. The future impact of the derivatives on net income (loss) depends on how significant inputs such as stock price, stock price volatility, and time to the expiration of the derivatives change in relation to other inputs.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Contingent Consideration Arrangement</w:t>
      </w:r>
    </w:p>
    <w:p>
      <w:pPr>
        <w:spacing w:after="0" w:line="11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color w:val="auto"/>
        </w:rPr>
        <w:t>The ImThera business combination involved contingent consideration arrangements comprised of potential cash payments upon the achievement of a certain regulatory milestone and a sales-based earnout associated with sales of products. The sales-based earnouts are valued using projected sales from LivaNova’s internal strategic plan. These arrangements are Level 3 fair value measurements and included the following significant unobservable inputs as of June 30, 2025:</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480" w:type="dxa"/>
            <w:vAlign w:val="bottom"/>
            <w:gridSpan w:val="2"/>
          </w:tcPr>
          <w:p>
            <w:pPr>
              <w:ind w:left="880"/>
              <w:spacing w:after="0"/>
              <w:rPr>
                <w:sz w:val="20"/>
                <w:szCs w:val="20"/>
                <w:color w:val="auto"/>
              </w:rPr>
            </w:pPr>
            <w:r>
              <w:rPr>
                <w:rFonts w:ascii="Times New Roman" w:cs="Times New Roman" w:eastAsia="Times New Roman" w:hAnsi="Times New Roman"/>
                <w:sz w:val="18"/>
                <w:szCs w:val="18"/>
                <w:b w:val="1"/>
                <w:bCs w:val="1"/>
                <w:color w:val="auto"/>
              </w:rPr>
              <w:t>ImThera Acquisition</w:t>
            </w:r>
          </w:p>
        </w:tc>
        <w:tc>
          <w:tcPr>
            <w:tcW w:w="2800" w:type="dxa"/>
            <w:vAlign w:val="bottom"/>
            <w:gridSpan w:val="2"/>
          </w:tcPr>
          <w:p>
            <w:pPr>
              <w:ind w:left="560"/>
              <w:spacing w:after="0"/>
              <w:rPr>
                <w:sz w:val="20"/>
                <w:szCs w:val="20"/>
                <w:color w:val="auto"/>
              </w:rPr>
            </w:pPr>
            <w:r>
              <w:rPr>
                <w:rFonts w:ascii="Times New Roman" w:cs="Times New Roman" w:eastAsia="Times New Roman" w:hAnsi="Times New Roman"/>
                <w:sz w:val="18"/>
                <w:szCs w:val="18"/>
                <w:b w:val="1"/>
                <w:bCs w:val="1"/>
                <w:color w:val="auto"/>
              </w:rPr>
              <w:t>Valuation Technique</w:t>
            </w:r>
          </w:p>
        </w:tc>
        <w:tc>
          <w:tcPr>
            <w:tcW w:w="2980" w:type="dxa"/>
            <w:vAlign w:val="bottom"/>
            <w:gridSpan w:val="2"/>
          </w:tcPr>
          <w:p>
            <w:pPr>
              <w:ind w:left="660"/>
              <w:spacing w:after="0"/>
              <w:rPr>
                <w:sz w:val="20"/>
                <w:szCs w:val="20"/>
                <w:color w:val="auto"/>
              </w:rPr>
            </w:pPr>
            <w:r>
              <w:rPr>
                <w:rFonts w:ascii="Times New Roman" w:cs="Times New Roman" w:eastAsia="Times New Roman" w:hAnsi="Times New Roman"/>
                <w:sz w:val="18"/>
                <w:szCs w:val="18"/>
                <w:b w:val="1"/>
                <w:bCs w:val="1"/>
                <w:color w:val="auto"/>
              </w:rPr>
              <w:t>Unobservable Input</w:t>
            </w:r>
          </w:p>
        </w:tc>
        <w:tc>
          <w:tcPr>
            <w:tcW w:w="1980" w:type="dxa"/>
            <w:vAlign w:val="bottom"/>
            <w:gridSpan w:val="2"/>
          </w:tcPr>
          <w:p>
            <w:pPr>
              <w:ind w:left="740"/>
              <w:spacing w:after="0"/>
              <w:rPr>
                <w:sz w:val="20"/>
                <w:szCs w:val="20"/>
                <w:color w:val="auto"/>
              </w:rPr>
            </w:pPr>
            <w:r>
              <w:rPr>
                <w:rFonts w:ascii="Times New Roman" w:cs="Times New Roman" w:eastAsia="Times New Roman" w:hAnsi="Times New Roman"/>
                <w:sz w:val="18"/>
                <w:szCs w:val="18"/>
                <w:b w:val="1"/>
                <w:bCs w:val="1"/>
                <w:color w:val="auto"/>
              </w:rPr>
              <w:t>Inputs</w:t>
            </w:r>
          </w:p>
        </w:tc>
      </w:tr>
      <w:tr>
        <w:trPr>
          <w:trHeight w:val="222"/>
        </w:trPr>
        <w:tc>
          <w:tcPr>
            <w:tcW w:w="3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Regulatory milestone-based payment</w:t>
            </w:r>
          </w:p>
        </w:tc>
        <w:tc>
          <w:tcPr>
            <w:tcW w:w="120" w:type="dxa"/>
            <w:vAlign w:val="bottom"/>
            <w:tcBorders>
              <w:top w:val="single" w:sz="8" w:color="CCEEFF"/>
            </w:tcBorders>
            <w:shd w:val="clear" w:color="auto" w:fill="CCEEFF"/>
          </w:tcPr>
          <w:p>
            <w:pPr>
              <w:spacing w:after="0"/>
              <w:rPr>
                <w:sz w:val="19"/>
                <w:szCs w:val="19"/>
                <w:color w:val="auto"/>
              </w:rPr>
            </w:pPr>
          </w:p>
        </w:tc>
        <w:tc>
          <w:tcPr>
            <w:tcW w:w="2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Discounted cash flow</w:t>
            </w:r>
          </w:p>
        </w:tc>
        <w:tc>
          <w:tcPr>
            <w:tcW w:w="100" w:type="dxa"/>
            <w:vAlign w:val="bottom"/>
            <w:tcBorders>
              <w:top w:val="single" w:sz="8" w:color="CCEEFF"/>
            </w:tcBorders>
            <w:shd w:val="clear" w:color="auto" w:fill="CCEEFF"/>
          </w:tcPr>
          <w:p>
            <w:pPr>
              <w:spacing w:after="0"/>
              <w:rPr>
                <w:sz w:val="19"/>
                <w:szCs w:val="19"/>
                <w:color w:val="auto"/>
              </w:rPr>
            </w:pPr>
          </w:p>
        </w:tc>
        <w:tc>
          <w:tcPr>
            <w:tcW w:w="2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20" w:type="dxa"/>
            <w:vAlign w:val="bottom"/>
            <w:tcBorders>
              <w:top w:val="single" w:sz="8" w:color="CCEEFF"/>
            </w:tcBorders>
            <w:shd w:val="clear" w:color="auto" w:fill="CCEEFF"/>
          </w:tcPr>
          <w:p>
            <w:pPr>
              <w:spacing w:after="0"/>
              <w:rPr>
                <w:sz w:val="19"/>
                <w:szCs w:val="19"/>
                <w:color w:val="auto"/>
              </w:rPr>
            </w:pPr>
          </w:p>
        </w:tc>
        <w:tc>
          <w:tcPr>
            <w:tcW w:w="1980" w:type="dxa"/>
            <w:vAlign w:val="bottom"/>
            <w:tcBorders>
              <w:top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6.4%</w:t>
            </w:r>
          </w:p>
        </w:tc>
      </w:tr>
      <w:tr>
        <w:trPr>
          <w:trHeight w:val="228"/>
        </w:trPr>
        <w:tc>
          <w:tcPr>
            <w:tcW w:w="3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Probability of payment</w:t>
            </w:r>
          </w:p>
        </w:tc>
        <w:tc>
          <w:tcPr>
            <w:tcW w:w="19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85%</w:t>
            </w:r>
          </w:p>
        </w:tc>
      </w:tr>
      <w:tr>
        <w:trPr>
          <w:trHeight w:val="228"/>
        </w:trPr>
        <w:tc>
          <w:tcPr>
            <w:tcW w:w="3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Projected payment year</w:t>
            </w:r>
          </w:p>
        </w:tc>
        <w:tc>
          <w:tcPr>
            <w:tcW w:w="19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r>
      <w:tr>
        <w:trPr>
          <w:trHeight w:val="269"/>
        </w:trPr>
        <w:tc>
          <w:tcPr>
            <w:tcW w:w="3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28"/>
        </w:trPr>
        <w:tc>
          <w:tcPr>
            <w:tcW w:w="3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Sales-based earnout</w:t>
            </w:r>
          </w:p>
        </w:tc>
        <w:tc>
          <w:tcPr>
            <w:tcW w:w="2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Monte-Carlo simulation</w:t>
            </w:r>
          </w:p>
        </w:tc>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Risk-adjusted discount rate</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- 13.6%</w:t>
            </w:r>
          </w:p>
        </w:tc>
      </w:tr>
      <w:tr>
        <w:trPr>
          <w:trHeight w:val="228"/>
        </w:trPr>
        <w:tc>
          <w:tcPr>
            <w:tcW w:w="3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Credit risk discount rate</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- 7.5%</w:t>
            </w:r>
          </w:p>
        </w:tc>
      </w:tr>
      <w:tr>
        <w:trPr>
          <w:trHeight w:val="228"/>
        </w:trPr>
        <w:tc>
          <w:tcPr>
            <w:tcW w:w="3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volatility</w:t>
            </w:r>
          </w:p>
        </w:tc>
        <w:tc>
          <w:tcPr>
            <w:tcW w:w="19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22.9%</w:t>
            </w:r>
          </w:p>
        </w:tc>
      </w:tr>
      <w:tr>
        <w:trPr>
          <w:trHeight w:val="228"/>
        </w:trPr>
        <w:tc>
          <w:tcPr>
            <w:tcW w:w="3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Probability of payment</w:t>
            </w:r>
          </w:p>
        </w:tc>
        <w:tc>
          <w:tcPr>
            <w:tcW w:w="19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85%</w:t>
            </w:r>
          </w:p>
        </w:tc>
      </w:tr>
      <w:tr>
        <w:trPr>
          <w:trHeight w:val="228"/>
        </w:trPr>
        <w:tc>
          <w:tcPr>
            <w:tcW w:w="3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Projected years of earnout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2027</w:t>
            </w:r>
          </w:p>
        </w:tc>
        <w:tc>
          <w:tcPr>
            <w:tcW w:w="1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- 2030</w:t>
            </w:r>
          </w:p>
        </w:tc>
      </w:tr>
    </w:tbl>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4. Financing Arrangements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summary of LivaNova’s long-term debt obligations (in thousands, except interest rates):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60" w:type="dxa"/>
            <w:vAlign w:val="bottom"/>
          </w:tcPr>
          <w:p>
            <w:pPr>
              <w:spacing w:after="0"/>
              <w:rPr>
                <w:sz w:val="18"/>
                <w:szCs w:val="18"/>
                <w:color w:val="auto"/>
              </w:rPr>
            </w:pPr>
          </w:p>
        </w:tc>
        <w:tc>
          <w:tcPr>
            <w:tcW w:w="12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0" w:type="dxa"/>
            <w:vAlign w:val="bottom"/>
          </w:tcPr>
          <w:p>
            <w:pPr>
              <w:spacing w:after="0"/>
              <w:rPr>
                <w:sz w:val="18"/>
                <w:szCs w:val="18"/>
                <w:color w:val="auto"/>
              </w:rPr>
            </w:pPr>
          </w:p>
        </w:tc>
        <w:tc>
          <w:tcPr>
            <w:tcW w:w="17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Maturity</w:t>
            </w:r>
          </w:p>
        </w:tc>
        <w:tc>
          <w:tcPr>
            <w:tcW w:w="16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Interest Rate</w:t>
            </w:r>
          </w:p>
        </w:tc>
        <w:tc>
          <w:tcPr>
            <w:tcW w:w="0" w:type="dxa"/>
            <w:vAlign w:val="bottom"/>
          </w:tcPr>
          <w:p>
            <w:pPr>
              <w:spacing w:after="0"/>
              <w:rPr>
                <w:sz w:val="1"/>
                <w:szCs w:val="1"/>
                <w:color w:val="auto"/>
              </w:rPr>
            </w:pPr>
          </w:p>
        </w:tc>
      </w:tr>
      <w:tr>
        <w:trPr>
          <w:trHeight w:val="242"/>
        </w:trPr>
        <w:tc>
          <w:tcPr>
            <w:tcW w:w="4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1"/>
                <w:szCs w:val="21"/>
                <w:color w:val="auto"/>
              </w:rPr>
            </w:pPr>
          </w:p>
        </w:tc>
        <w:tc>
          <w:tcPr>
            <w:tcW w:w="1780" w:type="dxa"/>
            <w:vAlign w:val="bottom"/>
            <w:gridSpan w:val="2"/>
            <w:vMerge w:val="continue"/>
          </w:tcPr>
          <w:p>
            <w:pPr>
              <w:spacing w:after="0"/>
              <w:rPr>
                <w:sz w:val="21"/>
                <w:szCs w:val="21"/>
                <w:color w:val="auto"/>
              </w:rPr>
            </w:pPr>
          </w:p>
        </w:tc>
        <w:tc>
          <w:tcPr>
            <w:tcW w:w="16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4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Facilities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107,722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313,014</w:t>
            </w:r>
          </w:p>
        </w:tc>
        <w:tc>
          <w:tcPr>
            <w:tcW w:w="12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July 2027</w:t>
            </w: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7.36%</w:t>
            </w:r>
          </w:p>
        </w:tc>
        <w:tc>
          <w:tcPr>
            <w:tcW w:w="0" w:type="dxa"/>
            <w:vAlign w:val="bottom"/>
          </w:tcPr>
          <w:p>
            <w:pPr>
              <w:spacing w:after="0"/>
              <w:rPr>
                <w:sz w:val="1"/>
                <w:szCs w:val="1"/>
                <w:color w:val="auto"/>
              </w:rPr>
            </w:pPr>
          </w:p>
        </w:tc>
      </w:tr>
      <w:tr>
        <w:trPr>
          <w:trHeight w:val="228"/>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 Notes</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266,569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258,043</w:t>
            </w:r>
          </w:p>
        </w:tc>
        <w:tc>
          <w:tcPr>
            <w:tcW w:w="120" w:type="dxa"/>
            <w:vAlign w:val="bottom"/>
          </w:tcPr>
          <w:p>
            <w:pPr>
              <w:spacing w:after="0"/>
              <w:rPr>
                <w:sz w:val="19"/>
                <w:szCs w:val="19"/>
                <w:color w:val="auto"/>
              </w:rPr>
            </w:pP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March 2029</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28"/>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 Notes</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53,887</w:t>
            </w:r>
          </w:p>
        </w:tc>
        <w:tc>
          <w:tcPr>
            <w:tcW w:w="12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December 2025</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28"/>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Bank of America, U.S.</w:t>
            </w:r>
          </w:p>
        </w:tc>
        <w:tc>
          <w:tcPr>
            <w:tcW w:w="12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long-term facilities</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430,592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626,963</w:t>
            </w:r>
          </w:p>
        </w:tc>
        <w:tc>
          <w:tcPr>
            <w:tcW w:w="1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82,103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77,339</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long-term debt obligations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348,489</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549,624</w:t>
            </w:r>
          </w:p>
        </w:tc>
        <w:tc>
          <w:tcPr>
            <w:tcW w:w="1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Revolving Credit and Term Facilities</w:t>
      </w:r>
    </w:p>
    <w:p>
      <w:pPr>
        <w:spacing w:after="0" w:line="124"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The outstanding principal amount of LivaNova’s short-term unsecured revolving credit agreements and other agreements with various banks was $30 thousand and $0.7 million at June 30, 2025 and December 31, 2024, respectively.</w:t>
      </w:r>
    </w:p>
    <w:p>
      <w:pPr>
        <w:spacing w:after="0" w:line="6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8"/>
          <w:szCs w:val="18"/>
          <w:color w:val="auto"/>
        </w:rPr>
        <w:t>There were no outstanding borrowings under the $225.0 million revolving facilities under the 2021 First Lien Credit Agreement as of June 30, 2025 and December 31, 2024. As of June 30, 2025 and December 31, 2024, the applicable commitment fee percentage was 0.25% per annum and 0.5% per annum, respectively. As of June 30, 2025, the Company was in compliance with the financial covenants contained in the 2021 First Lien Credit Agreement.</w:t>
      </w:r>
    </w:p>
    <w:p>
      <w:pPr>
        <w:spacing w:after="0" w:line="76"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8"/>
          <w:szCs w:val="18"/>
          <w:color w:val="auto"/>
        </w:rPr>
        <w:t>Debt discount and issuance costs related to the Initial Term Facility were $9.6 million. The unamortized debt discount and issuance costs related to the Initial Term Facility were $1.3 million and $4.8 million as of June 30, 2025 and December 31, 2024, respectively.</w:t>
      </w:r>
    </w:p>
    <w:p>
      <w:pPr>
        <w:spacing w:after="0" w:line="42"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8"/>
          <w:szCs w:val="18"/>
          <w:color w:val="auto"/>
        </w:rPr>
        <w:t>On May 2, 2025, LivaNova made an early repayment of $200 million on principal borrowings under the Term Facilities. The early repayment resulted in a loss on debt extinguishment of $2.7 million recognized for the three and six months ended June</w:t>
      </w:r>
    </w:p>
    <w:p>
      <w:pPr>
        <w:spacing w:after="0" w:line="200" w:lineRule="exact"/>
        <w:rPr>
          <w:sz w:val="20"/>
          <w:szCs w:val="20"/>
          <w:color w:val="auto"/>
        </w:rPr>
      </w:pPr>
    </w:p>
    <w:p>
      <w:pPr>
        <w:spacing w:after="0" w:line="28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140335</wp:posOffset>
            </wp:positionV>
            <wp:extent cx="71583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17" w:name="page18"/>
    <w:bookmarkEnd w:id="17"/>
    <w:p>
      <w:pPr>
        <w:jc w:val="both"/>
        <w:spacing w:after="0" w:line="295" w:lineRule="auto"/>
        <w:rPr>
          <w:sz w:val="20"/>
          <w:szCs w:val="20"/>
          <w:color w:val="auto"/>
        </w:rPr>
      </w:pPr>
      <w:r>
        <w:rPr>
          <w:rFonts w:ascii="Times New Roman" w:cs="Times New Roman" w:eastAsia="Times New Roman" w:hAnsi="Times New Roman"/>
          <w:sz w:val="18"/>
          <w:szCs w:val="18"/>
          <w:color w:val="auto"/>
        </w:rPr>
        <w:t>30, 2025, associated with the write-off of unamortized debt issuance costs, and is included within loss on debt extinguishment on the condensed consolidated statements of income (loss).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2029 Notes</w:t>
      </w:r>
    </w:p>
    <w:p>
      <w:pPr>
        <w:spacing w:after="0" w:line="12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effective interest rate of the 2029 Notes was 9.84% as of June 30, 2025. The unamortized debt discount and issuance costs related to the 2029 Notes as of June 30, 2025 and December 31, 2024 were $78.4 million and $87.0 million, respectively. As of June 30, 2025, the conditions for conversion were not met. The Company included its obligations from the 2029 Notes and the associated embedded derivative as long-term liabilities on the condensed consolidated balance sheet as of June 30, 2025, and the 2029 Notes are not convertible for the three months ended September 30, 2025. For additional information regarding the 2029 Notes, refer to LivaNova’s 2024 Form 10-K.</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2025 Notes</w:t>
      </w:r>
    </w:p>
    <w:p>
      <w:pPr>
        <w:spacing w:after="0" w:line="11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The effective interest rate of the 2025 Notes was 9.92% as of June 30, 2025. The unamortized debt discount and issuance costs related to the 2025 Notes as of June 30, 2025 and December 31, 2024 were $1.8 million and $3.6 million, respectively. As of June 30, 2025, the conditions for exchange were not met. The Company included its obligations from the 2025 Notes and the associated embedded derivative as current liabilities on the condensed consolidated balance sheet as of June 30, 2025. The 2025 Notes are not currently exchangeable, but will be exchangeable at the holder’s option, without any additional conditions, from September 15, 2025 through the second scheduled trading day immediately preceding the maturity date of the 2025 Notes. For additional information regarding the 2025 Notes, refer to LivaNova’s 2024 Form 10-K.</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5. Commitments and Contingencies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Saluggia Site Hazardous Substances</w:t>
      </w:r>
    </w:p>
    <w:p>
      <w:pPr>
        <w:spacing w:after="0" w:line="11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LSM, formerly a subsidiary of Sorin, one of the companies that merged into LivaNova PLC in 2015, manages site services for the campus in Saluggia, Italy. In addition to being a former LivaNova manufacturing facility, the Saluggia campus is also the location of manufacturing facilities of third parties, a cafeteria for workers, and storage facilities for hazardous substances and equipment previously used in a nuclear research center, later turned nuclear medicine business, between the 1960s and the late 1990s. Pursuant to authorization from the Italian government, LSM performs ordinary maintenance, secures the facilities, monitors air and water quality, and files applicable reports with the competent environmental authorities.</w:t>
      </w:r>
    </w:p>
    <w:p>
      <w:pPr>
        <w:spacing w:after="0" w:line="8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In 2020, LSM received correspondence from ISIN requesting that, within five years, LSM demonstrate the financial capacity to meet its obligations under Italian law to clean and dismantle any contaminated buildings and equipment, as well as to deliver hazardous substances to a national repository. The national repository will be built by the Italian government at a location and time yet to be determined. ISIN subsequently published Technical Guide n. 30, which identifies the technical criteria and general safety and protection requirements for the design, construction, operation, and dismantling of temporary storage facilities for the hazardous substances.</w:t>
      </w:r>
    </w:p>
    <w:p>
      <w:pPr>
        <w:spacing w:after="0" w:line="6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Although there is no legal obligation to deliver any hazardous substances, as the performance of these obligations is contingent on the construction of the as-yet unbuilt national repository, based on the aforementioned factors, the Company concluded its obligation to clean, dismantle, and deliver any hazardous substances to a national repository is probable and reasonably estimable. The estimated liability as of June 30, 2025 was $40.4 million (€34.5 million), which represented the estimated low end of the range of loss, with an estimated maximum end of the range of loss of $55.3 million (€47.2 million). The estimated liability as of December 31, 2024 was $36.7 million (€35.4 million).</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SNIA Environmental Litigation</w:t>
      </w:r>
    </w:p>
    <w:p>
      <w:pPr>
        <w:spacing w:after="0" w:line="11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8"/>
          <w:szCs w:val="18"/>
          <w:color w:val="auto"/>
        </w:rPr>
        <w:t>Sorin was created as a result of a spin-off from SNIA in 2004, and in 2015, Sorin was merged into LivaNova. SNIA subsequently became insolvent, and the Public Administrations sought compensation from SNIA in an aggregate amount of approximately $4.0 billion for remediation costs relating to the environmental damage at chemical sites previously operated by SNIA’s other subsidiaries.</w:t>
      </w:r>
    </w:p>
    <w:p>
      <w:pPr>
        <w:spacing w:after="0" w:line="7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There are proceedings relating to the SNIA bankruptcy to which LivaNova is not a party in the Bankruptcy Court of Udine and the Bankruptcy Court of Milan. In 2011, the Bankruptcy Court of Udine held that the Public Administrations were not creditors of either SNIA or its subsidiaries in connection with their claims in the Italian insolvency proceedings. The Public Administrations appealed. In 2016, the Court of Udine rejected the appeal, and the Public Administrations appealed to the Italian Supreme Court. Similarly, in 2014, the Bankruptcy Court of Milan held that the Public Administrations were not creditors of either SNIA or its subsidiaries. The Public Administrations appealed. In April 2022, the Bankruptcy Court of Milan declared the Public Administrations to be a non-privileged creditor of SNIA for up to €453.6 million ($531.4 million as of June 30, 2025), and the Public Administrations appealed to the Italian Supreme Court.</w:t>
      </w:r>
    </w:p>
    <w:p>
      <w:pPr>
        <w:spacing w:after="0" w:line="200" w:lineRule="exact"/>
        <w:rPr>
          <w:sz w:val="20"/>
          <w:szCs w:val="20"/>
          <w:color w:val="auto"/>
        </w:rPr>
      </w:pPr>
    </w:p>
    <w:p>
      <w:pPr>
        <w:spacing w:after="0" w:line="3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149225</wp:posOffset>
            </wp:positionV>
            <wp:extent cx="71583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8" w:name="page19"/>
    <w:bookmarkEnd w:id="18"/>
    <w:p>
      <w:pPr>
        <w:jc w:val="both"/>
        <w:spacing w:after="0" w:line="264" w:lineRule="auto"/>
        <w:rPr>
          <w:sz w:val="20"/>
          <w:szCs w:val="20"/>
          <w:color w:val="auto"/>
        </w:rPr>
      </w:pPr>
      <w:r>
        <w:rPr>
          <w:rFonts w:ascii="Times New Roman" w:cs="Times New Roman" w:eastAsia="Times New Roman" w:hAnsi="Times New Roman"/>
          <w:sz w:val="18"/>
          <w:szCs w:val="18"/>
          <w:color w:val="auto"/>
        </w:rPr>
        <w:t>In 2012, SNIA filed a civil action against Sorin in the Civil Court of Milan asserting joint liability of a parent and a spun-off company; the Public Administrations entered voluntarily into the proceeding, asking Sorin, as jointly liable with SNIA, to pay compensation for SNIA’s environmental damages. In 2016, the Court of Milan dismissed all legal actions of SNIA and of the Public Administrations further requiring the Public Administrations to pay Sorin €292,000 ($342,109 as of June 30, 2025) for legal fees. The Public Administrations appealed the 2016 Decision to the Court of Appeal. On March 5, 2019, the Court of Appeal issued a partial decision on the merits declaring Sorin/LivaNova jointly liable with SNIA for SNIA’s environmental liabilities in an amount up to the fair value of the net worth received by Sorin because of the spin-off of Sorin from SNIA in 2004, an estimated €572.1 million ($670.3 million as of June 30, 2025). LivaNova appealed the partial decision on liability to the Italian Supreme Court in August 2019.</w:t>
      </w:r>
    </w:p>
    <w:p>
      <w:pPr>
        <w:spacing w:after="0" w:line="8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In 2021, the Court of Appeal delivered the remainder of its decision, ordering LivaNova to pay damages of €453.6 million ($531.4 million as of June 30, 2025). LivaNova appealed the decision on damages in December 2021. On February 21, 2022, the Court of Appeal notified the Company that it granted the Company a suspension with respect to the payment of damages until a decision was reached on the appeal to the Italian Supreme Court. This suspension was subject to LivaNova providing a first demand bank guarantee of €270.0 million ($316.3 million as of June 30, 2025) within 30 calendar days, and on March 21, 2022, LivaNova delivered the SNIA Litigation Guarantee, thereby satisfying the condition.</w:t>
      </w:r>
    </w:p>
    <w:p>
      <w:pPr>
        <w:spacing w:after="0" w:line="8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In 2022, in response to one of a number of appeals asserted by LivaNova, the Italian Supreme Court issued an ordinance, a procedural document, whereby the Italian Supreme Court referred a question on the interpretation of a European directive on demergers to the ECJ. Specifically, the ordinance asked the ECJ to provide a binding decision as to whether a company resulting from a demerger can be held jointly and severally liable not only for the established liabilities of the demerged company that were articulated at the time of demerger, but also for the environmental liabilities of the demerged company that materialized after the demerger which are derived from actions performed prior to the demerger. On July 29, 2024, the ECJ issued a judgment in response to the ordinance. The ECJ judgment states that a demerged company can be held responsible for liabilities not established prior to a demerger as long as the liabilities derive from the conduct of a demerged company prior to the demerger. The ECJ judgment also states that national law should determine whether liability for damages stemming from conduct after a demerger can be assigned to a demerged company.</w:t>
      </w:r>
    </w:p>
    <w:p>
      <w:pPr>
        <w:spacing w:after="0" w:line="8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On March 14, 2025, the Italian Supreme Court issued its decision in response to all of the appeals of the Company and counter-appeals submitted by the Public Administrations. The Italian Supreme Court determined that LivaNova can be held jointly and severally liable for the established liabilities of SNIA at the time of demerger, as well as the environmental liabilities of the demerged company that materialized after the demerger, which are derived from actions performed prior to the demerger; however, the Italian Supreme Court also ruled that the Company should not be held responsible for certain payments previously approved by the Court of Appeal in the amount of €157.3 million ($184.3 million as of June 30, 2025). The case has been referred back to the Court of Appeal to implement the decisions respecting costs and damages in accordance with the judgment of the Italian Supreme Court.</w:t>
      </w:r>
    </w:p>
    <w:p>
      <w:pPr>
        <w:spacing w:after="0" w:line="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As a result of the decision by the Italian Supreme Court, the Company recorded a current liability in the first quarter of 2025 and has continued to accrue interest on the liability since that time. As of June 30, 2025, the Company has a current liability of €334.8 million ($392.3 million) on the condensed consolidated balance sheet, representing its best estimate of the liability, inclusive of estimated costs, fees, interest, and taxes. These estimated costs do not include the Company’s legal fees, which are expensed as incurred and included in SG&amp;A in LivaNova’s condensed consolidated statements of income (loss). The Company has determined that it has sufficient resources to cover the liability as of June 30, 2025.</w:t>
      </w:r>
    </w:p>
    <w:p>
      <w:pPr>
        <w:spacing w:after="0" w:line="67"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8"/>
          <w:szCs w:val="18"/>
          <w:color w:val="auto"/>
        </w:rPr>
        <w:t>On March 31, 2025, as a result of the decision by the Italian Supreme Court, the SNIA Litigation Guarantee was terminated, and the restriction on the cash deposit held as collateral was released. For additional information on the financing of the guarantee, refer to “Note 11. Supplemental Financial Information.”</w:t>
      </w:r>
    </w:p>
    <w:p>
      <w:pPr>
        <w:spacing w:after="0" w:line="5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On May 15, 2025, as a procedural step outlined above, the Ministry served the Company with a filing to return the proceedings to the Court of Appeal. In addition to seeking return of the case to the Court of Appeal, the Ministry asserted that the Court of Appeal forego an examination of the amounts disapproved by the Italian Supreme Court and instead impose costs of approximately €108.8 million at a minimum. These assertions are counter to the decision of the Italian Supreme Court’s judgment, which disapproved costs of €157.3 million ($184.3 million as of June 30, 2025). The Ministry’s filing is not a legal judgment or demand for payment. The Company disagrees with the assertions made in the Ministry’s filing and believes they contradict the decisions of the Italian Supreme Court. The Company intends to challenge the Ministry’s assertions and purported costs and to defend its position in accordance with the Italian Supreme Court’s judgment. The Company continues to believe that its recorded liability remains the best estimate of the liability associated with the SNIA matter, and, as such, no adjustments were made to the accrual in response to the filing on May 15, 2025. A hearing has been scheduled for January 28, 2026.</w:t>
      </w:r>
    </w:p>
    <w:p>
      <w:pPr>
        <w:spacing w:after="0" w:line="200" w:lineRule="exact"/>
        <w:rPr>
          <w:sz w:val="20"/>
          <w:szCs w:val="20"/>
          <w:color w:val="auto"/>
        </w:rPr>
      </w:pPr>
    </w:p>
    <w:p>
      <w:pPr>
        <w:spacing w:after="0" w:line="3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140335</wp:posOffset>
            </wp:positionV>
            <wp:extent cx="71583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20"/>
          <w:szCs w:val="20"/>
          <w:color w:val="auto"/>
        </w:rPr>
        <w:t>Product Liability Litigation</w:t>
      </w:r>
    </w:p>
    <w:p>
      <w:pPr>
        <w:spacing w:after="0" w:line="11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The Company continues to be involved in litigation involving LivaNova’s 3T device. The litigation includes the cases remaining in the MDL, various U.S. state court cases, and claims in jurisdictions outside the United States. As of August 6, 2025, the Company was aware of approximately 60 filed and unfiled claims worldwide. The complaints generally seek damages and other relief based on theories of strict liability, negligence, breach of express and implied warranties, failure to warn, design and manufacturing defect, fraudulent and negligent misrepresentation or concealment, unjust enrichment, and violations of various state consumer protection statutes.</w:t>
      </w:r>
    </w:p>
    <w:p>
      <w:pPr>
        <w:spacing w:after="0" w:line="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For the three and six months ended June 30, 2025, LivaNova recorded an additional liability of $0.1 million and $0.6 million, respectively, upon receiving new information regarding the nature of certain claims. As of June 30, 2025 and December 31, 2024, the provision for these matters was $15.4 million and $15.8 million, respectively. While the amount accrued represents LivaNova’s best estimate for those worldwide filed and unfiled claims of which LivaNova is aware and believes are both probable and estimable at this time, the actual liability for resolution of these matters may vary from the Company’s provision. A provision has not been recorded for any claims where a potential loss is not determined to be probable, or a potential loss or range of potential loss is not reasonably estimable at this time.</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changes in the litigation provision liability for the six months ended June 30, 2025 (in thousands):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 of December 31, 2024</w:t>
            </w: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15,843</w:t>
            </w:r>
          </w:p>
        </w:tc>
      </w:tr>
      <w:tr>
        <w:trPr>
          <w:trHeight w:val="228"/>
        </w:trPr>
        <w:tc>
          <w:tcPr>
            <w:tcW w:w="8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Payments</w:t>
            </w:r>
          </w:p>
        </w:tc>
        <w:tc>
          <w:tcPr>
            <w:tcW w:w="9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(1,932)</w:t>
            </w:r>
          </w:p>
        </w:tc>
      </w:tr>
      <w:tr>
        <w:trPr>
          <w:trHeight w:val="228"/>
        </w:trPr>
        <w:tc>
          <w:tcPr>
            <w:tcW w:w="882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Adjustments </w:t>
            </w:r>
            <w:r>
              <w:rPr>
                <w:rFonts w:ascii="Times New Roman" w:cs="Times New Roman" w:eastAsia="Times New Roman" w:hAnsi="Times New Roman"/>
                <w:sz w:val="23"/>
                <w:szCs w:val="23"/>
                <w:color w:val="auto"/>
                <w:vertAlign w:val="superscript"/>
              </w:rPr>
              <w:t>(1)</w:t>
            </w:r>
          </w:p>
        </w:tc>
        <w:tc>
          <w:tcPr>
            <w:tcW w:w="9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w:t>
            </w:r>
          </w:p>
        </w:tc>
      </w:tr>
      <w:tr>
        <w:trPr>
          <w:trHeight w:val="228"/>
        </w:trPr>
        <w:tc>
          <w:tcPr>
            <w:tcW w:w="8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FX and other</w:t>
            </w:r>
          </w:p>
        </w:tc>
        <w:tc>
          <w:tcPr>
            <w:tcW w:w="9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904</w:t>
            </w:r>
          </w:p>
        </w:tc>
      </w:tr>
      <w:tr>
        <w:trPr>
          <w:trHeight w:val="222"/>
        </w:trPr>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 of June 30, 2025</w:t>
            </w:r>
          </w:p>
        </w:tc>
        <w:tc>
          <w:tcPr>
            <w:tcW w:w="9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15,444</w:t>
            </w:r>
          </w:p>
        </w:tc>
      </w:tr>
      <w:tr>
        <w:trPr>
          <w:trHeight w:val="228"/>
        </w:trPr>
        <w:tc>
          <w:tcPr>
            <w:tcW w:w="8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Current portion as of June 30, 2025</w:t>
            </w:r>
          </w:p>
        </w:tc>
        <w:tc>
          <w:tcPr>
            <w:tcW w:w="9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12,171</w:t>
            </w:r>
          </w:p>
        </w:tc>
      </w:tr>
      <w:tr>
        <w:trPr>
          <w:trHeight w:val="247"/>
        </w:trPr>
        <w:tc>
          <w:tcPr>
            <w:tcW w:w="8820" w:type="dxa"/>
            <w:vAlign w:val="bottom"/>
            <w:tcBorders>
              <w:bottom w:val="single" w:sz="8" w:color="CCEEFF"/>
            </w:tcBorders>
            <w:shd w:val="clear" w:color="auto" w:fill="CCEEFF"/>
          </w:tcPr>
          <w:p>
            <w:pPr>
              <w:ind w:left="20"/>
              <w:spacing w:after="0" w:line="222" w:lineRule="exact"/>
              <w:rPr>
                <w:sz w:val="20"/>
                <w:szCs w:val="20"/>
                <w:color w:val="auto"/>
              </w:rPr>
            </w:pPr>
            <w:r>
              <w:rPr>
                <w:rFonts w:ascii="Times New Roman" w:cs="Times New Roman" w:eastAsia="Times New Roman" w:hAnsi="Times New Roman"/>
                <w:sz w:val="18"/>
                <w:szCs w:val="18"/>
                <w:color w:val="auto"/>
              </w:rPr>
              <w:t xml:space="preserve">Long-term portion as of June 30, 2025 </w:t>
            </w:r>
            <w:r>
              <w:rPr>
                <w:rFonts w:ascii="Times New Roman" w:cs="Times New Roman" w:eastAsia="Times New Roman" w:hAnsi="Times New Roman"/>
                <w:sz w:val="23"/>
                <w:szCs w:val="23"/>
                <w:color w:val="auto"/>
                <w:vertAlign w:val="superscript"/>
              </w:rPr>
              <w:t>(2)</w:t>
            </w:r>
          </w:p>
        </w:tc>
        <w:tc>
          <w:tcPr>
            <w:tcW w:w="980" w:type="dxa"/>
            <w:vAlign w:val="bottom"/>
            <w:tcBorders>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3,273</w:t>
            </w:r>
          </w:p>
        </w:tc>
      </w:tr>
      <w:tr>
        <w:trPr>
          <w:trHeight w:val="20"/>
        </w:trPr>
        <w:tc>
          <w:tcPr>
            <w:tcW w:w="88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156" w:lineRule="exact"/>
        <w:rPr>
          <w:sz w:val="20"/>
          <w:szCs w:val="20"/>
          <w:color w:val="auto"/>
        </w:rPr>
      </w:pPr>
    </w:p>
    <w:p>
      <w:pPr>
        <w:ind w:left="640" w:hanging="310"/>
        <w:spacing w:after="0"/>
        <w:tabs>
          <w:tab w:leader="none" w:pos="640" w:val="left"/>
        </w:tabs>
        <w:numPr>
          <w:ilvl w:val="0"/>
          <w:numId w:val="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Adjustments to the litigation provision are included in other operating expenses on the condensed consolidated statements of income (loss).</w:t>
      </w:r>
    </w:p>
    <w:p>
      <w:pPr>
        <w:spacing w:after="0" w:line="9" w:lineRule="exact"/>
        <w:rPr>
          <w:rFonts w:ascii="Times New Roman" w:cs="Times New Roman" w:eastAsia="Times New Roman" w:hAnsi="Times New Roman"/>
          <w:sz w:val="21"/>
          <w:szCs w:val="21"/>
          <w:color w:val="auto"/>
          <w:vertAlign w:val="superscript"/>
        </w:rPr>
      </w:pPr>
    </w:p>
    <w:p>
      <w:pPr>
        <w:ind w:left="640" w:hanging="310"/>
        <w:spacing w:after="0" w:line="190" w:lineRule="auto"/>
        <w:tabs>
          <w:tab w:leader="none" w:pos="640" w:val="left"/>
        </w:tabs>
        <w:numPr>
          <w:ilvl w:val="0"/>
          <w:numId w:val="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Included in other long-term liabilities on the condensed consolidated balance sheets.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Italian MedTech Payback Measure</w:t>
      </w:r>
    </w:p>
    <w:p>
      <w:pPr>
        <w:spacing w:after="0" w:line="1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2015, the Italian Parliament introduced a law regarding public contracts with the National Healthcare System for the supply of goods and services. In particular, the law introduced a payback measure requiring companies selling medical devices in Italy to repay a percentage of the healthcare expenditures exceeding the regional maximum caps for medical devices. In August 2022, a decree was published which provided guidance and timetables for the payback measure. In response, LivaNova filed an appeal at the Administrative Court against the decree of the Ministry of Health, assessing the amount payable and against the payback law. LivaNova also filed appeals against the regions requesting payments. In August 2023, the Administrative Court upheld LivaNova’s request to suspend the effect of the requests for payment by the regions, pending the decision by the Administrative Court on the merits of the case. In November 2023, the Administrative Court, in a separate matter, asked the Constitutional Court whether the payback law was compliant with the Italian Constitution and pending the decision by the Constitutional Court, all cases brought by medical device companies in this matter were suspended. On July 22, 2024, the Constitutional Court determined that the payback law is compliant with the Italian Constitution and that companies may reduce their payment obligations between 2015-2018 to 48% of the amount originally charged to companies. On June 30, 2025, the Italian Government introduced a decree that, if converted to law, would allow companies to settle their 2015-2018 payment obligations by paying 25% of the originally requested amounts if those companies were to withdraw any outstanding appeals related to that period and remit payment within 30 days of the law entering into force. The Company is evaluating the decree, which is expected to become effective during the third quarter of 2025. Based on market and product information and the 48% ruling by the Constitutional Court, the amount reserved for this matter was $19.7 million and $16.0 million as of June 30, 2025 and December 31, 2024, respectively, and is included in accrued liabilities and other in the condensed consolidated balance sheets. However, the actual liability could vary. Amounts recognized associated with the Italian MedTech payback measure are recorded as a reduction to net revenue in the condensed consolidated statements of income (loss).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Cyber Litigation</w:t>
      </w:r>
    </w:p>
    <w:p>
      <w:pPr>
        <w:spacing w:after="0" w:line="129"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8"/>
          <w:szCs w:val="18"/>
          <w:color w:val="auto"/>
        </w:rPr>
        <w:t>In connection with the cybersecurity incident initially reported on November 20, 2023, LivaNova USA was named as a defendant in six putative class action lawsuits filed in the United States District Court for the Southern District of Texas in June</w:t>
      </w:r>
    </w:p>
    <w:p>
      <w:pPr>
        <w:spacing w:after="0" w:line="200" w:lineRule="exact"/>
        <w:rPr>
          <w:sz w:val="20"/>
          <w:szCs w:val="20"/>
          <w:color w:val="auto"/>
        </w:rPr>
      </w:pPr>
    </w:p>
    <w:p>
      <w:pPr>
        <w:spacing w:after="0" w:line="28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140335</wp:posOffset>
            </wp:positionV>
            <wp:extent cx="71583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20" w:name="page21"/>
    <w:bookmarkEnd w:id="20"/>
    <w:p>
      <w:pPr>
        <w:jc w:val="both"/>
        <w:spacing w:after="0" w:line="268" w:lineRule="auto"/>
        <w:rPr>
          <w:sz w:val="20"/>
          <w:szCs w:val="20"/>
          <w:color w:val="auto"/>
        </w:rPr>
      </w:pPr>
      <w:r>
        <w:rPr>
          <w:rFonts w:ascii="Times New Roman" w:cs="Times New Roman" w:eastAsia="Times New Roman" w:hAnsi="Times New Roman"/>
          <w:sz w:val="18"/>
          <w:szCs w:val="18"/>
          <w:color w:val="auto"/>
        </w:rPr>
        <w:t>and July 2024. Those cases were consolidated in a single action, and the plaintiffs filed against LivaNova USA a consolidated class action complaint, which asserted claims of negligence, breach of contract, and violation of various state consumer protection laws. The plaintiffs sought damages, equitable/injunctive relief, and attorney’s fees, costs, and expenses, among other relief. The parties entered into mediation and agreed to a class action settlement, with respect to which the Company recorded an accrual of $1.2 million for the quarter ended September 30, 2024. The class action settlement received approval from the court on April 4, 2025 and is now final. The Company expects all settlement administration activities to be completed in 2025.</w:t>
      </w:r>
    </w:p>
    <w:p>
      <w:pPr>
        <w:spacing w:after="0" w:line="6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In addition, HHS’s Office for Civil Rights is investigating the incident pursuant to its authority to enforce the HIPAA rules regarding privacy, security, and breach notification. The Office for Civil Rights issued a request for information regarding the Company’s response to the incident and the Company’s compliance with HIPAA rules, to which the Company responded. The Office for Civil Rights may issue additional requests for information and documentation. In connection with its investigation, the Office for Civil Rights may, among other measures, seek to impose civil monetary penalties against LivaNova and seek to require that the Company implement a corrective action plan. Furthermore, the Company has received, and may receive in the future, additional government requests for information about the incident, to which LivaNova will respond. For example, the Italian data protection authority recently requested that LivaNova provide certain information regarding the incident, and the Company responded to the request.</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Other Matters</w:t>
      </w:r>
    </w:p>
    <w:p>
      <w:pPr>
        <w:spacing w:after="0" w:line="11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color w:val="auto"/>
        </w:rPr>
        <w:t>Additionally, LivaNova is the subject of various pending or threatened legal actions and proceedings that arise in the ordinary course of LivaNova’s business. These matters are subject to many uncertainties and outcomes that are not predictable and that may not be known for extended periods of time. Since the outcome of these matters cannot be predicted with certainty, the costs associated with them could have a material adverse effect on LivaNova’s consolidated results of operations, financial position, or liquidity.</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6. Stockholders’ Equity</w:t>
      </w:r>
    </w:p>
    <w:p>
      <w:pPr>
        <w:spacing w:after="0" w:line="114"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18"/>
          <w:szCs w:val="18"/>
          <w:color w:val="auto"/>
        </w:rPr>
        <w:t>The tables below present the condensed consolidated statements of stockholders’ equity as of and for the three and six months ended June 30, 2025 and 2024 (in thousands):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0" w:type="dxa"/>
            <w:vAlign w:val="bottom"/>
          </w:tcPr>
          <w:p>
            <w:pPr>
              <w:spacing w:after="0"/>
              <w:rPr>
                <w:sz w:val="13"/>
                <w:szCs w:val="13"/>
                <w:color w:val="auto"/>
              </w:rPr>
            </w:pPr>
          </w:p>
        </w:tc>
        <w:tc>
          <w:tcPr>
            <w:tcW w:w="10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Ordinary</w:t>
            </w:r>
          </w:p>
        </w:tc>
        <w:tc>
          <w:tcPr>
            <w:tcW w:w="140" w:type="dxa"/>
            <w:vAlign w:val="bottom"/>
          </w:tcPr>
          <w:p>
            <w:pPr>
              <w:spacing w:after="0"/>
              <w:rPr>
                <w:sz w:val="13"/>
                <w:szCs w:val="13"/>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Ordinary</w:t>
            </w:r>
          </w:p>
        </w:tc>
        <w:tc>
          <w:tcPr>
            <w:tcW w:w="122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Additional Paid-</w:t>
            </w:r>
          </w:p>
        </w:tc>
        <w:tc>
          <w:tcPr>
            <w:tcW w:w="140" w:type="dxa"/>
            <w:vAlign w:val="bottom"/>
          </w:tcPr>
          <w:p>
            <w:pPr>
              <w:spacing w:after="0"/>
              <w:rPr>
                <w:sz w:val="13"/>
                <w:szCs w:val="13"/>
                <w:color w:val="auto"/>
              </w:rPr>
            </w:pPr>
          </w:p>
        </w:tc>
        <w:tc>
          <w:tcPr>
            <w:tcW w:w="8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Treasury</w:t>
            </w:r>
          </w:p>
        </w:tc>
        <w:tc>
          <w:tcPr>
            <w:tcW w:w="14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60" w:type="dxa"/>
            <w:vAlign w:val="bottom"/>
          </w:tcPr>
          <w:p>
            <w:pPr>
              <w:spacing w:after="0"/>
              <w:rPr>
                <w:sz w:val="13"/>
                <w:szCs w:val="13"/>
                <w:color w:val="auto"/>
              </w:rPr>
            </w:pPr>
          </w:p>
        </w:tc>
        <w:tc>
          <w:tcPr>
            <w:tcW w:w="11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3"/>
                <w:szCs w:val="13"/>
                <w:color w:val="auto"/>
              </w:rPr>
            </w:pPr>
          </w:p>
        </w:tc>
        <w:tc>
          <w:tcPr>
            <w:tcW w:w="106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0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240"/>
              <w:spacing w:after="0" w:line="148" w:lineRule="exact"/>
              <w:rPr>
                <w:sz w:val="20"/>
                <w:szCs w:val="20"/>
                <w:color w:val="auto"/>
              </w:rPr>
            </w:pPr>
            <w:r>
              <w:rPr>
                <w:rFonts w:ascii="Times New Roman" w:cs="Times New Roman" w:eastAsia="Times New Roman" w:hAnsi="Times New Roman"/>
                <w:sz w:val="14"/>
                <w:szCs w:val="14"/>
                <w:b w:val="1"/>
                <w:bCs w:val="1"/>
                <w:color w:val="auto"/>
              </w:rPr>
              <w:t>Shares -</w:t>
            </w:r>
          </w:p>
        </w:tc>
        <w:tc>
          <w:tcPr>
            <w:tcW w:w="12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center"/>
              <w:ind w:right="220"/>
              <w:spacing w:after="0" w:line="148"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6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center"/>
              <w:ind w:right="55"/>
              <w:spacing w:after="0" w:line="148"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3"/>
        </w:trPr>
        <w:tc>
          <w:tcPr>
            <w:tcW w:w="3000" w:type="dxa"/>
            <w:vAlign w:val="bottom"/>
          </w:tcPr>
          <w:p>
            <w:pPr>
              <w:spacing w:after="0"/>
              <w:rPr>
                <w:sz w:val="16"/>
                <w:szCs w:val="16"/>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6"/>
                <w:szCs w:val="16"/>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6"/>
                <w:szCs w:val="16"/>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Capital</w:t>
            </w:r>
          </w:p>
        </w:tc>
        <w:tc>
          <w:tcPr>
            <w:tcW w:w="140" w:type="dxa"/>
            <w:vAlign w:val="bottom"/>
          </w:tcPr>
          <w:p>
            <w:pPr>
              <w:spacing w:after="0"/>
              <w:rPr>
                <w:sz w:val="16"/>
                <w:szCs w:val="16"/>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6"/>
                <w:szCs w:val="16"/>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6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6"/>
                <w:szCs w:val="16"/>
                <w:color w:val="auto"/>
              </w:rPr>
            </w:pPr>
          </w:p>
        </w:tc>
        <w:tc>
          <w:tcPr>
            <w:tcW w:w="106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28"/>
        </w:trPr>
        <w:tc>
          <w:tcPr>
            <w:tcW w:w="3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31, 2025</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55,441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84,446</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2,224,578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(42,728)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(1,230,572)</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1,034,298</w:t>
            </w:r>
          </w:p>
        </w:tc>
        <w:tc>
          <w:tcPr>
            <w:tcW w:w="0" w:type="dxa"/>
            <w:vAlign w:val="bottom"/>
          </w:tcPr>
          <w:p>
            <w:pPr>
              <w:spacing w:after="0"/>
              <w:rPr>
                <w:sz w:val="1"/>
                <w:szCs w:val="1"/>
                <w:color w:val="auto"/>
              </w:rPr>
            </w:pPr>
          </w:p>
        </w:tc>
      </w:tr>
      <w:tr>
        <w:trPr>
          <w:trHeight w:val="228"/>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plans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10,539</w:t>
            </w:r>
          </w:p>
        </w:tc>
        <w:tc>
          <w:tcPr>
            <w:tcW w:w="0" w:type="dxa"/>
            <w:vAlign w:val="bottom"/>
          </w:tcPr>
          <w:p>
            <w:pPr>
              <w:spacing w:after="0"/>
              <w:rPr>
                <w:sz w:val="1"/>
                <w:szCs w:val="1"/>
                <w:color w:val="auto"/>
              </w:rPr>
            </w:pPr>
          </w:p>
        </w:tc>
      </w:tr>
      <w:tr>
        <w:trPr>
          <w:trHeight w:val="228"/>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27,161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27,161</w:t>
            </w:r>
          </w:p>
        </w:tc>
        <w:tc>
          <w:tcPr>
            <w:tcW w:w="0" w:type="dxa"/>
            <w:vAlign w:val="bottom"/>
          </w:tcPr>
          <w:p>
            <w:pPr>
              <w:spacing w:after="0"/>
              <w:rPr>
                <w:sz w:val="1"/>
                <w:szCs w:val="1"/>
                <w:color w:val="auto"/>
              </w:rPr>
            </w:pPr>
          </w:p>
        </w:tc>
      </w:tr>
      <w:tr>
        <w:trPr>
          <w:trHeight w:val="228"/>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50,841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50,841</w:t>
            </w:r>
          </w:p>
        </w:tc>
        <w:tc>
          <w:tcPr>
            <w:tcW w:w="0" w:type="dxa"/>
            <w:vAlign w:val="bottom"/>
          </w:tcPr>
          <w:p>
            <w:pPr>
              <w:spacing w:after="0"/>
              <w:rPr>
                <w:sz w:val="1"/>
                <w:szCs w:val="1"/>
                <w:color w:val="auto"/>
              </w:rPr>
            </w:pPr>
          </w:p>
        </w:tc>
      </w:tr>
      <w:tr>
        <w:trPr>
          <w:trHeight w:val="247"/>
        </w:trPr>
        <w:tc>
          <w:tcPr>
            <w:tcW w:w="3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30, 2025</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55,499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84,521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2,234,777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(1,203,411)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1,122,839</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0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31, 2024</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54,296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82,975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2,192,676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(45,206)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(1,008,427)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1,221,537</w:t>
            </w:r>
          </w:p>
        </w:tc>
        <w:tc>
          <w:tcPr>
            <w:tcW w:w="0" w:type="dxa"/>
            <w:vAlign w:val="bottom"/>
          </w:tcPr>
          <w:p>
            <w:pPr>
              <w:spacing w:after="0"/>
              <w:rPr>
                <w:sz w:val="1"/>
                <w:szCs w:val="1"/>
                <w:color w:val="auto"/>
              </w:rPr>
            </w:pPr>
          </w:p>
        </w:tc>
      </w:tr>
      <w:tr>
        <w:trPr>
          <w:trHeight w:val="228"/>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plans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12,285</w:t>
            </w:r>
          </w:p>
        </w:tc>
        <w:tc>
          <w:tcPr>
            <w:tcW w:w="0" w:type="dxa"/>
            <w:vAlign w:val="bottom"/>
          </w:tcPr>
          <w:p>
            <w:pPr>
              <w:spacing w:after="0"/>
              <w:rPr>
                <w:sz w:val="1"/>
                <w:szCs w:val="1"/>
                <w:color w:val="auto"/>
              </w:rPr>
            </w:pPr>
          </w:p>
        </w:tc>
      </w:tr>
      <w:tr>
        <w:trPr>
          <w:trHeight w:val="228"/>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16,333</w:t>
            </w:r>
          </w:p>
        </w:tc>
        <w:tc>
          <w:tcPr>
            <w:tcW w:w="0" w:type="dxa"/>
            <w:vAlign w:val="bottom"/>
          </w:tcPr>
          <w:p>
            <w:pPr>
              <w:spacing w:after="0"/>
              <w:rPr>
                <w:sz w:val="1"/>
                <w:szCs w:val="1"/>
                <w:color w:val="auto"/>
              </w:rPr>
            </w:pPr>
          </w:p>
        </w:tc>
      </w:tr>
      <w:tr>
        <w:trPr>
          <w:trHeight w:val="228"/>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(7,613)</w:t>
            </w:r>
          </w:p>
        </w:tc>
        <w:tc>
          <w:tcPr>
            <w:tcW w:w="0" w:type="dxa"/>
            <w:vAlign w:val="bottom"/>
          </w:tcPr>
          <w:p>
            <w:pPr>
              <w:spacing w:after="0"/>
              <w:rPr>
                <w:sz w:val="1"/>
                <w:szCs w:val="1"/>
                <w:color w:val="auto"/>
              </w:rPr>
            </w:pPr>
          </w:p>
        </w:tc>
      </w:tr>
      <w:tr>
        <w:trPr>
          <w:trHeight w:val="247"/>
        </w:trPr>
        <w:tc>
          <w:tcPr>
            <w:tcW w:w="3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30, 2024</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83,070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2,204,580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(992,094)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1,242,542</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1"/>
        </w:trPr>
        <w:tc>
          <w:tcPr>
            <w:tcW w:w="30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3000" w:type="dxa"/>
            <w:vAlign w:val="bottom"/>
            <w:tcBorders>
              <w:bottom w:val="single" w:sz="8" w:color="9A9A9A"/>
            </w:tcBorders>
          </w:tcPr>
          <w:p>
            <w:pPr>
              <w:spacing w:after="0"/>
              <w:rPr>
                <w:sz w:val="20"/>
                <w:szCs w:val="20"/>
                <w:color w:val="auto"/>
              </w:rPr>
            </w:pPr>
          </w:p>
        </w:tc>
        <w:tc>
          <w:tcPr>
            <w:tcW w:w="940" w:type="dxa"/>
            <w:vAlign w:val="bottom"/>
            <w:tcBorders>
              <w:bottom w:val="single" w:sz="8" w:color="9A9A9A"/>
            </w:tcBorders>
          </w:tcPr>
          <w:p>
            <w:pPr>
              <w:spacing w:after="0"/>
              <w:rPr>
                <w:sz w:val="20"/>
                <w:szCs w:val="20"/>
                <w:color w:val="auto"/>
              </w:rPr>
            </w:pPr>
          </w:p>
        </w:tc>
        <w:tc>
          <w:tcPr>
            <w:tcW w:w="100" w:type="dxa"/>
            <w:vAlign w:val="bottom"/>
            <w:tcBorders>
              <w:bottom w:val="single" w:sz="8" w:color="9A9A9A"/>
            </w:tcBorders>
          </w:tcPr>
          <w:p>
            <w:pPr>
              <w:spacing w:after="0"/>
              <w:rPr>
                <w:sz w:val="20"/>
                <w:szCs w:val="20"/>
                <w:color w:val="auto"/>
              </w:rPr>
            </w:pPr>
          </w:p>
        </w:tc>
        <w:tc>
          <w:tcPr>
            <w:tcW w:w="140" w:type="dxa"/>
            <w:vAlign w:val="bottom"/>
            <w:tcBorders>
              <w:bottom w:val="single" w:sz="8" w:color="9A9A9A"/>
            </w:tcBorders>
          </w:tcPr>
          <w:p>
            <w:pPr>
              <w:spacing w:after="0"/>
              <w:rPr>
                <w:sz w:val="20"/>
                <w:szCs w:val="20"/>
                <w:color w:val="auto"/>
              </w:rPr>
            </w:pPr>
          </w:p>
        </w:tc>
        <w:tc>
          <w:tcPr>
            <w:tcW w:w="820" w:type="dxa"/>
            <w:vAlign w:val="bottom"/>
            <w:tcBorders>
              <w:bottom w:val="single" w:sz="8" w:color="9A9A9A"/>
            </w:tcBorders>
          </w:tcPr>
          <w:p>
            <w:pPr>
              <w:spacing w:after="0"/>
              <w:rPr>
                <w:sz w:val="20"/>
                <w:szCs w:val="20"/>
                <w:color w:val="auto"/>
              </w:rPr>
            </w:pPr>
          </w:p>
        </w:tc>
        <w:tc>
          <w:tcPr>
            <w:tcW w:w="80" w:type="dxa"/>
            <w:vAlign w:val="bottom"/>
            <w:tcBorders>
              <w:bottom w:val="single" w:sz="8" w:color="9A9A9A"/>
            </w:tcBorders>
          </w:tcPr>
          <w:p>
            <w:pPr>
              <w:spacing w:after="0"/>
              <w:rPr>
                <w:sz w:val="20"/>
                <w:szCs w:val="20"/>
                <w:color w:val="auto"/>
              </w:rPr>
            </w:pPr>
          </w:p>
        </w:tc>
        <w:tc>
          <w:tcPr>
            <w:tcW w:w="180" w:type="dxa"/>
            <w:vAlign w:val="bottom"/>
            <w:tcBorders>
              <w:bottom w:val="single" w:sz="8" w:color="9A9A9A"/>
            </w:tcBorders>
          </w:tcPr>
          <w:p>
            <w:pPr>
              <w:spacing w:after="0"/>
              <w:rPr>
                <w:sz w:val="20"/>
                <w:szCs w:val="20"/>
                <w:color w:val="auto"/>
              </w:rPr>
            </w:pPr>
          </w:p>
        </w:tc>
        <w:tc>
          <w:tcPr>
            <w:tcW w:w="940" w:type="dxa"/>
            <w:vAlign w:val="bottom"/>
            <w:tcBorders>
              <w:bottom w:val="single" w:sz="8" w:color="9A9A9A"/>
            </w:tcBorders>
          </w:tcPr>
          <w:p>
            <w:pPr>
              <w:spacing w:after="0"/>
              <w:rPr>
                <w:sz w:val="20"/>
                <w:szCs w:val="20"/>
                <w:color w:val="auto"/>
              </w:rPr>
            </w:pPr>
          </w:p>
        </w:tc>
        <w:tc>
          <w:tcPr>
            <w:tcW w:w="100" w:type="dxa"/>
            <w:vAlign w:val="bottom"/>
            <w:tcBorders>
              <w:bottom w:val="single" w:sz="8" w:color="9A9A9A"/>
            </w:tcBorders>
          </w:tcPr>
          <w:p>
            <w:pPr>
              <w:spacing w:after="0"/>
              <w:rPr>
                <w:sz w:val="20"/>
                <w:szCs w:val="20"/>
                <w:color w:val="auto"/>
              </w:rPr>
            </w:pPr>
          </w:p>
        </w:tc>
        <w:tc>
          <w:tcPr>
            <w:tcW w:w="140" w:type="dxa"/>
            <w:vAlign w:val="bottom"/>
            <w:tcBorders>
              <w:bottom w:val="single" w:sz="8" w:color="9A9A9A"/>
            </w:tcBorders>
          </w:tcPr>
          <w:p>
            <w:pPr>
              <w:spacing w:after="0"/>
              <w:rPr>
                <w:sz w:val="20"/>
                <w:szCs w:val="20"/>
                <w:color w:val="auto"/>
              </w:rPr>
            </w:pPr>
          </w:p>
        </w:tc>
        <w:tc>
          <w:tcPr>
            <w:tcW w:w="760" w:type="dxa"/>
            <w:vAlign w:val="bottom"/>
            <w:tcBorders>
              <w:bottom w:val="single" w:sz="8" w:color="9A9A9A"/>
            </w:tcBorders>
          </w:tcPr>
          <w:p>
            <w:pPr>
              <w:spacing w:after="0"/>
              <w:rPr>
                <w:sz w:val="20"/>
                <w:szCs w:val="20"/>
                <w:color w:val="auto"/>
              </w:rPr>
            </w:pPr>
          </w:p>
        </w:tc>
        <w:tc>
          <w:tcPr>
            <w:tcW w:w="100" w:type="dxa"/>
            <w:vAlign w:val="bottom"/>
            <w:tcBorders>
              <w:bottom w:val="single" w:sz="8" w:color="9A9A9A"/>
            </w:tcBorders>
          </w:tcPr>
          <w:p>
            <w:pPr>
              <w:spacing w:after="0"/>
              <w:rPr>
                <w:sz w:val="20"/>
                <w:szCs w:val="20"/>
                <w:color w:val="auto"/>
              </w:rPr>
            </w:pPr>
          </w:p>
        </w:tc>
        <w:tc>
          <w:tcPr>
            <w:tcW w:w="140" w:type="dxa"/>
            <w:vAlign w:val="bottom"/>
            <w:tcBorders>
              <w:bottom w:val="single" w:sz="8" w:color="9A9A9A"/>
            </w:tcBorders>
          </w:tcPr>
          <w:p>
            <w:pPr>
              <w:spacing w:after="0"/>
              <w:rPr>
                <w:sz w:val="20"/>
                <w:szCs w:val="20"/>
                <w:color w:val="auto"/>
              </w:rPr>
            </w:pPr>
          </w:p>
        </w:tc>
        <w:tc>
          <w:tcPr>
            <w:tcW w:w="1160" w:type="dxa"/>
            <w:vAlign w:val="bottom"/>
            <w:tcBorders>
              <w:bottom w:val="single" w:sz="8" w:color="9A9A9A"/>
            </w:tcBorders>
          </w:tcPr>
          <w:p>
            <w:pPr>
              <w:spacing w:after="0"/>
              <w:rPr>
                <w:sz w:val="20"/>
                <w:szCs w:val="20"/>
                <w:color w:val="auto"/>
              </w:rPr>
            </w:pPr>
          </w:p>
        </w:tc>
        <w:tc>
          <w:tcPr>
            <w:tcW w:w="100" w:type="dxa"/>
            <w:vAlign w:val="bottom"/>
            <w:tcBorders>
              <w:bottom w:val="single" w:sz="8" w:color="9A9A9A"/>
            </w:tcBorders>
          </w:tcPr>
          <w:p>
            <w:pPr>
              <w:spacing w:after="0"/>
              <w:rPr>
                <w:sz w:val="20"/>
                <w:szCs w:val="20"/>
                <w:color w:val="auto"/>
              </w:rPr>
            </w:pPr>
          </w:p>
        </w:tc>
        <w:tc>
          <w:tcPr>
            <w:tcW w:w="160" w:type="dxa"/>
            <w:vAlign w:val="bottom"/>
            <w:tcBorders>
              <w:bottom w:val="single" w:sz="8" w:color="9A9A9A"/>
            </w:tcBorders>
          </w:tcPr>
          <w:p>
            <w:pPr>
              <w:spacing w:after="0"/>
              <w:rPr>
                <w:sz w:val="20"/>
                <w:szCs w:val="20"/>
                <w:color w:val="auto"/>
              </w:rPr>
            </w:pPr>
          </w:p>
        </w:tc>
        <w:tc>
          <w:tcPr>
            <w:tcW w:w="1100" w:type="dxa"/>
            <w:vAlign w:val="bottom"/>
            <w:tcBorders>
              <w:bottom w:val="single" w:sz="8" w:color="9A9A9A"/>
            </w:tcBorders>
          </w:tcPr>
          <w:p>
            <w:pPr>
              <w:spacing w:after="0"/>
              <w:rPr>
                <w:sz w:val="20"/>
                <w:szCs w:val="20"/>
                <w:color w:val="auto"/>
              </w:rPr>
            </w:pPr>
          </w:p>
        </w:tc>
        <w:tc>
          <w:tcPr>
            <w:tcW w:w="80" w:type="dxa"/>
            <w:vAlign w:val="bottom"/>
            <w:tcBorders>
              <w:bottom w:val="single" w:sz="8" w:color="9A9A9A"/>
            </w:tcBorders>
          </w:tcPr>
          <w:p>
            <w:pPr>
              <w:spacing w:after="0"/>
              <w:rPr>
                <w:sz w:val="20"/>
                <w:szCs w:val="20"/>
                <w:color w:val="auto"/>
              </w:rPr>
            </w:pPr>
          </w:p>
        </w:tc>
        <w:tc>
          <w:tcPr>
            <w:tcW w:w="140" w:type="dxa"/>
            <w:vAlign w:val="bottom"/>
            <w:tcBorders>
              <w:bottom w:val="single" w:sz="8" w:color="9A9A9A"/>
            </w:tcBorders>
          </w:tcPr>
          <w:p>
            <w:pPr>
              <w:spacing w:after="0"/>
              <w:rPr>
                <w:sz w:val="20"/>
                <w:szCs w:val="20"/>
                <w:color w:val="auto"/>
              </w:rPr>
            </w:pPr>
          </w:p>
        </w:tc>
        <w:tc>
          <w:tcPr>
            <w:tcW w:w="1060" w:type="dxa"/>
            <w:vAlign w:val="bottom"/>
            <w:tcBorders>
              <w:bottom w:val="single" w:sz="8" w:color="9A9A9A"/>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61"/>
        </w:trPr>
        <w:tc>
          <w:tcPr>
            <w:tcW w:w="3000" w:type="dxa"/>
            <w:vAlign w:val="bottom"/>
          </w:tcPr>
          <w:p>
            <w:pPr>
              <w:spacing w:after="0"/>
              <w:rPr>
                <w:sz w:val="13"/>
                <w:szCs w:val="13"/>
                <w:color w:val="auto"/>
              </w:rPr>
            </w:pPr>
          </w:p>
        </w:tc>
        <w:tc>
          <w:tcPr>
            <w:tcW w:w="10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Ordinary</w:t>
            </w:r>
          </w:p>
        </w:tc>
        <w:tc>
          <w:tcPr>
            <w:tcW w:w="140" w:type="dxa"/>
            <w:vAlign w:val="bottom"/>
          </w:tcPr>
          <w:p>
            <w:pPr>
              <w:spacing w:after="0"/>
              <w:rPr>
                <w:sz w:val="13"/>
                <w:szCs w:val="13"/>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Ordinary</w:t>
            </w:r>
          </w:p>
        </w:tc>
        <w:tc>
          <w:tcPr>
            <w:tcW w:w="12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Additional Paid-</w:t>
            </w:r>
          </w:p>
        </w:tc>
        <w:tc>
          <w:tcPr>
            <w:tcW w:w="140" w:type="dxa"/>
            <w:vAlign w:val="bottom"/>
          </w:tcPr>
          <w:p>
            <w:pPr>
              <w:spacing w:after="0"/>
              <w:rPr>
                <w:sz w:val="13"/>
                <w:szCs w:val="13"/>
                <w:color w:val="auto"/>
              </w:rPr>
            </w:pPr>
          </w:p>
        </w:tc>
        <w:tc>
          <w:tcPr>
            <w:tcW w:w="8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4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60" w:type="dxa"/>
            <w:vAlign w:val="bottom"/>
          </w:tcPr>
          <w:p>
            <w:pPr>
              <w:spacing w:after="0"/>
              <w:rPr>
                <w:sz w:val="13"/>
                <w:szCs w:val="13"/>
                <w:color w:val="auto"/>
              </w:rPr>
            </w:pPr>
          </w:p>
        </w:tc>
        <w:tc>
          <w:tcPr>
            <w:tcW w:w="11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3"/>
                <w:szCs w:val="13"/>
                <w:color w:val="auto"/>
              </w:rPr>
            </w:pPr>
          </w:p>
        </w:tc>
        <w:tc>
          <w:tcPr>
            <w:tcW w:w="1060" w:type="dxa"/>
            <w:vAlign w:val="bottom"/>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30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Shares -</w:t>
            </w:r>
          </w:p>
        </w:tc>
        <w:tc>
          <w:tcPr>
            <w:tcW w:w="12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6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center"/>
              <w:ind w:right="54"/>
              <w:spacing w:after="0" w:line="146"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6"/>
        </w:trPr>
        <w:tc>
          <w:tcPr>
            <w:tcW w:w="3000" w:type="dxa"/>
            <w:vAlign w:val="bottom"/>
          </w:tcPr>
          <w:p>
            <w:pPr>
              <w:spacing w:after="0"/>
              <w:rPr>
                <w:sz w:val="17"/>
                <w:szCs w:val="17"/>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40" w:type="dxa"/>
            <w:vAlign w:val="bottom"/>
          </w:tcPr>
          <w:p>
            <w:pPr>
              <w:spacing w:after="0"/>
              <w:rPr>
                <w:sz w:val="17"/>
                <w:szCs w:val="17"/>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7"/>
                <w:szCs w:val="17"/>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 Capital</w:t>
            </w:r>
          </w:p>
        </w:tc>
        <w:tc>
          <w:tcPr>
            <w:tcW w:w="140" w:type="dxa"/>
            <w:vAlign w:val="bottom"/>
          </w:tcPr>
          <w:p>
            <w:pPr>
              <w:spacing w:after="0"/>
              <w:rPr>
                <w:sz w:val="17"/>
                <w:szCs w:val="17"/>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60" w:type="dxa"/>
            <w:vAlign w:val="bottom"/>
          </w:tcPr>
          <w:p>
            <w:pPr>
              <w:spacing w:after="0"/>
              <w:rPr>
                <w:sz w:val="17"/>
                <w:szCs w:val="17"/>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60" w:type="dxa"/>
            <w:vAlign w:val="bottom"/>
          </w:tcPr>
          <w:p>
            <w:pPr>
              <w:spacing w:after="0"/>
              <w:rPr>
                <w:sz w:val="17"/>
                <w:szCs w:val="17"/>
                <w:color w:val="auto"/>
              </w:rPr>
            </w:pPr>
          </w:p>
        </w:tc>
        <w:tc>
          <w:tcPr>
            <w:tcW w:w="118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7"/>
                <w:szCs w:val="17"/>
                <w:color w:val="auto"/>
              </w:rPr>
            </w:pPr>
          </w:p>
        </w:tc>
        <w:tc>
          <w:tcPr>
            <w:tcW w:w="1060" w:type="dxa"/>
            <w:vAlign w:val="bottom"/>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28"/>
        </w:trPr>
        <w:tc>
          <w:tcPr>
            <w:tcW w:w="3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2024</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54,438</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83,156</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2,220,658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(80,170)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(903,250)</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1,320,258</w:t>
            </w:r>
          </w:p>
        </w:tc>
        <w:tc>
          <w:tcPr>
            <w:tcW w:w="0" w:type="dxa"/>
            <w:vAlign w:val="bottom"/>
          </w:tcPr>
          <w:p>
            <w:pPr>
              <w:spacing w:after="0"/>
              <w:rPr>
                <w:sz w:val="1"/>
                <w:szCs w:val="1"/>
                <w:color w:val="auto"/>
              </w:rPr>
            </w:pPr>
          </w:p>
        </w:tc>
      </w:tr>
      <w:tr>
        <w:trPr>
          <w:trHeight w:val="228"/>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shares - EBT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plans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14,459</w:t>
            </w:r>
          </w:p>
        </w:tc>
        <w:tc>
          <w:tcPr>
            <w:tcW w:w="0" w:type="dxa"/>
            <w:vAlign w:val="bottom"/>
          </w:tcPr>
          <w:p>
            <w:pPr>
              <w:spacing w:after="0"/>
              <w:rPr>
                <w:sz w:val="1"/>
                <w:szCs w:val="1"/>
                <w:color w:val="auto"/>
              </w:rPr>
            </w:pPr>
          </w:p>
        </w:tc>
      </w:tr>
      <w:tr>
        <w:trPr>
          <w:trHeight w:val="228"/>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(300,161)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(300,161)</w:t>
            </w:r>
          </w:p>
        </w:tc>
        <w:tc>
          <w:tcPr>
            <w:tcW w:w="0" w:type="dxa"/>
            <w:vAlign w:val="bottom"/>
          </w:tcPr>
          <w:p>
            <w:pPr>
              <w:spacing w:after="0"/>
              <w:rPr>
                <w:sz w:val="1"/>
                <w:szCs w:val="1"/>
                <w:color w:val="auto"/>
              </w:rPr>
            </w:pPr>
          </w:p>
        </w:tc>
      </w:tr>
      <w:tr>
        <w:trPr>
          <w:trHeight w:val="228"/>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88,283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88,283</w:t>
            </w:r>
          </w:p>
        </w:tc>
        <w:tc>
          <w:tcPr>
            <w:tcW w:w="0" w:type="dxa"/>
            <w:vAlign w:val="bottom"/>
          </w:tcPr>
          <w:p>
            <w:pPr>
              <w:spacing w:after="0"/>
              <w:rPr>
                <w:sz w:val="1"/>
                <w:szCs w:val="1"/>
                <w:color w:val="auto"/>
              </w:rPr>
            </w:pPr>
          </w:p>
        </w:tc>
      </w:tr>
      <w:tr>
        <w:trPr>
          <w:trHeight w:val="222"/>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June 30, 2025</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55,499</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84,521</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2,234,777</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(1,161)</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8,113</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(1,203,411)</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1,122,839</w:t>
            </w:r>
          </w:p>
        </w:tc>
        <w:tc>
          <w:tcPr>
            <w:tcW w:w="0" w:type="dxa"/>
            <w:vAlign w:val="bottom"/>
          </w:tcPr>
          <w:p>
            <w:pPr>
              <w:spacing w:after="0"/>
              <w:rPr>
                <w:sz w:val="1"/>
                <w:szCs w:val="1"/>
                <w:color w:val="auto"/>
              </w:rPr>
            </w:pPr>
          </w:p>
        </w:tc>
      </w:tr>
      <w:tr>
        <w:trPr>
          <w:trHeight w:val="20"/>
        </w:trPr>
        <w:tc>
          <w:tcPr>
            <w:tcW w:w="30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0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31, 2023</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53,942</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82,533</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2,189,517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(27,883)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(966,484)</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1,277,628</w:t>
            </w:r>
          </w:p>
        </w:tc>
        <w:tc>
          <w:tcPr>
            <w:tcW w:w="0" w:type="dxa"/>
            <w:vAlign w:val="bottom"/>
          </w:tcPr>
          <w:p>
            <w:pPr>
              <w:spacing w:after="0"/>
              <w:rPr>
                <w:sz w:val="1"/>
                <w:szCs w:val="1"/>
                <w:color w:val="auto"/>
              </w:rPr>
            </w:pPr>
          </w:p>
        </w:tc>
      </w:tr>
      <w:tr>
        <w:trPr>
          <w:trHeight w:val="228"/>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shares - EBT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plans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15,063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15,460</w:t>
            </w:r>
          </w:p>
        </w:tc>
        <w:tc>
          <w:tcPr>
            <w:tcW w:w="0" w:type="dxa"/>
            <w:vAlign w:val="bottom"/>
          </w:tcPr>
          <w:p>
            <w:pPr>
              <w:spacing w:after="0"/>
              <w:rPr>
                <w:sz w:val="1"/>
                <w:szCs w:val="1"/>
                <w:color w:val="auto"/>
              </w:rPr>
            </w:pPr>
          </w:p>
        </w:tc>
      </w:tr>
      <w:tr>
        <w:trPr>
          <w:trHeight w:val="228"/>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(25,610)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(25,610)</w:t>
            </w:r>
          </w:p>
        </w:tc>
        <w:tc>
          <w:tcPr>
            <w:tcW w:w="0" w:type="dxa"/>
            <w:vAlign w:val="bottom"/>
          </w:tcPr>
          <w:p>
            <w:pPr>
              <w:spacing w:after="0"/>
              <w:rPr>
                <w:sz w:val="1"/>
                <w:szCs w:val="1"/>
                <w:color w:val="auto"/>
              </w:rPr>
            </w:pPr>
          </w:p>
        </w:tc>
      </w:tr>
      <w:tr>
        <w:trPr>
          <w:trHeight w:val="228"/>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(24,936)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(24,936)</w:t>
            </w:r>
          </w:p>
        </w:tc>
        <w:tc>
          <w:tcPr>
            <w:tcW w:w="0" w:type="dxa"/>
            <w:vAlign w:val="bottom"/>
          </w:tcPr>
          <w:p>
            <w:pPr>
              <w:spacing w:after="0"/>
              <w:rPr>
                <w:sz w:val="1"/>
                <w:szCs w:val="1"/>
                <w:color w:val="auto"/>
              </w:rPr>
            </w:pPr>
          </w:p>
        </w:tc>
      </w:tr>
      <w:tr>
        <w:trPr>
          <w:trHeight w:val="247"/>
        </w:trPr>
        <w:tc>
          <w:tcPr>
            <w:tcW w:w="3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30, 2024</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54,404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83,070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2,204,580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(992,094)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1,242,542</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7"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18"/>
          <w:szCs w:val="18"/>
          <w:color w:val="auto"/>
        </w:rPr>
        <w:t>The tables below present the change in AOCI, net of tax, and the reclassifications out of AOCI into net income for the six months ended June 30, 2025 and 2024 (in thousands):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Foreign Currency</w:t>
            </w:r>
          </w:p>
        </w:tc>
      </w:tr>
      <w:tr>
        <w:trPr>
          <w:trHeight w:val="175"/>
        </w:trPr>
        <w:tc>
          <w:tcPr>
            <w:tcW w:w="9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0" w:type="dxa"/>
            <w:vAlign w:val="bottom"/>
          </w:tcPr>
          <w:p>
            <w:pPr>
              <w:jc w:val="center"/>
              <w:ind w:right="70"/>
              <w:spacing w:after="0" w:line="175" w:lineRule="exact"/>
              <w:rPr>
                <w:sz w:val="20"/>
                <w:szCs w:val="20"/>
                <w:color w:val="auto"/>
              </w:rPr>
            </w:pPr>
            <w:r>
              <w:rPr>
                <w:rFonts w:ascii="Times New Roman" w:cs="Times New Roman" w:eastAsia="Times New Roman" w:hAnsi="Times New Roman"/>
                <w:sz w:val="18"/>
                <w:szCs w:val="18"/>
                <w:b w:val="1"/>
                <w:bCs w:val="1"/>
                <w:color w:val="auto"/>
                <w:w w:val="97"/>
              </w:rPr>
              <w:t>Translation</w:t>
            </w:r>
          </w:p>
        </w:tc>
      </w:tr>
      <w:tr>
        <w:trPr>
          <w:trHeight w:val="242"/>
        </w:trPr>
        <w:tc>
          <w:tcPr>
            <w:tcW w:w="95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center"/>
              <w:ind w:right="70"/>
              <w:spacing w:after="0" w:line="242" w:lineRule="exact"/>
              <w:rPr>
                <w:sz w:val="20"/>
                <w:szCs w:val="20"/>
                <w:color w:val="auto"/>
              </w:rPr>
            </w:pPr>
            <w:r>
              <w:rPr>
                <w:rFonts w:ascii="Times New Roman" w:cs="Times New Roman" w:eastAsia="Times New Roman" w:hAnsi="Times New Roman"/>
                <w:sz w:val="18"/>
                <w:szCs w:val="18"/>
                <w:b w:val="1"/>
                <w:bCs w:val="1"/>
                <w:color w:val="auto"/>
                <w:w w:val="96"/>
              </w:rPr>
              <w:t xml:space="preserve">Adjustments </w:t>
            </w:r>
            <w:r>
              <w:rPr>
                <w:rFonts w:ascii="Times New Roman" w:cs="Times New Roman" w:eastAsia="Times New Roman" w:hAnsi="Times New Roman"/>
                <w:sz w:val="23"/>
                <w:szCs w:val="23"/>
                <w:b w:val="1"/>
                <w:bCs w:val="1"/>
                <w:color w:val="auto"/>
                <w:w w:val="96"/>
                <w:vertAlign w:val="superscript"/>
              </w:rPr>
              <w:t>(1)</w:t>
            </w:r>
          </w:p>
        </w:tc>
      </w:tr>
      <w:tr>
        <w:trPr>
          <w:trHeight w:val="222"/>
        </w:trPr>
        <w:tc>
          <w:tcPr>
            <w:tcW w:w="9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(80,170)</w:t>
            </w:r>
          </w:p>
        </w:tc>
      </w:tr>
      <w:tr>
        <w:trPr>
          <w:trHeight w:val="228"/>
        </w:trPr>
        <w:tc>
          <w:tcPr>
            <w:tcW w:w="9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before reclassifications, before tax</w:t>
            </w: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88,283</w:t>
            </w:r>
          </w:p>
        </w:tc>
      </w:tr>
      <w:tr>
        <w:trPr>
          <w:trHeight w:val="228"/>
        </w:trPr>
        <w:tc>
          <w:tcPr>
            <w:tcW w:w="9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expense</w:t>
            </w:r>
          </w:p>
        </w:tc>
        <w:tc>
          <w:tcPr>
            <w:tcW w:w="14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2"/>
        </w:trPr>
        <w:tc>
          <w:tcPr>
            <w:tcW w:w="9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income net of reclassifications, before tax</w:t>
            </w:r>
          </w:p>
        </w:tc>
        <w:tc>
          <w:tcPr>
            <w:tcW w:w="1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88,283</w:t>
            </w:r>
          </w:p>
        </w:tc>
      </w:tr>
      <w:tr>
        <w:trPr>
          <w:trHeight w:val="222"/>
        </w:trPr>
        <w:tc>
          <w:tcPr>
            <w:tcW w:w="9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current-period other comprehensive income, net of tax</w:t>
            </w:r>
          </w:p>
        </w:tc>
        <w:tc>
          <w:tcPr>
            <w:tcW w:w="14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88,283</w:t>
            </w:r>
          </w:p>
        </w:tc>
      </w:tr>
      <w:tr>
        <w:trPr>
          <w:trHeight w:val="222"/>
        </w:trPr>
        <w:tc>
          <w:tcPr>
            <w:tcW w:w="9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June 30, 2025</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8,113</w:t>
            </w:r>
          </w:p>
        </w:tc>
      </w:tr>
      <w:tr>
        <w:trPr>
          <w:trHeight w:val="20"/>
        </w:trPr>
        <w:tc>
          <w:tcPr>
            <w:tcW w:w="9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174" w:lineRule="exact"/>
        <w:rPr>
          <w:sz w:val="20"/>
          <w:szCs w:val="20"/>
          <w:color w:val="auto"/>
        </w:rPr>
      </w:pPr>
    </w:p>
    <w:p>
      <w:pPr>
        <w:ind w:left="660" w:hanging="330"/>
        <w:spacing w:after="0" w:line="231" w:lineRule="auto"/>
        <w:tabs>
          <w:tab w:leader="none" w:pos="648" w:val="left"/>
        </w:tabs>
        <w:numPr>
          <w:ilvl w:val="0"/>
          <w:numId w:val="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Taxes were not provided for foreign currency translation adjustments as translation adjustments are related to earnings that are intended to be reinvested in the countries where earned.</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Foreign Currency</w:t>
            </w:r>
          </w:p>
        </w:tc>
      </w:tr>
      <w:tr>
        <w:trPr>
          <w:trHeight w:val="184"/>
        </w:trPr>
        <w:tc>
          <w:tcPr>
            <w:tcW w:w="9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0" w:type="dxa"/>
            <w:vAlign w:val="bottom"/>
          </w:tcPr>
          <w:p>
            <w:pPr>
              <w:jc w:val="center"/>
              <w:ind w:right="70"/>
              <w:spacing w:after="0" w:line="183" w:lineRule="exact"/>
              <w:rPr>
                <w:sz w:val="20"/>
                <w:szCs w:val="20"/>
                <w:color w:val="auto"/>
              </w:rPr>
            </w:pPr>
            <w:r>
              <w:rPr>
                <w:rFonts w:ascii="Times New Roman" w:cs="Times New Roman" w:eastAsia="Times New Roman" w:hAnsi="Times New Roman"/>
                <w:sz w:val="18"/>
                <w:szCs w:val="18"/>
                <w:b w:val="1"/>
                <w:bCs w:val="1"/>
                <w:color w:val="auto"/>
                <w:w w:val="97"/>
              </w:rPr>
              <w:t>Translation</w:t>
            </w:r>
          </w:p>
        </w:tc>
      </w:tr>
      <w:tr>
        <w:trPr>
          <w:trHeight w:val="228"/>
        </w:trPr>
        <w:tc>
          <w:tcPr>
            <w:tcW w:w="95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center"/>
              <w:ind w:right="70"/>
              <w:spacing w:after="0" w:line="229" w:lineRule="exact"/>
              <w:rPr>
                <w:sz w:val="20"/>
                <w:szCs w:val="20"/>
                <w:color w:val="auto"/>
              </w:rPr>
            </w:pPr>
            <w:r>
              <w:rPr>
                <w:rFonts w:ascii="Times New Roman" w:cs="Times New Roman" w:eastAsia="Times New Roman" w:hAnsi="Times New Roman"/>
                <w:sz w:val="18"/>
                <w:szCs w:val="18"/>
                <w:b w:val="1"/>
                <w:bCs w:val="1"/>
                <w:color w:val="auto"/>
                <w:w w:val="96"/>
              </w:rPr>
              <w:t xml:space="preserve">Adjustments </w:t>
            </w:r>
            <w:r>
              <w:rPr>
                <w:rFonts w:ascii="Times New Roman" w:cs="Times New Roman" w:eastAsia="Times New Roman" w:hAnsi="Times New Roman"/>
                <w:sz w:val="23"/>
                <w:szCs w:val="23"/>
                <w:b w:val="1"/>
                <w:bCs w:val="1"/>
                <w:color w:val="auto"/>
                <w:w w:val="96"/>
                <w:vertAlign w:val="superscript"/>
              </w:rPr>
              <w:t>(1)</w:t>
            </w:r>
          </w:p>
        </w:tc>
      </w:tr>
      <w:tr>
        <w:trPr>
          <w:trHeight w:val="222"/>
        </w:trPr>
        <w:tc>
          <w:tcPr>
            <w:tcW w:w="9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(27,883)</w:t>
            </w:r>
          </w:p>
        </w:tc>
      </w:tr>
      <w:tr>
        <w:trPr>
          <w:trHeight w:val="228"/>
        </w:trPr>
        <w:tc>
          <w:tcPr>
            <w:tcW w:w="9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before reclassifications, before tax</w:t>
            </w: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(24,936)</w:t>
            </w:r>
          </w:p>
        </w:tc>
      </w:tr>
      <w:tr>
        <w:trPr>
          <w:trHeight w:val="228"/>
        </w:trPr>
        <w:tc>
          <w:tcPr>
            <w:tcW w:w="9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expense</w:t>
            </w:r>
          </w:p>
        </w:tc>
        <w:tc>
          <w:tcPr>
            <w:tcW w:w="14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2"/>
        </w:trPr>
        <w:tc>
          <w:tcPr>
            <w:tcW w:w="9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loss before reclassifications, net of tax</w:t>
            </w:r>
          </w:p>
        </w:tc>
        <w:tc>
          <w:tcPr>
            <w:tcW w:w="1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(24,936)</w:t>
            </w:r>
          </w:p>
        </w:tc>
      </w:tr>
      <w:tr>
        <w:trPr>
          <w:trHeight w:val="222"/>
        </w:trPr>
        <w:tc>
          <w:tcPr>
            <w:tcW w:w="9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current-period other comprehensive loss, net of tax</w:t>
            </w:r>
          </w:p>
        </w:tc>
        <w:tc>
          <w:tcPr>
            <w:tcW w:w="14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(24,936)</w:t>
            </w:r>
          </w:p>
        </w:tc>
      </w:tr>
      <w:tr>
        <w:trPr>
          <w:trHeight w:val="222"/>
        </w:trPr>
        <w:tc>
          <w:tcPr>
            <w:tcW w:w="9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June 30, 2024</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(52,819)</w:t>
            </w:r>
          </w:p>
        </w:tc>
      </w:tr>
      <w:tr>
        <w:trPr>
          <w:trHeight w:val="20"/>
        </w:trPr>
        <w:tc>
          <w:tcPr>
            <w:tcW w:w="9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660" w:hanging="330"/>
        <w:spacing w:after="0" w:line="231" w:lineRule="auto"/>
        <w:tabs>
          <w:tab w:leader="none" w:pos="648" w:val="left"/>
        </w:tabs>
        <w:numPr>
          <w:ilvl w:val="0"/>
          <w:numId w:val="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Taxes were not provided for foreign currency translation adjustments as translation adjustments are related to earnings that are intended to be reinvested in the countries where earned.</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7. Stock-Based Incentive Plans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Stock-Based Plans</w:t>
      </w:r>
    </w:p>
    <w:p>
      <w:pPr>
        <w:spacing w:after="0" w:line="12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8"/>
          <w:szCs w:val="18"/>
          <w:color w:val="auto"/>
        </w:rPr>
        <w:t>On June 11, 2025, the Company’s shareholders approved the 2025 Director Incentive Plan and the Second A&amp;R 2022 Plan. The 2025 Director Incentive Plan provides equity-based compensation to non-executive directors by making available a total of 300,000 shares for awards granted on or after the date on which the 2025 Director Incentive Plan was approved by the</w:t>
      </w:r>
    </w:p>
    <w:p>
      <w:pPr>
        <w:spacing w:after="0" w:line="200" w:lineRule="exact"/>
        <w:rPr>
          <w:sz w:val="20"/>
          <w:szCs w:val="20"/>
          <w:color w:val="auto"/>
        </w:rPr>
      </w:pPr>
    </w:p>
    <w:p>
      <w:pPr>
        <w:spacing w:after="0" w:line="30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149225</wp:posOffset>
            </wp:positionV>
            <wp:extent cx="71583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 w:name="page23"/>
    <w:bookmarkEnd w:id="22"/>
    <w:p>
      <w:pPr>
        <w:jc w:val="both"/>
        <w:spacing w:after="0" w:line="264" w:lineRule="auto"/>
        <w:rPr>
          <w:sz w:val="20"/>
          <w:szCs w:val="20"/>
          <w:color w:val="auto"/>
        </w:rPr>
      </w:pPr>
      <w:r>
        <w:rPr>
          <w:rFonts w:ascii="Times New Roman" w:cs="Times New Roman" w:eastAsia="Times New Roman" w:hAnsi="Times New Roman"/>
          <w:sz w:val="18"/>
          <w:szCs w:val="18"/>
          <w:color w:val="auto"/>
        </w:rPr>
        <w:t>Company’s shareholders. The 2025 Director Incentive Plan is intended to be the successor to the 2015 Plan. No further awards may be made under the 2015 Plan, although any outstanding awards under the 2015 Plan will continue to remain in full force and effect. The Second A&amp;R 2022 Plan provides for an aggregate of 2,200,000 shares that can be issued pursuant to awards granted on or after the date on which the Second A&amp;R 2022 Plan was approved by the Company’s shareholders. The other terms of the Second A&amp;R 2022 Plan, including its expiration date, remain unchanged from the A&amp;R 2022 Plan. As of June 30, 2025, under the 2025 Director Incentive Plan, there were 261,983 shares available for future grants to LivaNova’s non-executive directors, and under the Second A&amp;R 2022 Plan, there were 2,200,000 shares available for future grants to LivaNova’s employees.</w:t>
      </w:r>
    </w:p>
    <w:p>
      <w:pPr>
        <w:spacing w:after="0" w:line="8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For the six months ended June 30, 2025, LivaNova issued stock-based compensatory awards to its employees and Board of Directors with terms approved by the Compensation and Human Capital Management Committee of LivaNova’s Board of Directors and LivaNova’s Board of Directors, respectively. The employee awards with service conditions generally vest ratably over three years for RSUs and four years for SARs, and are subject to forfeiture unless service conditions are met. The employee market performance-based awards that were issued cliff vest after three years, subject to the rank of LivaNova’s total shareholder return for the three-year period ending December 31, 2027, relative to the total shareholder returns of the S&amp;P Healthcare Equipment Select Industry Index. The employee adjusted free cash flow and return on invested capital operating performance-based awards that were issued cliff vest after three years, subject to the achievement of certain thresholds of cumulative results for the three-year period ending December 31, 2027. The Board of Director RSU awards with service conditions generally vest ratably over one year. Compensation expense related to awards granted during 2025 for the three and six months ended June 30, 2025 was $2.1 million and $2.3 million, respectively.</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Stock-Based Compensation Expense</w:t>
      </w:r>
    </w:p>
    <w:p>
      <w:pPr>
        <w:spacing w:after="0" w:line="110"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8"/>
          <w:szCs w:val="18"/>
          <w:color w:val="auto"/>
        </w:rPr>
        <w:t>The following table presents the amounts of stock-based compensation expense recognized in LivaNova’s condensed consolidated statements of income (loss) by type of arrangement (in thousands):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940" w:type="dxa"/>
            <w:vAlign w:val="bottom"/>
          </w:tcPr>
          <w:p>
            <w:pPr>
              <w:spacing w:after="0"/>
              <w:rPr>
                <w:sz w:val="20"/>
                <w:szCs w:val="20"/>
                <w:color w:val="auto"/>
              </w:rPr>
            </w:pPr>
          </w:p>
        </w:tc>
        <w:tc>
          <w:tcPr>
            <w:tcW w:w="30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5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gridSpan w:val="4"/>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2"/>
        </w:trPr>
        <w:tc>
          <w:tcPr>
            <w:tcW w:w="394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2"/>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Service-based RSUs</w:t>
            </w:r>
          </w:p>
        </w:tc>
        <w:tc>
          <w:tcPr>
            <w:tcW w:w="1160" w:type="dxa"/>
            <w:vAlign w:val="bottom"/>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4,521</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9,374</w:t>
            </w:r>
          </w:p>
        </w:tc>
      </w:tr>
      <w:tr>
        <w:trPr>
          <w:trHeight w:val="228"/>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Service-based SARs</w:t>
            </w:r>
          </w:p>
        </w:tc>
        <w:tc>
          <w:tcPr>
            <w:tcW w:w="1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3,381</w:t>
            </w:r>
          </w:p>
        </w:tc>
        <w:tc>
          <w:tcPr>
            <w:tcW w:w="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6,523</w:t>
            </w:r>
          </w:p>
        </w:tc>
      </w:tr>
      <w:tr>
        <w:trPr>
          <w:trHeight w:val="228"/>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 performance-based RSUs</w:t>
            </w:r>
          </w:p>
        </w:tc>
        <w:tc>
          <w:tcPr>
            <w:tcW w:w="1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w:t>
            </w:r>
          </w:p>
        </w:tc>
      </w:tr>
      <w:tr>
        <w:trPr>
          <w:trHeight w:val="228"/>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performance-based RSUs</w:t>
            </w:r>
          </w:p>
        </w:tc>
        <w:tc>
          <w:tcPr>
            <w:tcW w:w="1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w:t>
            </w:r>
          </w:p>
        </w:tc>
      </w:tr>
      <w:tr>
        <w:trPr>
          <w:trHeight w:val="228"/>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share purchase plan</w:t>
            </w:r>
          </w:p>
        </w:tc>
        <w:tc>
          <w:tcPr>
            <w:tcW w:w="11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8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w:t>
            </w:r>
          </w:p>
        </w:tc>
      </w:tr>
      <w:tr>
        <w:trPr>
          <w:trHeight w:val="222"/>
        </w:trPr>
        <w:tc>
          <w:tcPr>
            <w:tcW w:w="3940" w:type="dxa"/>
            <w:vAlign w:val="bottom"/>
          </w:tcPr>
          <w:p>
            <w:pPr>
              <w:spacing w:after="0"/>
              <w:rPr>
                <w:sz w:val="19"/>
                <w:szCs w:val="19"/>
                <w:color w:val="auto"/>
              </w:rPr>
            </w:pPr>
          </w:p>
        </w:tc>
        <w:tc>
          <w:tcPr>
            <w:tcW w:w="1160" w:type="dxa"/>
            <w:vAlign w:val="bottom"/>
            <w:tcBorders>
              <w:bottom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9,174</w:t>
            </w:r>
          </w:p>
        </w:tc>
        <w:tc>
          <w:tcPr>
            <w:tcW w:w="80" w:type="dxa"/>
            <w:vAlign w:val="bottom"/>
          </w:tcPr>
          <w:p>
            <w:pPr>
              <w:spacing w:after="0"/>
              <w:rPr>
                <w:sz w:val="19"/>
                <w:szCs w:val="19"/>
                <w:color w:val="auto"/>
              </w:rPr>
            </w:pPr>
          </w:p>
        </w:tc>
        <w:tc>
          <w:tcPr>
            <w:tcW w:w="1200" w:type="dxa"/>
            <w:vAlign w:val="bottom"/>
            <w:tcBorders>
              <w:bottom w:val="single" w:sz="8" w:color="auto"/>
            </w:tcBorders>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8,199</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16,957</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18,425</w:t>
            </w:r>
          </w:p>
        </w:tc>
      </w:tr>
      <w:tr>
        <w:trPr>
          <w:trHeight w:val="20"/>
        </w:trPr>
        <w:tc>
          <w:tcPr>
            <w:tcW w:w="39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83"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8"/>
          <w:szCs w:val="18"/>
          <w:color w:val="auto"/>
        </w:rPr>
        <w:t>Stock-based compensation agreements issued for the six months ended June 30, 2025, representing potential shares and their weighted average grant date fair values by type, are as follows (shares in thousands, fair value in dollars):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620" w:type="dxa"/>
            <w:vAlign w:val="bottom"/>
          </w:tcPr>
          <w:p>
            <w:pPr>
              <w:spacing w:after="0"/>
              <w:rPr>
                <w:sz w:val="20"/>
                <w:szCs w:val="20"/>
                <w:color w:val="auto"/>
              </w:rPr>
            </w:pPr>
          </w:p>
        </w:tc>
        <w:tc>
          <w:tcPr>
            <w:tcW w:w="3620" w:type="dxa"/>
            <w:vAlign w:val="bottom"/>
            <w:tcBorders>
              <w:bottom w:val="single" w:sz="8" w:color="auto"/>
            </w:tcBorders>
            <w:gridSpan w:val="4"/>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Six Months Ended June 30, 2025</w:t>
            </w:r>
          </w:p>
        </w:tc>
        <w:tc>
          <w:tcPr>
            <w:tcW w:w="0" w:type="dxa"/>
            <w:vAlign w:val="bottom"/>
          </w:tcPr>
          <w:p>
            <w:pPr>
              <w:spacing w:after="0"/>
              <w:rPr>
                <w:sz w:val="1"/>
                <w:szCs w:val="1"/>
                <w:color w:val="auto"/>
              </w:rPr>
            </w:pPr>
          </w:p>
        </w:tc>
      </w:tr>
      <w:tr>
        <w:trPr>
          <w:trHeight w:val="173"/>
        </w:trPr>
        <w:tc>
          <w:tcPr>
            <w:tcW w:w="7620" w:type="dxa"/>
            <w:vAlign w:val="bottom"/>
          </w:tcPr>
          <w:p>
            <w:pPr>
              <w:spacing w:after="0"/>
              <w:rPr>
                <w:sz w:val="15"/>
                <w:szCs w:val="15"/>
                <w:color w:val="auto"/>
              </w:rPr>
            </w:pPr>
          </w:p>
        </w:tc>
        <w:tc>
          <w:tcPr>
            <w:tcW w:w="1860" w:type="dxa"/>
            <w:vAlign w:val="bottom"/>
            <w:gridSpan w:val="2"/>
            <w:vMerge w:val="restart"/>
          </w:tcPr>
          <w:p>
            <w:pPr>
              <w:ind w:left="6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40" w:type="dxa"/>
            <w:vAlign w:val="bottom"/>
          </w:tcPr>
          <w:p>
            <w:pPr>
              <w:spacing w:after="0"/>
              <w:rPr>
                <w:sz w:val="15"/>
                <w:szCs w:val="15"/>
                <w:color w:val="auto"/>
              </w:rPr>
            </w:pPr>
          </w:p>
        </w:tc>
        <w:tc>
          <w:tcPr>
            <w:tcW w:w="1620" w:type="dxa"/>
            <w:vAlign w:val="bottom"/>
          </w:tcPr>
          <w:p>
            <w:pPr>
              <w:jc w:val="right"/>
              <w:ind w:right="90"/>
              <w:spacing w:after="0" w:line="173" w:lineRule="exact"/>
              <w:rPr>
                <w:sz w:val="20"/>
                <w:szCs w:val="20"/>
                <w:color w:val="auto"/>
              </w:rPr>
            </w:pPr>
            <w:r>
              <w:rPr>
                <w:rFonts w:ascii="Times New Roman" w:cs="Times New Roman" w:eastAsia="Times New Roman" w:hAnsi="Times New Roman"/>
                <w:sz w:val="18"/>
                <w:szCs w:val="18"/>
                <w:b w:val="1"/>
                <w:bCs w:val="1"/>
                <w:color w:val="auto"/>
                <w:w w:val="99"/>
              </w:rPr>
              <w:t>Weighted Average</w:t>
            </w:r>
          </w:p>
        </w:tc>
        <w:tc>
          <w:tcPr>
            <w:tcW w:w="0" w:type="dxa"/>
            <w:vAlign w:val="bottom"/>
          </w:tcPr>
          <w:p>
            <w:pPr>
              <w:spacing w:after="0"/>
              <w:rPr>
                <w:sz w:val="1"/>
                <w:szCs w:val="1"/>
                <w:color w:val="auto"/>
              </w:rPr>
            </w:pPr>
          </w:p>
        </w:tc>
      </w:tr>
      <w:tr>
        <w:trPr>
          <w:trHeight w:val="237"/>
        </w:trPr>
        <w:tc>
          <w:tcPr>
            <w:tcW w:w="7620" w:type="dxa"/>
            <w:vAlign w:val="bottom"/>
          </w:tcPr>
          <w:p>
            <w:pPr>
              <w:spacing w:after="0"/>
              <w:rPr>
                <w:sz w:val="20"/>
                <w:szCs w:val="20"/>
                <w:color w:val="auto"/>
              </w:rPr>
            </w:pPr>
          </w:p>
        </w:tc>
        <w:tc>
          <w:tcPr>
            <w:tcW w:w="1860" w:type="dxa"/>
            <w:vAlign w:val="bottom"/>
            <w:gridSpan w:val="2"/>
            <w:vMerge w:val="continue"/>
          </w:tcPr>
          <w:p>
            <w:pPr>
              <w:spacing w:after="0"/>
              <w:rPr>
                <w:sz w:val="20"/>
                <w:szCs w:val="20"/>
                <w:color w:val="auto"/>
              </w:rPr>
            </w:pP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Grant Date Fair Value</w:t>
            </w:r>
          </w:p>
        </w:tc>
        <w:tc>
          <w:tcPr>
            <w:tcW w:w="0" w:type="dxa"/>
            <w:vAlign w:val="bottom"/>
          </w:tcPr>
          <w:p>
            <w:pPr>
              <w:spacing w:after="0"/>
              <w:rPr>
                <w:sz w:val="1"/>
                <w:szCs w:val="1"/>
                <w:color w:val="auto"/>
              </w:rPr>
            </w:pPr>
          </w:p>
        </w:tc>
      </w:tr>
      <w:tr>
        <w:trPr>
          <w:trHeight w:val="222"/>
        </w:trPr>
        <w:tc>
          <w:tcPr>
            <w:tcW w:w="7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Service-based SARs</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1,038,444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17.87</w:t>
            </w:r>
          </w:p>
        </w:tc>
        <w:tc>
          <w:tcPr>
            <w:tcW w:w="0" w:type="dxa"/>
            <w:vAlign w:val="bottom"/>
          </w:tcPr>
          <w:p>
            <w:pPr>
              <w:spacing w:after="0"/>
              <w:rPr>
                <w:sz w:val="1"/>
                <w:szCs w:val="1"/>
                <w:color w:val="auto"/>
              </w:rPr>
            </w:pPr>
          </w:p>
        </w:tc>
      </w:tr>
      <w:tr>
        <w:trPr>
          <w:trHeight w:val="228"/>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Service-based RSUs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553,129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39.59</w:t>
            </w:r>
          </w:p>
        </w:tc>
        <w:tc>
          <w:tcPr>
            <w:tcW w:w="0" w:type="dxa"/>
            <w:vAlign w:val="bottom"/>
          </w:tcPr>
          <w:p>
            <w:pPr>
              <w:spacing w:after="0"/>
              <w:rPr>
                <w:sz w:val="1"/>
                <w:szCs w:val="1"/>
                <w:color w:val="auto"/>
              </w:rPr>
            </w:pPr>
          </w:p>
        </w:tc>
      </w:tr>
      <w:tr>
        <w:trPr>
          <w:trHeight w:val="228"/>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 performance-based RSUs</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82,009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41.51</w:t>
            </w:r>
          </w:p>
        </w:tc>
        <w:tc>
          <w:tcPr>
            <w:tcW w:w="0" w:type="dxa"/>
            <w:vAlign w:val="bottom"/>
          </w:tcPr>
          <w:p>
            <w:pPr>
              <w:spacing w:after="0"/>
              <w:rPr>
                <w:sz w:val="1"/>
                <w:szCs w:val="1"/>
                <w:color w:val="auto"/>
              </w:rPr>
            </w:pPr>
          </w:p>
        </w:tc>
      </w:tr>
      <w:tr>
        <w:trPr>
          <w:trHeight w:val="234"/>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performance-based RSUs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92,630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39.59</w:t>
            </w: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8. Income Taxes</w:t>
      </w:r>
    </w:p>
    <w:p>
      <w:pPr>
        <w:spacing w:after="0" w:line="11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LivaNova PLC is a resident in the UK. LivaNova’s effective income tax rate fluctuates based on, among other factors, changes in pre-tax income in countries with varying statutory tax rates, valuation allowances, tax credits and incentives, unrecognized tax benefits associated with uncertain tax positions, and tax laws. LivaNova’s tax returns are periodically audited or subjected to review by tax authorities. The Company operates in multiple jurisdictions worldwide and assesses the recoverability of its deferred tax assets for each period and jurisdiction by considering whether it is more likely than not that all or a portion of the deferred tax assets will not be realized. The Company considers all available evidence (both positive and negative) in determining whether a valuation allowance is required. Depending on operating results in the future, a release of a valuation</w:t>
      </w:r>
    </w:p>
    <w:p>
      <w:pPr>
        <w:spacing w:after="0" w:line="200" w:lineRule="exact"/>
        <w:rPr>
          <w:sz w:val="20"/>
          <w:szCs w:val="20"/>
          <w:color w:val="auto"/>
        </w:rPr>
      </w:pPr>
    </w:p>
    <w:p>
      <w:pPr>
        <w:spacing w:after="0" w:line="31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140335</wp:posOffset>
            </wp:positionV>
            <wp:extent cx="71583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3" w:name="page24"/>
    <w:bookmarkEnd w:id="23"/>
    <w:p>
      <w:pPr>
        <w:jc w:val="both"/>
        <w:spacing w:after="0" w:line="295" w:lineRule="auto"/>
        <w:rPr>
          <w:sz w:val="20"/>
          <w:szCs w:val="20"/>
          <w:color w:val="auto"/>
        </w:rPr>
      </w:pPr>
      <w:r>
        <w:rPr>
          <w:rFonts w:ascii="Times New Roman" w:cs="Times New Roman" w:eastAsia="Times New Roman" w:hAnsi="Times New Roman"/>
          <w:sz w:val="18"/>
          <w:szCs w:val="18"/>
          <w:color w:val="auto"/>
        </w:rPr>
        <w:t>allowance could occur within the next 12 months. The timing and amount of the valuation allowance release could vary based on the Company’s assessment of all available evidence.</w:t>
      </w:r>
    </w:p>
    <w:p>
      <w:pPr>
        <w:spacing w:after="0" w:line="4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color w:val="auto"/>
        </w:rPr>
        <w:t>LivaNova’s effective income tax rate for the three and six months ended June 30, 2025 was 18.5% and (6.3)%, respectively, compared to 24.2% and (102.6)% for the three and six months ended June 30, 2024, respectively. The changes in the effective tax rates for the three and six months ended June 30, 2025, compared to the prior year periods, were primarily attributable to year-over-year changes in income before tax in countries with varying statutory tax rates, certain discrete tax items, including the SNIA environmental liability, and changes in valuation allowances.</w:t>
      </w:r>
    </w:p>
    <w:p>
      <w:pPr>
        <w:spacing w:after="0" w:line="8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LivaNova is subject to income taxes as well as non-income-based taxes in the U.S., the UK, the EU, and various other jurisdictions. In June 2025, the Group of Seven released a statement on global minimum taxes indicating potential changes to substance-based non-refundable tax credits. The statement has not been incorporated into the OECD framework, and LivaNova will continue to monitor OECD and Pillar Two guidance for any new developments. On July 4, 2025, the U.S. enacted the OBBBA. Provisions of the OBBBA applicable to LivaNova include, but are not limited to, the elective deduction of domestic research and development expenses, changes to interest deductions, changes to Foreign-Derived Deduction Eligible Income, and the permanent reinstatement of bonus depreciation. LivaNova is still evaluating the potential impacts of the OBBBA. LivaNova will continue to monitor legislative developments in the U.S., the UK, the EU, and various other jurisdictions that may impact LivaNova’s operations.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9. Income (Loss) Per Share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basic and diluted income (loss) per share:</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580" w:type="dxa"/>
            <w:vAlign w:val="bottom"/>
          </w:tcPr>
          <w:p>
            <w:pPr>
              <w:spacing w:after="0"/>
              <w:rPr>
                <w:sz w:val="20"/>
                <w:szCs w:val="20"/>
                <w:color w:val="auto"/>
              </w:rPr>
            </w:pPr>
          </w:p>
        </w:tc>
        <w:tc>
          <w:tcPr>
            <w:tcW w:w="28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4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760" w:type="dxa"/>
            <w:vAlign w:val="bottom"/>
            <w:tcBorders>
              <w:bottom w:val="single" w:sz="8" w:color="auto"/>
            </w:tcBorders>
            <w:gridSpan w:val="4"/>
          </w:tcPr>
          <w:p>
            <w:pPr>
              <w:ind w:left="60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520" w:type="dxa"/>
            <w:vAlign w:val="bottom"/>
            <w:tcBorders>
              <w:bottom w:val="single" w:sz="8" w:color="auto"/>
            </w:tcBorders>
          </w:tcPr>
          <w:p>
            <w:pPr>
              <w:spacing w:after="0"/>
              <w:rPr>
                <w:sz w:val="20"/>
                <w:szCs w:val="20"/>
                <w:color w:val="auto"/>
              </w:rPr>
            </w:pPr>
          </w:p>
        </w:tc>
      </w:tr>
      <w:tr>
        <w:trPr>
          <w:trHeight w:val="222"/>
        </w:trPr>
        <w:tc>
          <w:tcPr>
            <w:tcW w:w="458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Borders>
              <w:bottom w:val="single" w:sz="8" w:color="auto"/>
            </w:tcBorders>
          </w:tcPr>
          <w:p>
            <w:pPr>
              <w:spacing w:after="0"/>
              <w:rPr>
                <w:sz w:val="19"/>
                <w:szCs w:val="19"/>
                <w:color w:val="auto"/>
              </w:rPr>
            </w:pPr>
          </w:p>
        </w:tc>
      </w:tr>
      <w:tr>
        <w:trPr>
          <w:trHeight w:val="222"/>
        </w:trPr>
        <w:tc>
          <w:tcPr>
            <w:tcW w:w="4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Basic income (loss) per share</w:t>
            </w:r>
          </w:p>
        </w:tc>
        <w:tc>
          <w:tcPr>
            <w:tcW w:w="108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(0.47)</w:t>
            </w:r>
          </w:p>
        </w:tc>
      </w:tr>
      <w:tr>
        <w:trPr>
          <w:trHeight w:val="234"/>
        </w:trPr>
        <w:tc>
          <w:tcPr>
            <w:tcW w:w="4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Diluted income (loss) per share</w:t>
            </w:r>
          </w:p>
        </w:tc>
        <w:tc>
          <w:tcPr>
            <w:tcW w:w="10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(0.47)</w:t>
            </w:r>
          </w:p>
        </w:tc>
      </w:tr>
    </w:tbl>
    <w:p>
      <w:pPr>
        <w:spacing w:after="0" w:line="165"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8"/>
          <w:szCs w:val="18"/>
          <w:color w:val="auto"/>
        </w:rPr>
        <w:t>The following table presents the reconciliations of net income (loss) and weighted average shares outstanding used in the calculations of basic and diluted income (loss) per share (in thousands):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580" w:type="dxa"/>
            <w:vAlign w:val="bottom"/>
          </w:tcPr>
          <w:p>
            <w:pPr>
              <w:spacing w:after="0"/>
              <w:rPr>
                <w:sz w:val="20"/>
                <w:szCs w:val="20"/>
                <w:color w:val="auto"/>
              </w:rPr>
            </w:pPr>
          </w:p>
        </w:tc>
        <w:tc>
          <w:tcPr>
            <w:tcW w:w="3380" w:type="dxa"/>
            <w:vAlign w:val="bottom"/>
            <w:gridSpan w:val="6"/>
          </w:tcPr>
          <w:p>
            <w:pPr>
              <w:ind w:left="48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60" w:type="dxa"/>
            <w:vAlign w:val="bottom"/>
          </w:tcPr>
          <w:p>
            <w:pPr>
              <w:spacing w:after="0"/>
              <w:rPr>
                <w:sz w:val="20"/>
                <w:szCs w:val="20"/>
                <w:color w:val="auto"/>
              </w:rPr>
            </w:pPr>
          </w:p>
        </w:tc>
        <w:tc>
          <w:tcPr>
            <w:tcW w:w="2920" w:type="dxa"/>
            <w:vAlign w:val="bottom"/>
            <w:gridSpan w:val="4"/>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22"/>
        </w:trPr>
        <w:tc>
          <w:tcPr>
            <w:tcW w:w="458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 xml:space="preserve">Numerator </w:t>
            </w:r>
            <w:r>
              <w:rPr>
                <w:rFonts w:ascii="Times New Roman" w:cs="Times New Roman" w:eastAsia="Times New Roman" w:hAnsi="Times New Roman"/>
                <w:sz w:val="23"/>
                <w:szCs w:val="23"/>
                <w:b w:val="1"/>
                <w:bCs w:val="1"/>
                <w:color w:val="auto"/>
                <w:vertAlign w:val="superscript"/>
              </w:rPr>
              <w:t>(1)</w:t>
            </w:r>
            <w:r>
              <w:rPr>
                <w:rFonts w:ascii="Times New Roman" w:cs="Times New Roman" w:eastAsia="Times New Roman" w:hAnsi="Times New Roman"/>
                <w:sz w:val="18"/>
                <w:szCs w:val="18"/>
                <w:b w:val="1"/>
                <w:bCs w:val="1"/>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08"/>
        </w:trPr>
        <w:tc>
          <w:tcPr>
            <w:tcW w:w="4580" w:type="dxa"/>
            <w:vAlign w:val="bottom"/>
            <w:vMerge w:val="continue"/>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(loss) - basic and diluted</w:t>
            </w:r>
          </w:p>
        </w:tc>
        <w:tc>
          <w:tcPr>
            <w:tcW w:w="10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27,161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(300,161)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(25,610)</w:t>
            </w:r>
          </w:p>
        </w:tc>
        <w:tc>
          <w:tcPr>
            <w:tcW w:w="0" w:type="dxa"/>
            <w:vAlign w:val="bottom"/>
          </w:tcPr>
          <w:p>
            <w:pPr>
              <w:spacing w:after="0"/>
              <w:rPr>
                <w:sz w:val="1"/>
                <w:szCs w:val="1"/>
                <w:color w:val="auto"/>
              </w:rPr>
            </w:pPr>
          </w:p>
        </w:tc>
      </w:tr>
      <w:tr>
        <w:trPr>
          <w:trHeight w:val="269"/>
        </w:trPr>
        <w:tc>
          <w:tcPr>
            <w:tcW w:w="45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8"/>
        </w:trPr>
        <w:tc>
          <w:tcPr>
            <w:tcW w:w="4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Weighted average shares outstanding - basic</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54,577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54,238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54,502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54,202</w:t>
            </w:r>
          </w:p>
        </w:tc>
        <w:tc>
          <w:tcPr>
            <w:tcW w:w="0" w:type="dxa"/>
            <w:vAlign w:val="bottom"/>
          </w:tcPr>
          <w:p>
            <w:pPr>
              <w:spacing w:after="0"/>
              <w:rPr>
                <w:sz w:val="1"/>
                <w:szCs w:val="1"/>
                <w:color w:val="auto"/>
              </w:rPr>
            </w:pPr>
          </w:p>
        </w:tc>
      </w:tr>
      <w:tr>
        <w:trPr>
          <w:trHeight w:val="180"/>
        </w:trPr>
        <w:tc>
          <w:tcPr>
            <w:tcW w:w="4580" w:type="dxa"/>
            <w:vAlign w:val="bottom"/>
            <w:shd w:val="clear" w:color="auto" w:fill="CCEEFF"/>
          </w:tcPr>
          <w:p>
            <w:pPr>
              <w:ind w:left="40"/>
              <w:spacing w:after="0" w:line="180" w:lineRule="exact"/>
              <w:rPr>
                <w:sz w:val="20"/>
                <w:szCs w:val="20"/>
                <w:color w:val="auto"/>
              </w:rPr>
            </w:pPr>
            <w:r>
              <w:rPr>
                <w:rFonts w:ascii="Times New Roman" w:cs="Times New Roman" w:eastAsia="Times New Roman" w:hAnsi="Times New Roman"/>
                <w:sz w:val="18"/>
                <w:szCs w:val="18"/>
                <w:color w:val="auto"/>
              </w:rPr>
              <w:t>Add: Dilutive effect of share-based compensation and</w:t>
            </w:r>
          </w:p>
        </w:tc>
        <w:tc>
          <w:tcPr>
            <w:tcW w:w="10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3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4580" w:type="dxa"/>
            <w:vAlign w:val="bottom"/>
            <w:shd w:val="clear" w:color="auto" w:fill="CCEEFF"/>
          </w:tcPr>
          <w:p>
            <w:pPr>
              <w:ind w:left="40"/>
              <w:spacing w:after="0" w:line="236" w:lineRule="exact"/>
              <w:rPr>
                <w:sz w:val="20"/>
                <w:szCs w:val="20"/>
                <w:color w:val="auto"/>
              </w:rPr>
            </w:pPr>
            <w:r>
              <w:rPr>
                <w:rFonts w:ascii="Times New Roman" w:cs="Times New Roman" w:eastAsia="Times New Roman" w:hAnsi="Times New Roman"/>
                <w:sz w:val="18"/>
                <w:szCs w:val="18"/>
                <w:color w:val="auto"/>
              </w:rPr>
              <w:t xml:space="preserve">convertible debt instruments </w:t>
            </w:r>
            <w:r>
              <w:rPr>
                <w:rFonts w:ascii="Times New Roman" w:cs="Times New Roman" w:eastAsia="Times New Roman" w:hAnsi="Times New Roman"/>
                <w:sz w:val="23"/>
                <w:szCs w:val="23"/>
                <w:color w:val="auto"/>
                <w:vertAlign w:val="superscript"/>
              </w:rPr>
              <w:t>(1) (2)</w:t>
            </w:r>
          </w:p>
        </w:tc>
        <w:tc>
          <w:tcPr>
            <w:tcW w:w="100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340" w:type="dxa"/>
            <w:vAlign w:val="bottom"/>
            <w:gridSpan w:val="2"/>
            <w:vMerge w:val="continue"/>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4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10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54,708</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54,591</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54,502</w:t>
            </w:r>
          </w:p>
        </w:tc>
        <w:tc>
          <w:tcPr>
            <w:tcW w:w="12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54,202</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660" w:hanging="330"/>
        <w:spacing w:after="0" w:line="231" w:lineRule="auto"/>
        <w:tabs>
          <w:tab w:leader="none" w:pos="648" w:val="left"/>
        </w:tabs>
        <w:numPr>
          <w:ilvl w:val="0"/>
          <w:numId w:val="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For the three and six months ended June 30, 2025, the 2029 Notes were outstanding and potentially dilutive securities, but were excluded from the computation of diluted income (loss) per share because their effect would have been anti-dilutive.</w:t>
      </w:r>
    </w:p>
    <w:p>
      <w:pPr>
        <w:spacing w:after="0" w:line="1" w:lineRule="exact"/>
        <w:rPr>
          <w:rFonts w:ascii="Times New Roman" w:cs="Times New Roman" w:eastAsia="Times New Roman" w:hAnsi="Times New Roman"/>
          <w:sz w:val="21"/>
          <w:szCs w:val="21"/>
          <w:color w:val="auto"/>
          <w:vertAlign w:val="superscript"/>
        </w:rPr>
      </w:pPr>
    </w:p>
    <w:p>
      <w:pPr>
        <w:jc w:val="both"/>
        <w:ind w:left="660" w:hanging="330"/>
        <w:spacing w:after="0" w:line="238" w:lineRule="auto"/>
        <w:tabs>
          <w:tab w:leader="none" w:pos="648" w:val="left"/>
        </w:tabs>
        <w:numPr>
          <w:ilvl w:val="0"/>
          <w:numId w:val="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Excluded from the computation of diluted income (loss) per share were shares underlying stock options, SARs, and RSUs totaling 0.6 million and 2.2 million for the three months ended June 30, 2025 and 2024, respectively, and 3.0 million and 4.4 million for the six months ended June 30, 2025 and 2024, respectively, because to include them would have been anti-dilutive under the treasury stock method.</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10. Geographic and Segment Information</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Segment Information</w:t>
      </w:r>
    </w:p>
    <w:p>
      <w:pPr>
        <w:spacing w:after="0" w:line="12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8"/>
          <w:szCs w:val="18"/>
          <w:color w:val="auto"/>
        </w:rPr>
        <w:t>LivaNova identifies operating segments based on how it manages, evaluates, and internally reports its business activities to allocate resources, develop and execute its strategy, and assess performance. LivaNova has two reportable segments: Cardiopulmonary and Neuromodulation. Net revenue of the Company’s reportable segments includes revenues from the sale of products that each reportable segment develops and manufactures or distributes.</w:t>
      </w:r>
    </w:p>
    <w:p>
      <w:pPr>
        <w:spacing w:after="0" w:line="200" w:lineRule="exact"/>
        <w:rPr>
          <w:sz w:val="20"/>
          <w:szCs w:val="20"/>
          <w:color w:val="auto"/>
        </w:rPr>
      </w:pPr>
    </w:p>
    <w:p>
      <w:pPr>
        <w:spacing w:after="0" w:line="30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149225</wp:posOffset>
            </wp:positionV>
            <wp:extent cx="71583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4" w:name="page25"/>
    <w:bookmarkEnd w:id="24"/>
    <w:p>
      <w:pPr>
        <w:jc w:val="both"/>
        <w:ind w:right="20"/>
        <w:spacing w:after="0" w:line="295" w:lineRule="auto"/>
        <w:rPr>
          <w:sz w:val="20"/>
          <w:szCs w:val="20"/>
          <w:color w:val="auto"/>
        </w:rPr>
      </w:pPr>
      <w:r>
        <w:rPr>
          <w:rFonts w:ascii="Times New Roman" w:cs="Times New Roman" w:eastAsia="Times New Roman" w:hAnsi="Times New Roman"/>
          <w:sz w:val="18"/>
          <w:szCs w:val="18"/>
          <w:color w:val="auto"/>
        </w:rPr>
        <w:t>LivaNova’s Cardiopulmonary segment is engaged in the design, development, manufacture, marketing, and sale of cardiopulmonary products, including HLMs, oxygenators, autotransfusion systems, perfusion tubing systems, cannulae, and other related accessories.</w:t>
      </w:r>
    </w:p>
    <w:p>
      <w:pPr>
        <w:spacing w:after="0" w:line="4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color w:val="auto"/>
        </w:rPr>
        <w:t>LivaNova’s Neuromodulation segment is engaged in the design, development, manufacture, marketing, and sale of devices that deliver neuromodulation therapy for treating DRE and DTD. Neuromodulation products include the VNS Therapy System, which consists of an implantable pulse generator, a lead that connects the generator to the vagus nerve, and other accessories. It also includes the development and management of clinical testing of LivaNova’s aura6000 System for treating OSA.</w:t>
      </w:r>
    </w:p>
    <w:p>
      <w:pPr>
        <w:spacing w:after="0" w:line="80"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8"/>
          <w:szCs w:val="18"/>
          <w:color w:val="auto"/>
        </w:rPr>
        <w:t>LivaNova operates under three geographic regions: U.S., Europe, and Rest of World. The following table presents net revenue by operating segment and geographic region (in thousands):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180" w:type="dxa"/>
            <w:vAlign w:val="bottom"/>
            <w:gridSpan w:val="5"/>
          </w:tcPr>
          <w:p>
            <w:pPr>
              <w:ind w:left="22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80" w:type="dxa"/>
            <w:vAlign w:val="bottom"/>
          </w:tcPr>
          <w:p>
            <w:pPr>
              <w:spacing w:after="0"/>
              <w:rPr>
                <w:sz w:val="20"/>
                <w:szCs w:val="20"/>
                <w:color w:val="auto"/>
              </w:rPr>
            </w:pPr>
          </w:p>
        </w:tc>
        <w:tc>
          <w:tcPr>
            <w:tcW w:w="3040" w:type="dxa"/>
            <w:vAlign w:val="bottom"/>
            <w:gridSpan w:val="4"/>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22"/>
        </w:trPr>
        <w:tc>
          <w:tcPr>
            <w:tcW w:w="4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Cardiopulmonary</w:t>
            </w:r>
          </w:p>
        </w:tc>
        <w:tc>
          <w:tcPr>
            <w:tcW w:w="34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08"/>
        </w:trPr>
        <w:tc>
          <w:tcPr>
            <w:tcW w:w="430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United States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71,243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64,873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132,077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115,450</w:t>
            </w:r>
          </w:p>
        </w:tc>
        <w:tc>
          <w:tcPr>
            <w:tcW w:w="0" w:type="dxa"/>
            <w:vAlign w:val="bottom"/>
          </w:tcPr>
          <w:p>
            <w:pPr>
              <w:spacing w:after="0"/>
              <w:rPr>
                <w:sz w:val="1"/>
                <w:szCs w:val="1"/>
                <w:color w:val="auto"/>
              </w:rPr>
            </w:pPr>
          </w:p>
        </w:tc>
      </w:tr>
      <w:tr>
        <w:trPr>
          <w:trHeight w:val="228"/>
        </w:trPr>
        <w:tc>
          <w:tcPr>
            <w:tcW w:w="4300" w:type="dxa"/>
            <w:vAlign w:val="bottom"/>
          </w:tcPr>
          <w:p>
            <w:pPr>
              <w:ind w:left="240"/>
              <w:spacing w:after="0" w:line="229" w:lineRule="exact"/>
              <w:rPr>
                <w:sz w:val="20"/>
                <w:szCs w:val="20"/>
                <w:color w:val="auto"/>
              </w:rPr>
            </w:pPr>
            <w:r>
              <w:rPr>
                <w:rFonts w:ascii="Times New Roman" w:cs="Times New Roman" w:eastAsia="Times New Roman" w:hAnsi="Times New Roman"/>
                <w:sz w:val="18"/>
                <w:szCs w:val="18"/>
                <w:color w:val="auto"/>
              </w:rPr>
              <w:t xml:space="preserve">Europe </w:t>
            </w:r>
            <w:r>
              <w:rPr>
                <w:rFonts w:ascii="Times New Roman" w:cs="Times New Roman" w:eastAsia="Times New Roman" w:hAnsi="Times New Roman"/>
                <w:sz w:val="23"/>
                <w:szCs w:val="23"/>
                <w:color w:val="auto"/>
                <w:vertAlign w:val="superscript"/>
              </w:rPr>
              <w:t>(1)</w:t>
            </w: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49,046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38,567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93,553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79,493</w:t>
            </w:r>
          </w:p>
        </w:tc>
        <w:tc>
          <w:tcPr>
            <w:tcW w:w="0" w:type="dxa"/>
            <w:vAlign w:val="bottom"/>
          </w:tcPr>
          <w:p>
            <w:pPr>
              <w:spacing w:after="0"/>
              <w:rPr>
                <w:sz w:val="1"/>
                <w:szCs w:val="1"/>
                <w:color w:val="auto"/>
              </w:rPr>
            </w:pPr>
          </w:p>
        </w:tc>
      </w:tr>
      <w:tr>
        <w:trPr>
          <w:trHeight w:val="228"/>
        </w:trPr>
        <w:tc>
          <w:tcPr>
            <w:tcW w:w="4300" w:type="dxa"/>
            <w:vAlign w:val="bottom"/>
            <w:shd w:val="clear" w:color="auto" w:fill="CCEEFF"/>
          </w:tcPr>
          <w:p>
            <w:pPr>
              <w:ind w:left="240"/>
              <w:spacing w:after="0" w:line="229" w:lineRule="exact"/>
              <w:rPr>
                <w:sz w:val="20"/>
                <w:szCs w:val="20"/>
                <w:color w:val="auto"/>
              </w:rPr>
            </w:pPr>
            <w:r>
              <w:rPr>
                <w:rFonts w:ascii="Times New Roman" w:cs="Times New Roman" w:eastAsia="Times New Roman" w:hAnsi="Times New Roman"/>
                <w:sz w:val="18"/>
                <w:szCs w:val="18"/>
                <w:color w:val="auto"/>
              </w:rPr>
              <w:t xml:space="preserve">Rest of World </w:t>
            </w:r>
            <w:r>
              <w:rPr>
                <w:rFonts w:ascii="Times New Roman" w:cs="Times New Roman" w:eastAsia="Times New Roman" w:hAnsi="Times New Roman"/>
                <w:sz w:val="23"/>
                <w:szCs w:val="23"/>
                <w:color w:val="auto"/>
                <w:vertAlign w:val="superscript"/>
              </w:rPr>
              <w:t>(1)</w:t>
            </w:r>
          </w:p>
        </w:tc>
        <w:tc>
          <w:tcPr>
            <w:tcW w:w="3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78,983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70,274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149,962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134,662</w:t>
            </w:r>
          </w:p>
        </w:tc>
        <w:tc>
          <w:tcPr>
            <w:tcW w:w="0" w:type="dxa"/>
            <w:vAlign w:val="bottom"/>
          </w:tcPr>
          <w:p>
            <w:pPr>
              <w:spacing w:after="0"/>
              <w:rPr>
                <w:sz w:val="1"/>
                <w:szCs w:val="1"/>
                <w:color w:val="auto"/>
              </w:rPr>
            </w:pPr>
          </w:p>
        </w:tc>
      </w:tr>
      <w:tr>
        <w:trPr>
          <w:trHeight w:val="222"/>
        </w:trPr>
        <w:tc>
          <w:tcPr>
            <w:tcW w:w="43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199,272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173,714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375,592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329,605</w:t>
            </w:r>
          </w:p>
        </w:tc>
        <w:tc>
          <w:tcPr>
            <w:tcW w:w="0" w:type="dxa"/>
            <w:vAlign w:val="bottom"/>
          </w:tcPr>
          <w:p>
            <w:pPr>
              <w:spacing w:after="0"/>
              <w:rPr>
                <w:sz w:val="1"/>
                <w:szCs w:val="1"/>
                <w:color w:val="auto"/>
              </w:rPr>
            </w:pPr>
          </w:p>
        </w:tc>
      </w:tr>
      <w:tr>
        <w:trPr>
          <w:trHeight w:val="208"/>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Neuromodulation</w:t>
            </w:r>
          </w:p>
        </w:tc>
        <w:tc>
          <w:tcPr>
            <w:tcW w:w="3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United States</w:t>
            </w: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117,226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111,683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225,560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217,612</w:t>
            </w:r>
          </w:p>
        </w:tc>
        <w:tc>
          <w:tcPr>
            <w:tcW w:w="0" w:type="dxa"/>
            <w:vAlign w:val="bottom"/>
          </w:tcPr>
          <w:p>
            <w:pPr>
              <w:spacing w:after="0"/>
              <w:rPr>
                <w:sz w:val="1"/>
                <w:szCs w:val="1"/>
                <w:color w:val="auto"/>
              </w:rPr>
            </w:pPr>
          </w:p>
        </w:tc>
      </w:tr>
      <w:tr>
        <w:trPr>
          <w:trHeight w:val="228"/>
        </w:trPr>
        <w:tc>
          <w:tcPr>
            <w:tcW w:w="4300" w:type="dxa"/>
            <w:vAlign w:val="bottom"/>
            <w:shd w:val="clear" w:color="auto" w:fill="CCEEFF"/>
          </w:tcPr>
          <w:p>
            <w:pPr>
              <w:ind w:left="240"/>
              <w:spacing w:after="0" w:line="229" w:lineRule="exact"/>
              <w:rPr>
                <w:sz w:val="20"/>
                <w:szCs w:val="20"/>
                <w:color w:val="auto"/>
              </w:rPr>
            </w:pPr>
            <w:r>
              <w:rPr>
                <w:rFonts w:ascii="Times New Roman" w:cs="Times New Roman" w:eastAsia="Times New Roman" w:hAnsi="Times New Roman"/>
                <w:sz w:val="18"/>
                <w:szCs w:val="18"/>
                <w:color w:val="auto"/>
              </w:rPr>
              <w:t xml:space="preserve">Europe </w:t>
            </w:r>
            <w:r>
              <w:rPr>
                <w:rFonts w:ascii="Times New Roman" w:cs="Times New Roman" w:eastAsia="Times New Roman" w:hAnsi="Times New Roman"/>
                <w:sz w:val="23"/>
                <w:szCs w:val="23"/>
                <w:color w:val="auto"/>
                <w:vertAlign w:val="superscript"/>
              </w:rPr>
              <w:t>(1)</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17,730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32,924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28,997</w:t>
            </w:r>
          </w:p>
        </w:tc>
        <w:tc>
          <w:tcPr>
            <w:tcW w:w="0" w:type="dxa"/>
            <w:vAlign w:val="bottom"/>
          </w:tcPr>
          <w:p>
            <w:pPr>
              <w:spacing w:after="0"/>
              <w:rPr>
                <w:sz w:val="1"/>
                <w:szCs w:val="1"/>
                <w:color w:val="auto"/>
              </w:rPr>
            </w:pPr>
          </w:p>
        </w:tc>
      </w:tr>
      <w:tr>
        <w:trPr>
          <w:trHeight w:val="228"/>
        </w:trPr>
        <w:tc>
          <w:tcPr>
            <w:tcW w:w="4300" w:type="dxa"/>
            <w:vAlign w:val="bottom"/>
            <w:tcBorders>
              <w:bottom w:val="single" w:sz="8" w:color="CCEEFF"/>
            </w:tcBorders>
          </w:tcPr>
          <w:p>
            <w:pPr>
              <w:ind w:left="240"/>
              <w:spacing w:after="0" w:line="229" w:lineRule="exact"/>
              <w:rPr>
                <w:sz w:val="20"/>
                <w:szCs w:val="20"/>
                <w:color w:val="auto"/>
              </w:rPr>
            </w:pPr>
            <w:r>
              <w:rPr>
                <w:rFonts w:ascii="Times New Roman" w:cs="Times New Roman" w:eastAsia="Times New Roman" w:hAnsi="Times New Roman"/>
                <w:sz w:val="18"/>
                <w:szCs w:val="18"/>
                <w:color w:val="auto"/>
              </w:rPr>
              <w:t xml:space="preserve">Rest of World </w:t>
            </w:r>
            <w:r>
              <w:rPr>
                <w:rFonts w:ascii="Times New Roman" w:cs="Times New Roman" w:eastAsia="Times New Roman" w:hAnsi="Times New Roman"/>
                <w:sz w:val="23"/>
                <w:szCs w:val="23"/>
                <w:color w:val="auto"/>
                <w:vertAlign w:val="superscript"/>
              </w:rPr>
              <w:t>(1)</w:t>
            </w: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16,714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15,603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32,079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30,139</w:t>
            </w:r>
          </w:p>
        </w:tc>
        <w:tc>
          <w:tcPr>
            <w:tcW w:w="0" w:type="dxa"/>
            <w:vAlign w:val="bottom"/>
          </w:tcPr>
          <w:p>
            <w:pPr>
              <w:spacing w:after="0"/>
              <w:rPr>
                <w:sz w:val="1"/>
                <w:szCs w:val="1"/>
                <w:color w:val="auto"/>
              </w:rPr>
            </w:pPr>
          </w:p>
        </w:tc>
      </w:tr>
      <w:tr>
        <w:trPr>
          <w:trHeight w:val="222"/>
        </w:trPr>
        <w:tc>
          <w:tcPr>
            <w:tcW w:w="43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151,670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142,876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290,563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276,748</w:t>
            </w:r>
          </w:p>
        </w:tc>
        <w:tc>
          <w:tcPr>
            <w:tcW w:w="0" w:type="dxa"/>
            <w:vAlign w:val="bottom"/>
          </w:tcPr>
          <w:p>
            <w:pPr>
              <w:spacing w:after="0"/>
              <w:rPr>
                <w:sz w:val="1"/>
                <w:szCs w:val="1"/>
                <w:color w:val="auto"/>
              </w:rPr>
            </w:pPr>
          </w:p>
        </w:tc>
      </w:tr>
      <w:tr>
        <w:trPr>
          <w:trHeight w:val="222"/>
        </w:trPr>
        <w:tc>
          <w:tcPr>
            <w:tcW w:w="4300" w:type="dxa"/>
            <w:vAlign w:val="bottom"/>
            <w:tcBorders>
              <w:bottom w:val="single" w:sz="8" w:color="CCEEFF"/>
            </w:tcBorders>
          </w:tcPr>
          <w:p>
            <w:pPr>
              <w:ind w:left="20"/>
              <w:spacing w:after="0" w:line="222" w:lineRule="exact"/>
              <w:rPr>
                <w:sz w:val="20"/>
                <w:szCs w:val="20"/>
                <w:color w:val="auto"/>
              </w:rPr>
            </w:pPr>
            <w:r>
              <w:rPr>
                <w:rFonts w:ascii="Times New Roman" w:cs="Times New Roman" w:eastAsia="Times New Roman" w:hAnsi="Times New Roman"/>
                <w:sz w:val="18"/>
                <w:szCs w:val="18"/>
                <w:b w:val="1"/>
                <w:bCs w:val="1"/>
                <w:color w:val="auto"/>
              </w:rPr>
              <w:t xml:space="preserve">Other Revenue </w:t>
            </w:r>
            <w:r>
              <w:rPr>
                <w:rFonts w:ascii="Times New Roman" w:cs="Times New Roman" w:eastAsia="Times New Roman" w:hAnsi="Times New Roman"/>
                <w:sz w:val="23"/>
                <w:szCs w:val="23"/>
                <w:b w:val="1"/>
                <w:bCs w:val="1"/>
                <w:color w:val="auto"/>
                <w:vertAlign w:val="superscript"/>
              </w:rPr>
              <w:t>(2)</w:t>
            </w: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7,134</w:t>
            </w:r>
          </w:p>
        </w:tc>
        <w:tc>
          <w:tcPr>
            <w:tcW w:w="0" w:type="dxa"/>
            <w:vAlign w:val="bottom"/>
          </w:tcPr>
          <w:p>
            <w:pPr>
              <w:spacing w:after="0"/>
              <w:rPr>
                <w:sz w:val="1"/>
                <w:szCs w:val="1"/>
                <w:color w:val="auto"/>
              </w:rPr>
            </w:pPr>
          </w:p>
        </w:tc>
      </w:tr>
      <w:tr>
        <w:trPr>
          <w:trHeight w:val="208"/>
        </w:trPr>
        <w:tc>
          <w:tcPr>
            <w:tcW w:w="4300" w:type="dxa"/>
            <w:vAlign w:val="bottom"/>
            <w:shd w:val="clear" w:color="auto" w:fill="CCEEFF"/>
          </w:tcPr>
          <w:p>
            <w:pPr>
              <w:ind w:left="20"/>
              <w:spacing w:after="0" w:line="209" w:lineRule="exact"/>
              <w:rPr>
                <w:sz w:val="20"/>
                <w:szCs w:val="20"/>
                <w:color w:val="auto"/>
              </w:rPr>
            </w:pPr>
            <w:r>
              <w:rPr>
                <w:rFonts w:ascii="Times New Roman" w:cs="Times New Roman" w:eastAsia="Times New Roman" w:hAnsi="Times New Roman"/>
                <w:sz w:val="18"/>
                <w:szCs w:val="18"/>
                <w:b w:val="1"/>
                <w:bCs w:val="1"/>
                <w:color w:val="auto"/>
              </w:rPr>
              <w:t xml:space="preserve">Totals </w:t>
            </w:r>
            <w:r>
              <w:rPr>
                <w:rFonts w:ascii="Times New Roman" w:cs="Times New Roman" w:eastAsia="Times New Roman" w:hAnsi="Times New Roman"/>
                <w:sz w:val="23"/>
                <w:szCs w:val="23"/>
                <w:b w:val="1"/>
                <w:bCs w:val="1"/>
                <w:color w:val="auto"/>
                <w:vertAlign w:val="superscript"/>
              </w:rPr>
              <w:t>(3)</w:t>
            </w:r>
          </w:p>
        </w:tc>
        <w:tc>
          <w:tcPr>
            <w:tcW w:w="3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United States</w:t>
            </w: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188,474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179,537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357,638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340,157</w:t>
            </w:r>
          </w:p>
        </w:tc>
        <w:tc>
          <w:tcPr>
            <w:tcW w:w="0" w:type="dxa"/>
            <w:vAlign w:val="bottom"/>
          </w:tcPr>
          <w:p>
            <w:pPr>
              <w:spacing w:after="0"/>
              <w:rPr>
                <w:sz w:val="1"/>
                <w:szCs w:val="1"/>
                <w:color w:val="auto"/>
              </w:rPr>
            </w:pPr>
          </w:p>
        </w:tc>
      </w:tr>
      <w:tr>
        <w:trPr>
          <w:trHeight w:val="228"/>
        </w:trPr>
        <w:tc>
          <w:tcPr>
            <w:tcW w:w="4300" w:type="dxa"/>
            <w:vAlign w:val="bottom"/>
            <w:shd w:val="clear" w:color="auto" w:fill="CCEEFF"/>
          </w:tcPr>
          <w:p>
            <w:pPr>
              <w:ind w:left="240"/>
              <w:spacing w:after="0" w:line="229" w:lineRule="exact"/>
              <w:rPr>
                <w:sz w:val="20"/>
                <w:szCs w:val="20"/>
                <w:color w:val="auto"/>
              </w:rPr>
            </w:pPr>
            <w:r>
              <w:rPr>
                <w:rFonts w:ascii="Times New Roman" w:cs="Times New Roman" w:eastAsia="Times New Roman" w:hAnsi="Times New Roman"/>
                <w:sz w:val="18"/>
                <w:szCs w:val="18"/>
                <w:color w:val="auto"/>
              </w:rPr>
              <w:t xml:space="preserve">Europe </w:t>
            </w:r>
            <w:r>
              <w:rPr>
                <w:rFonts w:ascii="Times New Roman" w:cs="Times New Roman" w:eastAsia="Times New Roman" w:hAnsi="Times New Roman"/>
                <w:sz w:val="23"/>
                <w:szCs w:val="23"/>
                <w:color w:val="auto"/>
                <w:vertAlign w:val="superscript"/>
              </w:rPr>
              <w:t>(1)</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66,776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51,258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126,477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105,599</w:t>
            </w:r>
          </w:p>
        </w:tc>
        <w:tc>
          <w:tcPr>
            <w:tcW w:w="0" w:type="dxa"/>
            <w:vAlign w:val="bottom"/>
          </w:tcPr>
          <w:p>
            <w:pPr>
              <w:spacing w:after="0"/>
              <w:rPr>
                <w:sz w:val="1"/>
                <w:szCs w:val="1"/>
                <w:color w:val="auto"/>
              </w:rPr>
            </w:pPr>
          </w:p>
        </w:tc>
      </w:tr>
      <w:tr>
        <w:trPr>
          <w:trHeight w:val="228"/>
        </w:trPr>
        <w:tc>
          <w:tcPr>
            <w:tcW w:w="4300" w:type="dxa"/>
            <w:vAlign w:val="bottom"/>
            <w:tcBorders>
              <w:bottom w:val="single" w:sz="8" w:color="CCEEFF"/>
            </w:tcBorders>
          </w:tcPr>
          <w:p>
            <w:pPr>
              <w:ind w:left="240"/>
              <w:spacing w:after="0" w:line="229" w:lineRule="exact"/>
              <w:rPr>
                <w:sz w:val="20"/>
                <w:szCs w:val="20"/>
                <w:color w:val="auto"/>
              </w:rPr>
            </w:pPr>
            <w:r>
              <w:rPr>
                <w:rFonts w:ascii="Times New Roman" w:cs="Times New Roman" w:eastAsia="Times New Roman" w:hAnsi="Times New Roman"/>
                <w:sz w:val="18"/>
                <w:szCs w:val="18"/>
                <w:color w:val="auto"/>
              </w:rPr>
              <w:t xml:space="preserve">Rest of World </w:t>
            </w:r>
            <w:r>
              <w:rPr>
                <w:rFonts w:ascii="Times New Roman" w:cs="Times New Roman" w:eastAsia="Times New Roman" w:hAnsi="Times New Roman"/>
                <w:sz w:val="23"/>
                <w:szCs w:val="23"/>
                <w:color w:val="auto"/>
                <w:vertAlign w:val="superscript"/>
              </w:rPr>
              <w:t>(1)</w:t>
            </w: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97,274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87,780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185,264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167,731</w:t>
            </w:r>
          </w:p>
        </w:tc>
        <w:tc>
          <w:tcPr>
            <w:tcW w:w="0" w:type="dxa"/>
            <w:vAlign w:val="bottom"/>
          </w:tcPr>
          <w:p>
            <w:pPr>
              <w:spacing w:after="0"/>
              <w:rPr>
                <w:sz w:val="1"/>
                <w:szCs w:val="1"/>
                <w:color w:val="auto"/>
              </w:rPr>
            </w:pPr>
          </w:p>
        </w:tc>
      </w:tr>
      <w:tr>
        <w:trPr>
          <w:trHeight w:val="247"/>
        </w:trPr>
        <w:tc>
          <w:tcPr>
            <w:tcW w:w="43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352,524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318,575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669,379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613,487</w:t>
            </w: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660" w:hanging="330"/>
        <w:spacing w:after="0" w:line="231" w:lineRule="auto"/>
        <w:tabs>
          <w:tab w:leader="none" w:pos="654" w:val="left"/>
        </w:tabs>
        <w:numPr>
          <w:ilvl w:val="0"/>
          <w:numId w:val="10"/>
        </w:numPr>
        <w:rPr>
          <w:rFonts w:ascii="Arial" w:cs="Arial" w:eastAsia="Arial" w:hAnsi="Arial"/>
          <w:sz w:val="21"/>
          <w:szCs w:val="21"/>
          <w:color w:val="auto"/>
          <w:vertAlign w:val="superscript"/>
        </w:rPr>
      </w:pPr>
      <w:r>
        <w:rPr>
          <w:rFonts w:ascii="Times New Roman" w:cs="Times New Roman" w:eastAsia="Times New Roman" w:hAnsi="Times New Roman"/>
          <w:sz w:val="16"/>
          <w:szCs w:val="16"/>
          <w:color w:val="auto"/>
        </w:rPr>
        <w:t>“Europe” includes the UK, Germany, France, Italy, the Netherlands, Spain, Belgium, Poland, Sweden, Switzerland, Austria, Norway, Portugal, Finland, and Denmark. Excluding Europe and the U.S., “Rest of World” includes all other countries where LivaNova operates.</w:t>
      </w:r>
    </w:p>
    <w:p>
      <w:pPr>
        <w:spacing w:after="0" w:line="7" w:lineRule="exact"/>
        <w:rPr>
          <w:rFonts w:ascii="Arial" w:cs="Arial" w:eastAsia="Arial" w:hAnsi="Arial"/>
          <w:sz w:val="21"/>
          <w:szCs w:val="21"/>
          <w:color w:val="auto"/>
          <w:vertAlign w:val="superscript"/>
        </w:rPr>
      </w:pPr>
    </w:p>
    <w:p>
      <w:pPr>
        <w:ind w:left="660" w:hanging="330"/>
        <w:spacing w:after="0" w:line="231" w:lineRule="auto"/>
        <w:tabs>
          <w:tab w:leader="none" w:pos="648" w:val="left"/>
        </w:tabs>
        <w:numPr>
          <w:ilvl w:val="0"/>
          <w:numId w:val="1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“Other Revenue” includes rental and site services income not allocated to segments. In addition, for the three and six months ended June 30, 2024, “Other Revenue” includes revenue from the Company’s former ACS reportable segment.</w:t>
      </w:r>
    </w:p>
    <w:p>
      <w:pPr>
        <w:spacing w:after="0" w:line="1" w:lineRule="exact"/>
        <w:rPr>
          <w:rFonts w:ascii="Times New Roman" w:cs="Times New Roman" w:eastAsia="Times New Roman" w:hAnsi="Times New Roman"/>
          <w:sz w:val="21"/>
          <w:szCs w:val="21"/>
          <w:color w:val="auto"/>
          <w:vertAlign w:val="superscript"/>
        </w:rPr>
      </w:pPr>
    </w:p>
    <w:p>
      <w:pPr>
        <w:ind w:left="660" w:hanging="330"/>
        <w:spacing w:after="0" w:line="227" w:lineRule="auto"/>
        <w:tabs>
          <w:tab w:leader="none" w:pos="648" w:val="left"/>
        </w:tabs>
        <w:numPr>
          <w:ilvl w:val="0"/>
          <w:numId w:val="1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No single customer represented over 10% of the Company’s consolidated net revenue. No country’s net revenue exceeded 10% of the Company’s consolidated net revenue except for the U.S.</w:t>
      </w:r>
    </w:p>
    <w:p>
      <w:pPr>
        <w:spacing w:after="0" w:line="9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LivaNova defines segment income as operating income before restructuring expense, amortization of intangible assets, the Saluggia site provision, merger and integration expense, and other income and expense not allocated to segments. Other income and expense not allocated to segments primarily includes corporate expense, rental income, and the results of LivaNova’s former ACS reportable segment. LivaNova’s CODM is the Company’s CEO, who is regularly provided the results comprising segment income to make strategic business decisions, including, but not limited to, evaluation of the Company’s business portfolio, R&amp;D investment decisions, and consideration of the Company’s organizational structure.</w:t>
      </w:r>
    </w:p>
    <w:p>
      <w:pPr>
        <w:spacing w:after="0" w:line="200" w:lineRule="exact"/>
        <w:rPr>
          <w:sz w:val="20"/>
          <w:szCs w:val="20"/>
          <w:color w:val="auto"/>
        </w:rPr>
      </w:pPr>
    </w:p>
    <w:p>
      <w:pPr>
        <w:spacing w:after="0" w:line="31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149225</wp:posOffset>
            </wp:positionV>
            <wp:extent cx="71583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color w:val="auto"/>
        </w:rPr>
        <w:t>The following table presents a reconciliation of segment income to consolidated income (loss) before tax (in thousands):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300" w:type="dxa"/>
            <w:vAlign w:val="bottom"/>
          </w:tcPr>
          <w:p>
            <w:pPr>
              <w:spacing w:after="0"/>
              <w:rPr>
                <w:sz w:val="20"/>
                <w:szCs w:val="20"/>
                <w:color w:val="auto"/>
              </w:rPr>
            </w:pPr>
          </w:p>
        </w:tc>
        <w:tc>
          <w:tcPr>
            <w:tcW w:w="3520" w:type="dxa"/>
            <w:vAlign w:val="bottom"/>
            <w:gridSpan w:val="6"/>
          </w:tcPr>
          <w:p>
            <w:pPr>
              <w:ind w:left="56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80" w:type="dxa"/>
            <w:vAlign w:val="bottom"/>
          </w:tcPr>
          <w:p>
            <w:pPr>
              <w:spacing w:after="0"/>
              <w:rPr>
                <w:sz w:val="20"/>
                <w:szCs w:val="20"/>
                <w:color w:val="auto"/>
              </w:rPr>
            </w:pPr>
          </w:p>
        </w:tc>
        <w:tc>
          <w:tcPr>
            <w:tcW w:w="3040" w:type="dxa"/>
            <w:vAlign w:val="bottom"/>
            <w:gridSpan w:val="4"/>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2"/>
        </w:trPr>
        <w:tc>
          <w:tcPr>
            <w:tcW w:w="4300" w:type="dxa"/>
            <w:vAlign w:val="bottom"/>
            <w:tcBorders>
              <w:bottom w:val="single" w:sz="8" w:color="CCEEFF"/>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2"/>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Cardiopulmonary</w:t>
            </w:r>
          </w:p>
        </w:tc>
        <w:tc>
          <w:tcPr>
            <w:tcW w:w="102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31,407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19,627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56,098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34,338</w:t>
            </w:r>
          </w:p>
        </w:tc>
      </w:tr>
      <w:tr>
        <w:trPr>
          <w:trHeight w:val="228"/>
        </w:trPr>
        <w:tc>
          <w:tcPr>
            <w:tcW w:w="4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Neuromodulation</w:t>
            </w:r>
          </w:p>
        </w:tc>
        <w:tc>
          <w:tcPr>
            <w:tcW w:w="10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56,020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54,812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108,373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101,490</w:t>
            </w:r>
          </w:p>
        </w:tc>
      </w:tr>
      <w:tr>
        <w:trPr>
          <w:trHeight w:val="222"/>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income</w:t>
            </w:r>
          </w:p>
        </w:tc>
        <w:tc>
          <w:tcPr>
            <w:tcW w:w="10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87,427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74,439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164,471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135,828</w:t>
            </w:r>
          </w:p>
        </w:tc>
      </w:tr>
      <w:tr>
        <w:trPr>
          <w:trHeight w:val="228"/>
        </w:trPr>
        <w:tc>
          <w:tcPr>
            <w:tcW w:w="4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expense</w:t>
            </w:r>
          </w:p>
        </w:tc>
        <w:tc>
          <w:tcPr>
            <w:tcW w:w="10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(33,244)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(34,273)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(61,671)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(79,416)</w:t>
            </w:r>
          </w:p>
        </w:tc>
      </w:tr>
      <w:tr>
        <w:trPr>
          <w:trHeight w:val="222"/>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0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54,183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40,166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56,412</w:t>
            </w:r>
          </w:p>
        </w:tc>
      </w:tr>
      <w:tr>
        <w:trPr>
          <w:trHeight w:val="228"/>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SNIA environmental liability expense</w:t>
            </w:r>
          </w:p>
        </w:tc>
        <w:tc>
          <w:tcPr>
            <w:tcW w:w="10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(362,070)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430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Interest expense </w:t>
            </w:r>
            <w:r>
              <w:rPr>
                <w:rFonts w:ascii="Times New Roman" w:cs="Times New Roman" w:eastAsia="Times New Roman" w:hAnsi="Times New Roman"/>
                <w:sz w:val="23"/>
                <w:szCs w:val="23"/>
                <w:color w:val="auto"/>
                <w:vertAlign w:val="superscript"/>
              </w:rPr>
              <w:t>(1)</w:t>
            </w:r>
          </w:p>
        </w:tc>
        <w:tc>
          <w:tcPr>
            <w:tcW w:w="10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(12,280)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(27,566)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(31,425)</w:t>
            </w:r>
          </w:p>
        </w:tc>
      </w:tr>
      <w:tr>
        <w:trPr>
          <w:trHeight w:val="228"/>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10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(25,482)</w:t>
            </w:r>
          </w:p>
        </w:tc>
      </w:tr>
      <w:tr>
        <w:trPr>
          <w:trHeight w:val="228"/>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and other income/(expense)</w:t>
            </w:r>
          </w:p>
        </w:tc>
        <w:tc>
          <w:tcPr>
            <w:tcW w:w="10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(12,116)</w:t>
            </w:r>
          </w:p>
        </w:tc>
      </w:tr>
      <w:tr>
        <w:trPr>
          <w:trHeight w:val="222"/>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before tax</w:t>
            </w:r>
          </w:p>
        </w:tc>
        <w:tc>
          <w:tcPr>
            <w:tcW w:w="102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33,320</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21,589</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(282,326)</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(12,611)</w:t>
            </w:r>
          </w:p>
        </w:tc>
      </w:tr>
      <w:tr>
        <w:trPr>
          <w:trHeight w:val="20"/>
        </w:trPr>
        <w:tc>
          <w:tcPr>
            <w:tcW w:w="43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47" w:lineRule="exact"/>
        <w:rPr>
          <w:sz w:val="20"/>
          <w:szCs w:val="20"/>
          <w:color w:val="auto"/>
        </w:rPr>
      </w:pPr>
    </w:p>
    <w:p>
      <w:pPr>
        <w:jc w:val="both"/>
        <w:ind w:left="660" w:hanging="330"/>
        <w:spacing w:after="0" w:line="241" w:lineRule="auto"/>
        <w:tabs>
          <w:tab w:leader="none" w:pos="648" w:val="left"/>
        </w:tabs>
        <w:numPr>
          <w:ilvl w:val="0"/>
          <w:numId w:val="1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“Interest expense” includes contractual interest expense associated with LivaNova’s short- and long-term financing arrangements and the amortization of debt discount and issuance costs of $5.7 million and $11.4 million for the three and six months ended June 30, 2025, respectively, and $5.3 million and $10.2 million for the three and six months ended June 30, 2024, respectively.</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the components of segment income, including significant expenses, of LivaNova’s reportable segments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3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Cardiopulmonary</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Neuromodulation</w:t>
            </w:r>
          </w:p>
        </w:tc>
        <w:tc>
          <w:tcPr>
            <w:tcW w:w="1020" w:type="dxa"/>
            <w:vAlign w:val="bottom"/>
            <w:tcBorders>
              <w:bottom w:val="single" w:sz="8" w:color="auto"/>
            </w:tcBorders>
          </w:tcPr>
          <w:p>
            <w:pPr>
              <w:spacing w:after="0"/>
              <w:rPr>
                <w:sz w:val="20"/>
                <w:szCs w:val="20"/>
                <w:color w:val="auto"/>
              </w:rPr>
            </w:pPr>
          </w:p>
        </w:tc>
      </w:tr>
      <w:tr>
        <w:trPr>
          <w:trHeight w:val="222"/>
        </w:trPr>
        <w:tc>
          <w:tcPr>
            <w:tcW w:w="43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080" w:type="dxa"/>
            <w:vAlign w:val="bottom"/>
            <w:tcBorders>
              <w:bottom w:val="single" w:sz="8" w:color="auto"/>
            </w:tcBorders>
            <w:gridSpan w:val="4"/>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080" w:type="dxa"/>
            <w:vAlign w:val="bottom"/>
            <w:tcBorders>
              <w:bottom w:val="single" w:sz="8" w:color="auto"/>
            </w:tcBorders>
            <w:gridSpan w:val="4"/>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r>
      <w:tr>
        <w:trPr>
          <w:trHeight w:val="222"/>
        </w:trPr>
        <w:tc>
          <w:tcPr>
            <w:tcW w:w="43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w w:val="99"/>
              </w:rPr>
              <w:t>2024</w:t>
            </w:r>
          </w:p>
        </w:tc>
      </w:tr>
      <w:tr>
        <w:trPr>
          <w:trHeight w:val="222"/>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199,272</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173,714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151,670</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142,876</w:t>
            </w:r>
          </w:p>
        </w:tc>
      </w:tr>
      <w:tr>
        <w:trPr>
          <w:trHeight w:val="228"/>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3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8"/>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95,465</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14,769</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12,203</w:t>
            </w:r>
          </w:p>
        </w:tc>
      </w:tr>
      <w:tr>
        <w:trPr>
          <w:trHeight w:val="228"/>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56,012</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50,941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51,097</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46,099</w:t>
            </w:r>
          </w:p>
        </w:tc>
      </w:tr>
      <w:tr>
        <w:trPr>
          <w:trHeight w:val="228"/>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16,465</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29,784</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29,762</w:t>
            </w:r>
          </w:p>
        </w:tc>
      </w:tr>
      <w:tr>
        <w:trPr>
          <w:trHeight w:val="228"/>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3T litigation provision</w:t>
            </w: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43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19,627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54,812</w:t>
            </w: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3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Cardiopulmonary</w:t>
            </w:r>
          </w:p>
        </w:tc>
        <w:tc>
          <w:tcPr>
            <w:tcW w:w="5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Neuromodulation</w:t>
            </w:r>
          </w:p>
        </w:tc>
        <w:tc>
          <w:tcPr>
            <w:tcW w:w="1020" w:type="dxa"/>
            <w:vAlign w:val="bottom"/>
            <w:tcBorders>
              <w:bottom w:val="single" w:sz="8" w:color="auto"/>
            </w:tcBorders>
          </w:tcPr>
          <w:p>
            <w:pPr>
              <w:spacing w:after="0"/>
              <w:rPr>
                <w:sz w:val="20"/>
                <w:szCs w:val="20"/>
                <w:color w:val="auto"/>
              </w:rPr>
            </w:pPr>
          </w:p>
        </w:tc>
      </w:tr>
      <w:tr>
        <w:trPr>
          <w:trHeight w:val="222"/>
        </w:trPr>
        <w:tc>
          <w:tcPr>
            <w:tcW w:w="43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980" w:type="dxa"/>
            <w:vAlign w:val="bottom"/>
            <w:tcBorders>
              <w:bottom w:val="single" w:sz="8" w:color="auto"/>
            </w:tcBorders>
            <w:gridSpan w:val="5"/>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080" w:type="dxa"/>
            <w:vAlign w:val="bottom"/>
            <w:tcBorders>
              <w:bottom w:val="single" w:sz="8" w:color="auto"/>
            </w:tcBorders>
            <w:gridSpan w:val="6"/>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2"/>
        </w:trPr>
        <w:tc>
          <w:tcPr>
            <w:tcW w:w="43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4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w w:val="99"/>
              </w:rPr>
              <w:t>2024</w:t>
            </w:r>
          </w:p>
        </w:tc>
      </w:tr>
      <w:tr>
        <w:trPr>
          <w:trHeight w:val="222"/>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375,592</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329,605</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290,563</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276,748</w:t>
            </w:r>
          </w:p>
        </w:tc>
      </w:tr>
      <w:tr>
        <w:trPr>
          <w:trHeight w:val="228"/>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8"/>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180,385</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162,885</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28,155</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22,531</w:t>
            </w:r>
          </w:p>
        </w:tc>
      </w:tr>
      <w:tr>
        <w:trPr>
          <w:trHeight w:val="228"/>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109,971</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97,504</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98,667</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91,793</w:t>
            </w:r>
          </w:p>
        </w:tc>
      </w:tr>
      <w:tr>
        <w:trPr>
          <w:trHeight w:val="228"/>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28,509</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25,781</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55,368</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60,934</w:t>
            </w:r>
          </w:p>
        </w:tc>
      </w:tr>
      <w:tr>
        <w:trPr>
          <w:trHeight w:val="228"/>
        </w:trPr>
        <w:tc>
          <w:tcPr>
            <w:tcW w:w="4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3T litigation provision</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9,097</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43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56,098</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34,338</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108,373</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101,490</w:t>
            </w: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377"/>
        </w:trPr>
        <w:tc>
          <w:tcPr>
            <w:tcW w:w="60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following table presents assets by reportable segment (in thousands):</w:t>
            </w: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68"/>
        </w:trPr>
        <w:tc>
          <w:tcPr>
            <w:tcW w:w="4300" w:type="dxa"/>
            <w:vAlign w:val="bottom"/>
            <w:tcBorders>
              <w:bottom w:val="single" w:sz="8" w:color="CCEEFF"/>
            </w:tcBorders>
          </w:tcPr>
          <w:p>
            <w:pPr>
              <w:spacing w:after="0"/>
              <w:rPr>
                <w:sz w:val="23"/>
                <w:szCs w:val="23"/>
                <w:color w:val="auto"/>
              </w:rPr>
            </w:pPr>
          </w:p>
        </w:tc>
        <w:tc>
          <w:tcPr>
            <w:tcW w:w="380" w:type="dxa"/>
            <w:vAlign w:val="bottom"/>
            <w:tcBorders>
              <w:bottom w:val="single" w:sz="8" w:color="CCEEFF"/>
            </w:tcBorders>
          </w:tcPr>
          <w:p>
            <w:pPr>
              <w:spacing w:after="0"/>
              <w:rPr>
                <w:sz w:val="23"/>
                <w:szCs w:val="23"/>
                <w:color w:val="auto"/>
              </w:rPr>
            </w:pPr>
          </w:p>
        </w:tc>
        <w:tc>
          <w:tcPr>
            <w:tcW w:w="128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640" w:type="dxa"/>
            <w:vAlign w:val="bottom"/>
            <w:tcBorders>
              <w:bottom w:val="single" w:sz="8" w:color="CCEEFF"/>
            </w:tcBorders>
          </w:tcPr>
          <w:p>
            <w:pPr>
              <w:spacing w:after="0"/>
              <w:rPr>
                <w:sz w:val="23"/>
                <w:szCs w:val="23"/>
                <w:color w:val="auto"/>
              </w:rPr>
            </w:pPr>
          </w:p>
        </w:tc>
        <w:tc>
          <w:tcPr>
            <w:tcW w:w="500" w:type="dxa"/>
            <w:vAlign w:val="bottom"/>
            <w:tcBorders>
              <w:bottom w:val="single" w:sz="8" w:color="CCEEFF"/>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gridSpan w:val="4"/>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w w:val="99"/>
              </w:rPr>
              <w:t>June 30, 2025</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760" w:type="dxa"/>
            <w:vAlign w:val="bottom"/>
            <w:tcBorders>
              <w:bottom w:val="single" w:sz="8" w:color="auto"/>
            </w:tcBorders>
            <w:gridSpan w:val="3"/>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22"/>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Cardiopulmonary</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1,013,888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900,672</w:t>
            </w:r>
          </w:p>
        </w:tc>
      </w:tr>
      <w:tr>
        <w:trPr>
          <w:trHeight w:val="228"/>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Neuromodulation</w:t>
            </w: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637,717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640,956</w:t>
            </w:r>
          </w:p>
        </w:tc>
      </w:tr>
      <w:tr>
        <w:trPr>
          <w:trHeight w:val="228"/>
        </w:trPr>
        <w:tc>
          <w:tcPr>
            <w:tcW w:w="430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Other assets </w:t>
            </w:r>
            <w:r>
              <w:rPr>
                <w:rFonts w:ascii="Times New Roman" w:cs="Times New Roman" w:eastAsia="Times New Roman" w:hAnsi="Times New Roman"/>
                <w:sz w:val="23"/>
                <w:szCs w:val="23"/>
                <w:color w:val="auto"/>
                <w:vertAlign w:val="superscript"/>
              </w:rPr>
              <w:t>(1)</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855,097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964,761</w:t>
            </w:r>
          </w:p>
        </w:tc>
      </w:tr>
      <w:tr>
        <w:trPr>
          <w:trHeight w:val="222"/>
        </w:trPr>
        <w:tc>
          <w:tcPr>
            <w:tcW w:w="4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2,506,702</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2,506,389</w:t>
            </w:r>
          </w:p>
        </w:tc>
      </w:tr>
      <w:tr>
        <w:trPr>
          <w:trHeight w:val="20"/>
        </w:trPr>
        <w:tc>
          <w:tcPr>
            <w:tcW w:w="4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56" w:lineRule="exact"/>
        <w:rPr>
          <w:sz w:val="20"/>
          <w:szCs w:val="20"/>
          <w:color w:val="auto"/>
        </w:rPr>
      </w:pPr>
    </w:p>
    <w:p>
      <w:pPr>
        <w:ind w:left="640" w:hanging="310"/>
        <w:spacing w:after="0"/>
        <w:tabs>
          <w:tab w:leader="none" w:pos="640" w:val="left"/>
        </w:tabs>
        <w:numPr>
          <w:ilvl w:val="0"/>
          <w:numId w:val="1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“Other assets” primarily includes corporate assets not allocated to segments.</w:t>
      </w:r>
    </w:p>
    <w:p>
      <w:pPr>
        <w:spacing w:after="0" w:line="200" w:lineRule="exact"/>
        <w:rPr>
          <w:sz w:val="20"/>
          <w:szCs w:val="20"/>
          <w:color w:val="auto"/>
        </w:rPr>
      </w:pPr>
    </w:p>
    <w:p>
      <w:pPr>
        <w:spacing w:after="0" w:line="3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149225</wp:posOffset>
            </wp:positionV>
            <wp:extent cx="71583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color w:val="auto"/>
        </w:rPr>
        <w:t>The following table presents capital expenditures by reportable segment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300" w:type="dxa"/>
            <w:vAlign w:val="bottom"/>
          </w:tcPr>
          <w:p>
            <w:pPr>
              <w:spacing w:after="0"/>
              <w:rPr>
                <w:sz w:val="20"/>
                <w:szCs w:val="20"/>
                <w:color w:val="auto"/>
              </w:rPr>
            </w:pPr>
          </w:p>
        </w:tc>
        <w:tc>
          <w:tcPr>
            <w:tcW w:w="3520" w:type="dxa"/>
            <w:vAlign w:val="bottom"/>
            <w:gridSpan w:val="6"/>
          </w:tcPr>
          <w:p>
            <w:pPr>
              <w:ind w:left="56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80" w:type="dxa"/>
            <w:vAlign w:val="bottom"/>
          </w:tcPr>
          <w:p>
            <w:pPr>
              <w:spacing w:after="0"/>
              <w:rPr>
                <w:sz w:val="20"/>
                <w:szCs w:val="20"/>
                <w:color w:val="auto"/>
              </w:rPr>
            </w:pPr>
          </w:p>
        </w:tc>
        <w:tc>
          <w:tcPr>
            <w:tcW w:w="3040" w:type="dxa"/>
            <w:vAlign w:val="bottom"/>
            <w:gridSpan w:val="4"/>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2"/>
        </w:trPr>
        <w:tc>
          <w:tcPr>
            <w:tcW w:w="4300" w:type="dxa"/>
            <w:vAlign w:val="bottom"/>
            <w:tcBorders>
              <w:bottom w:val="single" w:sz="8" w:color="CCEEFF"/>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2"/>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Cardiopulmonary</w:t>
            </w:r>
          </w:p>
        </w:tc>
        <w:tc>
          <w:tcPr>
            <w:tcW w:w="106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11,274</w:t>
            </w:r>
          </w:p>
        </w:tc>
      </w:tr>
      <w:tr>
        <w:trPr>
          <w:trHeight w:val="228"/>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Neuromodulation</w:t>
            </w:r>
          </w:p>
        </w:tc>
        <w:tc>
          <w:tcPr>
            <w:tcW w:w="10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w:t>
            </w:r>
          </w:p>
        </w:tc>
      </w:tr>
      <w:tr>
        <w:trPr>
          <w:trHeight w:val="228"/>
        </w:trPr>
        <w:tc>
          <w:tcPr>
            <w:tcW w:w="430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Other capital expenditures </w:t>
            </w:r>
            <w:r>
              <w:rPr>
                <w:rFonts w:ascii="Times New Roman" w:cs="Times New Roman" w:eastAsia="Times New Roman" w:hAnsi="Times New Roman"/>
                <w:sz w:val="23"/>
                <w:szCs w:val="23"/>
                <w:color w:val="auto"/>
                <w:vertAlign w:val="superscript"/>
              </w:rPr>
              <w:t>(1)</w:t>
            </w:r>
          </w:p>
        </w:tc>
        <w:tc>
          <w:tcPr>
            <w:tcW w:w="10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7,923</w:t>
            </w:r>
          </w:p>
        </w:tc>
      </w:tr>
      <w:tr>
        <w:trPr>
          <w:trHeight w:val="222"/>
        </w:trPr>
        <w:tc>
          <w:tcPr>
            <w:tcW w:w="4300" w:type="dxa"/>
            <w:vAlign w:val="bottom"/>
          </w:tcPr>
          <w:p>
            <w:pPr>
              <w:spacing w:after="0"/>
              <w:rPr>
                <w:sz w:val="19"/>
                <w:szCs w:val="19"/>
                <w:color w:val="auto"/>
              </w:rPr>
            </w:pPr>
          </w:p>
        </w:tc>
        <w:tc>
          <w:tcPr>
            <w:tcW w:w="106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17,373</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13,751</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27,677</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20,198</w:t>
            </w:r>
          </w:p>
        </w:tc>
      </w:tr>
      <w:tr>
        <w:trPr>
          <w:trHeight w:val="20"/>
        </w:trPr>
        <w:tc>
          <w:tcPr>
            <w:tcW w:w="43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ind w:left="640" w:hanging="310"/>
        <w:spacing w:after="0"/>
        <w:tabs>
          <w:tab w:leader="none" w:pos="640" w:val="left"/>
        </w:tabs>
        <w:numPr>
          <w:ilvl w:val="0"/>
          <w:numId w:val="1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“Other capital expenditures” primarily includes corporate capital expenditures not allocated to segments.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changes in the carrying amount of goodwill by reportable segment for the six months ended June 30, 2025 (in thousands):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Cardiopulmonary</w:t>
            </w:r>
          </w:p>
        </w:tc>
        <w:tc>
          <w:tcPr>
            <w:tcW w:w="200" w:type="dxa"/>
            <w:vAlign w:val="bottom"/>
          </w:tcPr>
          <w:p>
            <w:pPr>
              <w:spacing w:after="0"/>
              <w:rPr>
                <w:sz w:val="20"/>
                <w:szCs w:val="20"/>
                <w:color w:val="auto"/>
              </w:rPr>
            </w:pPr>
          </w:p>
        </w:tc>
        <w:tc>
          <w:tcPr>
            <w:tcW w:w="18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Neuromodulation</w:t>
            </w:r>
          </w:p>
        </w:tc>
        <w:tc>
          <w:tcPr>
            <w:tcW w:w="440" w:type="dxa"/>
            <w:vAlign w:val="bottom"/>
          </w:tcPr>
          <w:p>
            <w:pPr>
              <w:spacing w:after="0"/>
              <w:rPr>
                <w:sz w:val="20"/>
                <w:szCs w:val="20"/>
                <w:color w:val="auto"/>
              </w:rPr>
            </w:pPr>
          </w:p>
        </w:tc>
        <w:tc>
          <w:tcPr>
            <w:tcW w:w="150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2"/>
        </w:trPr>
        <w:tc>
          <w:tcPr>
            <w:tcW w:w="5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2024</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351,252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398,754</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750,006</w:t>
            </w:r>
          </w:p>
        </w:tc>
      </w:tr>
      <w:tr>
        <w:trPr>
          <w:trHeight w:val="228"/>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adjustments</w:t>
            </w: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43,359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43,359</w:t>
            </w:r>
          </w:p>
        </w:tc>
      </w:tr>
      <w:tr>
        <w:trPr>
          <w:trHeight w:val="247"/>
        </w:trPr>
        <w:tc>
          <w:tcPr>
            <w:tcW w:w="5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30, 2025</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394,611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398,754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793,365</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Geographic Information</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property, plant, and equipment, net by geographic region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80" w:type="dxa"/>
            <w:vAlign w:val="bottom"/>
          </w:tcPr>
          <w:p>
            <w:pPr>
              <w:spacing w:after="0"/>
              <w:rPr>
                <w:sz w:val="20"/>
                <w:szCs w:val="20"/>
                <w:color w:val="auto"/>
              </w:rPr>
            </w:pPr>
          </w:p>
        </w:tc>
        <w:tc>
          <w:tcPr>
            <w:tcW w:w="17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22"/>
        </w:trPr>
        <w:tc>
          <w:tcPr>
            <w:tcW w:w="7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70,226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65,170</w:t>
            </w:r>
          </w:p>
        </w:tc>
      </w:tr>
      <w:tr>
        <w:trPr>
          <w:trHeight w:val="228"/>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3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110,673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94,394</w:t>
            </w:r>
          </w:p>
        </w:tc>
      </w:tr>
      <w:tr>
        <w:trPr>
          <w:trHeight w:val="228"/>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 of World</w:t>
            </w:r>
          </w:p>
        </w:tc>
        <w:tc>
          <w:tcPr>
            <w:tcW w:w="3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10,696</w:t>
            </w:r>
          </w:p>
        </w:tc>
      </w:tr>
      <w:tr>
        <w:trPr>
          <w:trHeight w:val="222"/>
        </w:trPr>
        <w:tc>
          <w:tcPr>
            <w:tcW w:w="72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195,418</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170,260</w:t>
            </w:r>
          </w:p>
        </w:tc>
      </w:tr>
      <w:tr>
        <w:trPr>
          <w:trHeight w:val="20"/>
        </w:trPr>
        <w:tc>
          <w:tcPr>
            <w:tcW w:w="7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11. Supplemental Financial Information</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components of inventories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80" w:type="dxa"/>
            <w:vAlign w:val="bottom"/>
          </w:tcPr>
          <w:p>
            <w:pPr>
              <w:spacing w:after="0"/>
              <w:rPr>
                <w:sz w:val="20"/>
                <w:szCs w:val="20"/>
                <w:color w:val="auto"/>
              </w:rPr>
            </w:pPr>
          </w:p>
        </w:tc>
        <w:tc>
          <w:tcPr>
            <w:tcW w:w="17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22"/>
        </w:trPr>
        <w:tc>
          <w:tcPr>
            <w:tcW w:w="7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77,047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71,949</w:t>
            </w:r>
          </w:p>
        </w:tc>
      </w:tr>
      <w:tr>
        <w:trPr>
          <w:trHeight w:val="228"/>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Work-in-process</w:t>
            </w:r>
          </w:p>
        </w:tc>
        <w:tc>
          <w:tcPr>
            <w:tcW w:w="3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16,333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12,322</w:t>
            </w:r>
          </w:p>
        </w:tc>
      </w:tr>
      <w:tr>
        <w:trPr>
          <w:trHeight w:val="228"/>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3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71,970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63,295</w:t>
            </w:r>
          </w:p>
        </w:tc>
      </w:tr>
      <w:tr>
        <w:trPr>
          <w:trHeight w:val="222"/>
        </w:trPr>
        <w:tc>
          <w:tcPr>
            <w:tcW w:w="72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165,350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147,566</w:t>
            </w:r>
          </w:p>
        </w:tc>
      </w:tr>
      <w:tr>
        <w:trPr>
          <w:trHeight w:val="20"/>
        </w:trPr>
        <w:tc>
          <w:tcPr>
            <w:tcW w:w="7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183"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8"/>
          <w:szCs w:val="18"/>
          <w:color w:val="auto"/>
        </w:rPr>
        <w:t>As of June 30, 2025 and December 31, 2024, inventories included adjustments totaling $21.8 million and $16.4 million, respectively, to record balances at the lower of cost or net realizable value.</w:t>
      </w:r>
    </w:p>
    <w:p>
      <w:pPr>
        <w:spacing w:after="0" w:line="200" w:lineRule="exact"/>
        <w:rPr>
          <w:sz w:val="20"/>
          <w:szCs w:val="20"/>
          <w:color w:val="auto"/>
        </w:rPr>
      </w:pPr>
    </w:p>
    <w:p>
      <w:pPr>
        <w:spacing w:after="0" w:line="28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140335</wp:posOffset>
            </wp:positionV>
            <wp:extent cx="71583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34"/>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presents the components of accrued liabilities and other (in thousands):</w:t>
            </w:r>
          </w:p>
        </w:tc>
        <w:tc>
          <w:tcPr>
            <w:tcW w:w="3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376"/>
        </w:trPr>
        <w:tc>
          <w:tcPr>
            <w:tcW w:w="7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80" w:type="dxa"/>
            <w:vAlign w:val="bottom"/>
          </w:tcPr>
          <w:p>
            <w:pPr>
              <w:spacing w:after="0"/>
              <w:rPr>
                <w:sz w:val="24"/>
                <w:szCs w:val="24"/>
                <w:color w:val="auto"/>
              </w:rPr>
            </w:pPr>
          </w:p>
        </w:tc>
        <w:tc>
          <w:tcPr>
            <w:tcW w:w="17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22"/>
        </w:trPr>
        <w:tc>
          <w:tcPr>
            <w:tcW w:w="7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Italian MedTech payback measure</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19,690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15,981</w:t>
            </w:r>
          </w:p>
        </w:tc>
      </w:tr>
      <w:tr>
        <w:trPr>
          <w:trHeight w:val="228"/>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Legal and professional costs</w:t>
            </w:r>
          </w:p>
        </w:tc>
        <w:tc>
          <w:tcPr>
            <w:tcW w:w="3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18,972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17,379</w:t>
            </w:r>
          </w:p>
        </w:tc>
      </w:tr>
      <w:tr>
        <w:trPr>
          <w:trHeight w:val="228"/>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3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10,848</w:t>
            </w:r>
          </w:p>
        </w:tc>
      </w:tr>
      <w:tr>
        <w:trPr>
          <w:trHeight w:val="228"/>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9,040</w:t>
            </w:r>
          </w:p>
        </w:tc>
      </w:tr>
      <w:tr>
        <w:trPr>
          <w:trHeight w:val="228"/>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payable</w:t>
            </w:r>
          </w:p>
        </w:tc>
        <w:tc>
          <w:tcPr>
            <w:tcW w:w="3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9,479</w:t>
            </w:r>
          </w:p>
        </w:tc>
      </w:tr>
      <w:tr>
        <w:trPr>
          <w:trHeight w:val="228"/>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Provisions for agents, returns, and other</w:t>
            </w:r>
          </w:p>
        </w:tc>
        <w:tc>
          <w:tcPr>
            <w:tcW w:w="3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6,744</w:t>
            </w:r>
          </w:p>
        </w:tc>
      </w:tr>
      <w:tr>
        <w:trPr>
          <w:trHeight w:val="228"/>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Royalty accrual</w:t>
            </w:r>
          </w:p>
        </w:tc>
        <w:tc>
          <w:tcPr>
            <w:tcW w:w="3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4,466</w:t>
            </w:r>
          </w:p>
        </w:tc>
      </w:tr>
      <w:tr>
        <w:trPr>
          <w:trHeight w:val="228"/>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 costs</w:t>
            </w:r>
          </w:p>
        </w:tc>
        <w:tc>
          <w:tcPr>
            <w:tcW w:w="3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6,167</w:t>
            </w:r>
          </w:p>
        </w:tc>
      </w:tr>
      <w:tr>
        <w:trPr>
          <w:trHeight w:val="228"/>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derivative liabilities</w:t>
            </w:r>
          </w:p>
        </w:tc>
        <w:tc>
          <w:tcPr>
            <w:tcW w:w="3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2,915</w:t>
            </w:r>
          </w:p>
        </w:tc>
      </w:tr>
      <w:tr>
        <w:trPr>
          <w:trHeight w:val="228"/>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liabilities</w:t>
            </w:r>
          </w:p>
        </w:tc>
        <w:tc>
          <w:tcPr>
            <w:tcW w:w="300" w:type="dxa"/>
            <w:vAlign w:val="bottom"/>
          </w:tcPr>
          <w:p>
            <w:pPr>
              <w:spacing w:after="0"/>
              <w:rPr>
                <w:sz w:val="19"/>
                <w:szCs w:val="19"/>
                <w:color w:val="auto"/>
              </w:rPr>
            </w:pPr>
          </w:p>
        </w:tc>
        <w:tc>
          <w:tcPr>
            <w:tcW w:w="1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2,003</w:t>
            </w:r>
          </w:p>
        </w:tc>
      </w:tr>
      <w:tr>
        <w:trPr>
          <w:trHeight w:val="228"/>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accrued expenses</w:t>
            </w:r>
          </w:p>
        </w:tc>
        <w:tc>
          <w:tcPr>
            <w:tcW w:w="3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26,057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33,463</w:t>
            </w:r>
          </w:p>
        </w:tc>
      </w:tr>
      <w:tr>
        <w:trPr>
          <w:trHeight w:val="222"/>
        </w:trPr>
        <w:tc>
          <w:tcPr>
            <w:tcW w:w="72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103,240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118,485</w:t>
            </w:r>
          </w:p>
        </w:tc>
      </w:tr>
      <w:tr>
        <w:trPr>
          <w:trHeight w:val="20"/>
        </w:trPr>
        <w:tc>
          <w:tcPr>
            <w:tcW w:w="7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8"/>
          <w:szCs w:val="18"/>
          <w:color w:val="auto"/>
        </w:rPr>
        <w:t>As of June 30, 2025 and December 31, 2024, contract liabilities totaling $15.8 million and $14.7 million, respectively, were included in accrued liabilities and other long-term liabilities on the condensed consolidated balance sheets.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items included in foreign exchange and other income/(expense) on the condensed consolidated statements of income (loss)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96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00" w:type="dxa"/>
            <w:vAlign w:val="bottom"/>
          </w:tcPr>
          <w:p>
            <w:pPr>
              <w:spacing w:after="0"/>
              <w:rPr>
                <w:sz w:val="20"/>
                <w:szCs w:val="20"/>
                <w:color w:val="auto"/>
              </w:rPr>
            </w:pPr>
          </w:p>
        </w:tc>
        <w:tc>
          <w:tcPr>
            <w:tcW w:w="2780" w:type="dxa"/>
            <w:vAlign w:val="bottom"/>
            <w:gridSpan w:val="4"/>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2"/>
        </w:trPr>
        <w:tc>
          <w:tcPr>
            <w:tcW w:w="494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2"/>
        </w:trPr>
        <w:tc>
          <w:tcPr>
            <w:tcW w:w="4940" w:type="dxa"/>
            <w:vAlign w:val="bottom"/>
            <w:shd w:val="clear" w:color="auto" w:fill="CCEEFF"/>
          </w:tcPr>
          <w:p>
            <w:pPr>
              <w:ind w:left="20"/>
              <w:spacing w:after="0" w:line="222" w:lineRule="exact"/>
              <w:rPr>
                <w:sz w:val="20"/>
                <w:szCs w:val="20"/>
                <w:color w:val="auto"/>
              </w:rPr>
            </w:pPr>
            <w:r>
              <w:rPr>
                <w:rFonts w:ascii="Times New Roman" w:cs="Times New Roman" w:eastAsia="Times New Roman" w:hAnsi="Times New Roman"/>
                <w:sz w:val="18"/>
                <w:szCs w:val="18"/>
                <w:color w:val="auto"/>
              </w:rPr>
              <w:t xml:space="preserve">Embedded derivative fair value adjustment (2025 Notes) </w:t>
            </w:r>
            <w:r>
              <w:rPr>
                <w:rFonts w:ascii="Times New Roman" w:cs="Times New Roman" w:eastAsia="Times New Roman" w:hAnsi="Times New Roman"/>
                <w:sz w:val="23"/>
                <w:szCs w:val="23"/>
                <w:color w:val="auto"/>
                <w:vertAlign w:val="superscript"/>
              </w:rPr>
              <w:t>(1)</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w:t>
            </w:r>
          </w:p>
        </w:tc>
      </w:tr>
      <w:tr>
        <w:trPr>
          <w:trHeight w:val="228"/>
        </w:trPr>
        <w:tc>
          <w:tcPr>
            <w:tcW w:w="4940" w:type="dxa"/>
            <w:vAlign w:val="bottom"/>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Embedded derivative fair value adjustment (2029 Notes) </w:t>
            </w:r>
            <w:r>
              <w:rPr>
                <w:rFonts w:ascii="Times New Roman" w:cs="Times New Roman" w:eastAsia="Times New Roman" w:hAnsi="Times New Roman"/>
                <w:sz w:val="23"/>
                <w:szCs w:val="23"/>
                <w:color w:val="auto"/>
                <w:vertAlign w:val="superscript"/>
              </w:rPr>
              <w:t>(1)</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(7,935)</w:t>
            </w:r>
          </w:p>
        </w:tc>
      </w:tr>
      <w:tr>
        <w:trPr>
          <w:trHeight w:val="228"/>
        </w:trPr>
        <w:tc>
          <w:tcPr>
            <w:tcW w:w="494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Capped call fair value adjustment (2025 Notes) </w:t>
            </w:r>
            <w:r>
              <w:rPr>
                <w:rFonts w:ascii="Times New Roman" w:cs="Times New Roman" w:eastAsia="Times New Roman" w:hAnsi="Times New Roman"/>
                <w:sz w:val="23"/>
                <w:szCs w:val="23"/>
                <w:color w:val="auto"/>
                <w:vertAlign w:val="superscript"/>
              </w:rPr>
              <w:t>(1)</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(8,533)</w:t>
            </w:r>
          </w:p>
        </w:tc>
      </w:tr>
      <w:tr>
        <w:trPr>
          <w:trHeight w:val="228"/>
        </w:trPr>
        <w:tc>
          <w:tcPr>
            <w:tcW w:w="4940" w:type="dxa"/>
            <w:vAlign w:val="bottom"/>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Capped call fair value adjustment (2029 Notes) </w:t>
            </w:r>
            <w:r>
              <w:rPr>
                <w:rFonts w:ascii="Times New Roman" w:cs="Times New Roman" w:eastAsia="Times New Roman" w:hAnsi="Times New Roman"/>
                <w:sz w:val="23"/>
                <w:szCs w:val="23"/>
                <w:color w:val="auto"/>
                <w:vertAlign w:val="superscript"/>
              </w:rPr>
              <w:t>(1)</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w:t>
            </w:r>
          </w:p>
        </w:tc>
      </w:tr>
      <w:tr>
        <w:trPr>
          <w:trHeight w:val="228"/>
        </w:trPr>
        <w:tc>
          <w:tcPr>
            <w:tcW w:w="494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Investment revaluation - Ceribell, Inc. </w:t>
            </w:r>
            <w:r>
              <w:rPr>
                <w:rFonts w:ascii="Times New Roman" w:cs="Times New Roman" w:eastAsia="Times New Roman" w:hAnsi="Times New Roman"/>
                <w:sz w:val="23"/>
                <w:szCs w:val="23"/>
                <w:color w:val="auto"/>
                <w:vertAlign w:val="superscript"/>
              </w:rPr>
              <w:t>(2)</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4940" w:type="dxa"/>
            <w:vAlign w:val="bottom"/>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Impairment of investment in ShiraTronics, Inc. </w:t>
            </w:r>
            <w:r>
              <w:rPr>
                <w:rFonts w:ascii="Times New Roman" w:cs="Times New Roman" w:eastAsia="Times New Roman" w:hAnsi="Times New Roman"/>
                <w:sz w:val="23"/>
                <w:szCs w:val="23"/>
                <w:color w:val="auto"/>
                <w:vertAlign w:val="superscript"/>
              </w:rPr>
              <w:t>(3)</w:t>
            </w:r>
          </w:p>
        </w:tc>
        <w:tc>
          <w:tcPr>
            <w:tcW w:w="26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(5,750)</w:t>
            </w:r>
          </w:p>
        </w:tc>
      </w:tr>
      <w:tr>
        <w:trPr>
          <w:trHeight w:val="228"/>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14,358</w:t>
            </w:r>
          </w:p>
        </w:tc>
      </w:tr>
      <w:tr>
        <w:trPr>
          <w:trHeight w:val="228"/>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FX fluctuations</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(3,105)</w:t>
            </w:r>
          </w:p>
        </w:tc>
      </w:tr>
      <w:tr>
        <w:trPr>
          <w:trHeight w:val="228"/>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r>
      <w:tr>
        <w:trPr>
          <w:trHeight w:val="222"/>
        </w:trPr>
        <w:tc>
          <w:tcPr>
            <w:tcW w:w="49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(3,045)</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7,161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(12,116)</w:t>
            </w:r>
          </w:p>
        </w:tc>
      </w:tr>
      <w:tr>
        <w:trPr>
          <w:trHeight w:val="20"/>
        </w:trPr>
        <w:tc>
          <w:tcPr>
            <w:tcW w:w="49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56" w:lineRule="exact"/>
        <w:rPr>
          <w:sz w:val="20"/>
          <w:szCs w:val="20"/>
          <w:color w:val="auto"/>
        </w:rPr>
      </w:pPr>
    </w:p>
    <w:p>
      <w:pPr>
        <w:ind w:left="640" w:hanging="310"/>
        <w:spacing w:after="0"/>
        <w:tabs>
          <w:tab w:leader="none" w:pos="640" w:val="left"/>
        </w:tabs>
        <w:numPr>
          <w:ilvl w:val="0"/>
          <w:numId w:val="1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Refer to “Note 3. Fair Value Measurements.”</w:t>
      </w:r>
    </w:p>
    <w:p>
      <w:pPr>
        <w:spacing w:after="0" w:line="9" w:lineRule="exact"/>
        <w:rPr>
          <w:rFonts w:ascii="Times New Roman" w:cs="Times New Roman" w:eastAsia="Times New Roman" w:hAnsi="Times New Roman"/>
          <w:sz w:val="21"/>
          <w:szCs w:val="21"/>
          <w:color w:val="auto"/>
          <w:vertAlign w:val="superscript"/>
        </w:rPr>
      </w:pPr>
    </w:p>
    <w:p>
      <w:pPr>
        <w:ind w:left="660" w:hanging="330"/>
        <w:spacing w:after="0" w:line="221" w:lineRule="auto"/>
        <w:tabs>
          <w:tab w:leader="none" w:pos="648" w:val="left"/>
        </w:tabs>
        <w:numPr>
          <w:ilvl w:val="0"/>
          <w:numId w:val="1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During the second quarter of 2025, LivaNova liquidated its investment in Ceribell, Inc., consisting of 391,952 common shares, in a series of transactions with an average sales price of $16.69 per common share, resulting in net proceeds of $6.5 million from an initial investment in 2018 of $3.0 million.</w:t>
      </w:r>
    </w:p>
    <w:p>
      <w:pPr>
        <w:spacing w:after="0" w:line="1" w:lineRule="exact"/>
        <w:rPr>
          <w:rFonts w:ascii="Times New Roman" w:cs="Times New Roman" w:eastAsia="Times New Roman" w:hAnsi="Times New Roman"/>
          <w:sz w:val="21"/>
          <w:szCs w:val="21"/>
          <w:color w:val="auto"/>
          <w:vertAlign w:val="superscript"/>
        </w:rPr>
      </w:pPr>
    </w:p>
    <w:p>
      <w:pPr>
        <w:ind w:left="660" w:hanging="330"/>
        <w:spacing w:after="0" w:line="227" w:lineRule="auto"/>
        <w:tabs>
          <w:tab w:leader="none" w:pos="648" w:val="left"/>
        </w:tabs>
        <w:numPr>
          <w:ilvl w:val="0"/>
          <w:numId w:val="1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Impairment of equity investment related to LivaNova’s preferred share ownership converting into common stock of ShiraTronics, Inc. during the second quarter of 2024.</w:t>
      </w:r>
    </w:p>
    <w:p>
      <w:pPr>
        <w:spacing w:after="0" w:line="96"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color w:val="auto"/>
        </w:rPr>
        <w:t>The following table presents a reconciliation of cash, cash equivalents, and restricted cash reported on the condensed consolidated balance sheets that sum to the total of the amounts shown on the condensed consolidated statements of cash flows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80" w:type="dxa"/>
            <w:vAlign w:val="bottom"/>
          </w:tcPr>
          <w:p>
            <w:pPr>
              <w:spacing w:after="0"/>
              <w:rPr>
                <w:sz w:val="20"/>
                <w:szCs w:val="20"/>
                <w:color w:val="auto"/>
              </w:rPr>
            </w:pPr>
          </w:p>
        </w:tc>
        <w:tc>
          <w:tcPr>
            <w:tcW w:w="17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22"/>
        </w:trPr>
        <w:tc>
          <w:tcPr>
            <w:tcW w:w="7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593,638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428,858</w:t>
            </w:r>
          </w:p>
        </w:tc>
      </w:tr>
      <w:tr>
        <w:trPr>
          <w:trHeight w:val="228"/>
        </w:trPr>
        <w:tc>
          <w:tcPr>
            <w:tcW w:w="7200" w:type="dxa"/>
            <w:vAlign w:val="bottom"/>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Restricted cash </w:t>
            </w:r>
            <w:r>
              <w:rPr>
                <w:rFonts w:ascii="Times New Roman" w:cs="Times New Roman" w:eastAsia="Times New Roman" w:hAnsi="Times New Roman"/>
                <w:sz w:val="23"/>
                <w:szCs w:val="23"/>
                <w:color w:val="auto"/>
                <w:vertAlign w:val="superscript"/>
              </w:rPr>
              <w:t>(1)</w:t>
            </w:r>
          </w:p>
        </w:tc>
        <w:tc>
          <w:tcPr>
            <w:tcW w:w="300" w:type="dxa"/>
            <w:vAlign w:val="bottom"/>
          </w:tcPr>
          <w:p>
            <w:pPr>
              <w:spacing w:after="0"/>
              <w:rPr>
                <w:sz w:val="19"/>
                <w:szCs w:val="19"/>
                <w:color w:val="auto"/>
              </w:rPr>
            </w:pPr>
          </w:p>
        </w:tc>
        <w:tc>
          <w:tcPr>
            <w:tcW w:w="1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294,698</w:t>
            </w:r>
          </w:p>
        </w:tc>
      </w:tr>
      <w:tr>
        <w:trPr>
          <w:trHeight w:val="247"/>
        </w:trPr>
        <w:tc>
          <w:tcPr>
            <w:tcW w:w="72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593,638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723,556</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660" w:right="20" w:hanging="330"/>
        <w:spacing w:after="0" w:line="231" w:lineRule="auto"/>
        <w:tabs>
          <w:tab w:leader="none" w:pos="648" w:val="left"/>
        </w:tabs>
        <w:numPr>
          <w:ilvl w:val="0"/>
          <w:numId w:val="1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On March 18, 2022, LivaNova PLC, acting through its Italian branch, entered into an Indemnity Letter and an Account Pledge Agreement with Barclays, further to which Barclays issued the SNIA Litigation Guarantee. As security for the SNIA Litigation</w:t>
      </w:r>
    </w:p>
    <w:p>
      <w:pPr>
        <w:spacing w:after="0" w:line="200" w:lineRule="exact"/>
        <w:rPr>
          <w:sz w:val="20"/>
          <w:szCs w:val="20"/>
          <w:color w:val="auto"/>
        </w:rPr>
      </w:pPr>
    </w:p>
    <w:p>
      <w:pPr>
        <w:spacing w:after="0" w:line="3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149225</wp:posOffset>
            </wp:positionV>
            <wp:extent cx="71583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8" w:name="page29"/>
    <w:bookmarkEnd w:id="28"/>
    <w:p>
      <w:pPr>
        <w:jc w:val="both"/>
        <w:ind w:left="660"/>
        <w:spacing w:after="0" w:line="274" w:lineRule="auto"/>
        <w:rPr>
          <w:sz w:val="20"/>
          <w:szCs w:val="20"/>
          <w:color w:val="auto"/>
        </w:rPr>
      </w:pPr>
      <w:r>
        <w:rPr>
          <w:rFonts w:ascii="Times New Roman" w:cs="Times New Roman" w:eastAsia="Times New Roman" w:hAnsi="Times New Roman"/>
          <w:sz w:val="16"/>
          <w:szCs w:val="16"/>
          <w:color w:val="auto"/>
        </w:rPr>
        <w:t>Guarantee, LivaNova was required to grant cash collateral to Barclays in USD in an amount equal to the USD equivalent of 105% of the amount of the SNIA Litigation Guarantee calibrated on a biweekly basis, which is presented as restricted cash on the condensed consolidated balance sheet. On March 31, 2025, as a result of the decision by the Italian Supreme Court, the SNIA Litigation Guarantee was terminated, and the restriction on the cash deposit held as collateral was released. For additional information, refer to “Note 5. Commitments and Contingencies.”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12. New Accounting Pronouncements</w:t>
      </w:r>
    </w:p>
    <w:p>
      <w:pPr>
        <w:spacing w:after="0" w:line="114"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8"/>
          <w:szCs w:val="18"/>
          <w:color w:val="auto"/>
        </w:rPr>
        <w:t>The following table presents a description of future adoptions of new ASUs issued by the FASB that may have an impact on LivaNova’s consolidated financial statements when adopted:</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9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Issue Date &amp; Standard</w:t>
            </w:r>
          </w:p>
        </w:tc>
        <w:tc>
          <w:tcPr>
            <w:tcW w:w="4600" w:type="dxa"/>
            <w:vAlign w:val="bottom"/>
            <w:gridSpan w:val="2"/>
          </w:tcPr>
          <w:p>
            <w:pPr>
              <w:ind w:left="180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680" w:type="dxa"/>
            <w:vAlign w:val="bottom"/>
            <w:gridSpan w:val="2"/>
          </w:tcPr>
          <w:p>
            <w:pPr>
              <w:ind w:left="920"/>
              <w:spacing w:after="0"/>
              <w:rPr>
                <w:sz w:val="20"/>
                <w:szCs w:val="20"/>
                <w:color w:val="auto"/>
              </w:rPr>
            </w:pPr>
            <w:r>
              <w:rPr>
                <w:rFonts w:ascii="Times New Roman" w:cs="Times New Roman" w:eastAsia="Times New Roman" w:hAnsi="Times New Roman"/>
                <w:sz w:val="18"/>
                <w:szCs w:val="18"/>
                <w:b w:val="1"/>
                <w:bCs w:val="1"/>
                <w:color w:val="auto"/>
              </w:rPr>
              <w:t>Adoption</w:t>
            </w:r>
          </w:p>
        </w:tc>
        <w:tc>
          <w:tcPr>
            <w:tcW w:w="2020" w:type="dxa"/>
            <w:vAlign w:val="bottom"/>
          </w:tcPr>
          <w:p>
            <w:pPr>
              <w:ind w:left="560"/>
              <w:spacing w:after="0"/>
              <w:rPr>
                <w:sz w:val="20"/>
                <w:szCs w:val="20"/>
                <w:color w:val="auto"/>
              </w:rPr>
            </w:pPr>
            <w:r>
              <w:rPr>
                <w:rFonts w:ascii="Times New Roman" w:cs="Times New Roman" w:eastAsia="Times New Roman" w:hAnsi="Times New Roman"/>
                <w:sz w:val="18"/>
                <w:szCs w:val="18"/>
                <w:b w:val="1"/>
                <w:bCs w:val="1"/>
                <w:color w:val="auto"/>
              </w:rPr>
              <w:t>Assessment</w:t>
            </w:r>
          </w:p>
        </w:tc>
      </w:tr>
      <w:tr>
        <w:trPr>
          <w:trHeight w:val="155"/>
        </w:trPr>
        <w:tc>
          <w:tcPr>
            <w:tcW w:w="1840" w:type="dxa"/>
            <w:vAlign w:val="bottom"/>
            <w:tcBorders>
              <w:top w:val="single" w:sz="8" w:color="auto"/>
            </w:tcBorders>
            <w:shd w:val="clear" w:color="auto" w:fill="CCEEFF"/>
          </w:tcPr>
          <w:p>
            <w:pPr>
              <w:ind w:left="20"/>
              <w:spacing w:after="0" w:line="154" w:lineRule="exact"/>
              <w:rPr>
                <w:sz w:val="20"/>
                <w:szCs w:val="20"/>
                <w:color w:val="auto"/>
              </w:rPr>
            </w:pPr>
            <w:r>
              <w:rPr>
                <w:rFonts w:ascii="Times New Roman" w:cs="Times New Roman" w:eastAsia="Times New Roman" w:hAnsi="Times New Roman"/>
                <w:sz w:val="17"/>
                <w:szCs w:val="17"/>
                <w:color w:val="auto"/>
              </w:rPr>
              <w:t>December 2023 ASU No.</w:t>
            </w:r>
          </w:p>
        </w:tc>
        <w:tc>
          <w:tcPr>
            <w:tcW w:w="100" w:type="dxa"/>
            <w:vAlign w:val="bottom"/>
            <w:tcBorders>
              <w:top w:val="single" w:sz="8" w:color="CCEEFF"/>
            </w:tcBorders>
            <w:shd w:val="clear" w:color="auto" w:fill="CCEEFF"/>
          </w:tcPr>
          <w:p>
            <w:pPr>
              <w:spacing w:after="0"/>
              <w:rPr>
                <w:sz w:val="13"/>
                <w:szCs w:val="13"/>
                <w:color w:val="auto"/>
              </w:rPr>
            </w:pPr>
          </w:p>
        </w:tc>
        <w:tc>
          <w:tcPr>
            <w:tcW w:w="4500" w:type="dxa"/>
            <w:vAlign w:val="bottom"/>
            <w:tcBorders>
              <w:top w:val="single" w:sz="8" w:color="auto"/>
            </w:tcBorders>
            <w:shd w:val="clear" w:color="auto" w:fill="CCEEFF"/>
          </w:tcPr>
          <w:p>
            <w:pPr>
              <w:ind w:left="20"/>
              <w:spacing w:after="0" w:line="154" w:lineRule="exact"/>
              <w:rPr>
                <w:sz w:val="20"/>
                <w:szCs w:val="20"/>
                <w:color w:val="auto"/>
              </w:rPr>
            </w:pPr>
            <w:r>
              <w:rPr>
                <w:rFonts w:ascii="Times New Roman" w:cs="Times New Roman" w:eastAsia="Times New Roman" w:hAnsi="Times New Roman"/>
                <w:sz w:val="17"/>
                <w:szCs w:val="17"/>
                <w:color w:val="auto"/>
              </w:rPr>
              <w:t>This ASU expands annual income tax disclosures primarily</w:t>
            </w:r>
          </w:p>
        </w:tc>
        <w:tc>
          <w:tcPr>
            <w:tcW w:w="100" w:type="dxa"/>
            <w:vAlign w:val="bottom"/>
            <w:tcBorders>
              <w:top w:val="single" w:sz="8" w:color="CCEEFF"/>
            </w:tcBorders>
            <w:shd w:val="clear" w:color="auto" w:fill="CCEEFF"/>
          </w:tcPr>
          <w:p>
            <w:pPr>
              <w:spacing w:after="0"/>
              <w:rPr>
                <w:sz w:val="13"/>
                <w:szCs w:val="13"/>
                <w:color w:val="auto"/>
              </w:rPr>
            </w:pPr>
          </w:p>
        </w:tc>
        <w:tc>
          <w:tcPr>
            <w:tcW w:w="2560" w:type="dxa"/>
            <w:vAlign w:val="bottom"/>
            <w:tcBorders>
              <w:top w:val="single" w:sz="8" w:color="auto"/>
            </w:tcBorders>
            <w:shd w:val="clear" w:color="auto" w:fill="CCEEFF"/>
          </w:tcPr>
          <w:p>
            <w:pPr>
              <w:ind w:left="20"/>
              <w:spacing w:after="0" w:line="154" w:lineRule="exact"/>
              <w:rPr>
                <w:sz w:val="20"/>
                <w:szCs w:val="20"/>
                <w:color w:val="auto"/>
              </w:rPr>
            </w:pPr>
            <w:r>
              <w:rPr>
                <w:rFonts w:ascii="Times New Roman" w:cs="Times New Roman" w:eastAsia="Times New Roman" w:hAnsi="Times New Roman"/>
                <w:sz w:val="17"/>
                <w:szCs w:val="17"/>
                <w:color w:val="auto"/>
              </w:rPr>
              <w:t>This ASU will be effective for</w:t>
            </w:r>
          </w:p>
        </w:tc>
        <w:tc>
          <w:tcPr>
            <w:tcW w:w="120" w:type="dxa"/>
            <w:vAlign w:val="bottom"/>
            <w:tcBorders>
              <w:top w:val="single" w:sz="8" w:color="CCEEFF"/>
            </w:tcBorders>
            <w:shd w:val="clear" w:color="auto" w:fill="CCEEFF"/>
          </w:tcPr>
          <w:p>
            <w:pPr>
              <w:spacing w:after="0"/>
              <w:rPr>
                <w:sz w:val="13"/>
                <w:szCs w:val="13"/>
                <w:color w:val="auto"/>
              </w:rPr>
            </w:pPr>
          </w:p>
        </w:tc>
        <w:tc>
          <w:tcPr>
            <w:tcW w:w="2020" w:type="dxa"/>
            <w:vAlign w:val="bottom"/>
            <w:tcBorders>
              <w:top w:val="single" w:sz="8" w:color="auto"/>
            </w:tcBorders>
            <w:shd w:val="clear" w:color="auto" w:fill="CCEEFF"/>
          </w:tcPr>
          <w:p>
            <w:pPr>
              <w:spacing w:after="0" w:line="154" w:lineRule="exact"/>
              <w:rPr>
                <w:sz w:val="20"/>
                <w:szCs w:val="20"/>
                <w:color w:val="auto"/>
              </w:rPr>
            </w:pPr>
            <w:r>
              <w:rPr>
                <w:rFonts w:ascii="Times New Roman" w:cs="Times New Roman" w:eastAsia="Times New Roman" w:hAnsi="Times New Roman"/>
                <w:sz w:val="17"/>
                <w:szCs w:val="17"/>
                <w:color w:val="auto"/>
              </w:rPr>
              <w:t>LivaNova is currently</w:t>
            </w:r>
          </w:p>
        </w:tc>
      </w:tr>
      <w:tr>
        <w:trPr>
          <w:trHeight w:val="162"/>
        </w:trPr>
        <w:tc>
          <w:tcPr>
            <w:tcW w:w="1940" w:type="dxa"/>
            <w:vAlign w:val="bottom"/>
            <w:gridSpan w:val="2"/>
            <w:shd w:val="clear" w:color="auto" w:fill="CCEEFF"/>
          </w:tcPr>
          <w:p>
            <w:pPr>
              <w:ind w:left="20"/>
              <w:spacing w:after="0" w:line="163" w:lineRule="exact"/>
              <w:rPr>
                <w:sz w:val="20"/>
                <w:szCs w:val="20"/>
                <w:color w:val="auto"/>
              </w:rPr>
            </w:pPr>
            <w:r>
              <w:rPr>
                <w:rFonts w:ascii="Times New Roman" w:cs="Times New Roman" w:eastAsia="Times New Roman" w:hAnsi="Times New Roman"/>
                <w:sz w:val="17"/>
                <w:szCs w:val="17"/>
                <w:color w:val="auto"/>
              </w:rPr>
              <w:t xml:space="preserve">2023-09, </w:t>
            </w:r>
            <w:r>
              <w:rPr>
                <w:rFonts w:ascii="Times New Roman" w:cs="Times New Roman" w:eastAsia="Times New Roman" w:hAnsi="Times New Roman"/>
                <w:sz w:val="17"/>
                <w:szCs w:val="17"/>
                <w:i w:val="1"/>
                <w:iCs w:val="1"/>
                <w:color w:val="auto"/>
              </w:rPr>
              <w:t>Income Taxes</w:t>
            </w:r>
          </w:p>
        </w:tc>
        <w:tc>
          <w:tcPr>
            <w:tcW w:w="4600" w:type="dxa"/>
            <w:vAlign w:val="bottom"/>
            <w:gridSpan w:val="2"/>
            <w:shd w:val="clear" w:color="auto" w:fill="CCEEFF"/>
          </w:tcPr>
          <w:p>
            <w:pPr>
              <w:ind w:left="20"/>
              <w:spacing w:after="0" w:line="163" w:lineRule="exact"/>
              <w:rPr>
                <w:sz w:val="20"/>
                <w:szCs w:val="20"/>
                <w:color w:val="auto"/>
              </w:rPr>
            </w:pPr>
            <w:r>
              <w:rPr>
                <w:rFonts w:ascii="Times New Roman" w:cs="Times New Roman" w:eastAsia="Times New Roman" w:hAnsi="Times New Roman"/>
                <w:sz w:val="17"/>
                <w:szCs w:val="17"/>
                <w:color w:val="auto"/>
              </w:rPr>
              <w:t>related to the rate reconciliation and income taxes paid.</w:t>
            </w:r>
          </w:p>
        </w:tc>
        <w:tc>
          <w:tcPr>
            <w:tcW w:w="2680" w:type="dxa"/>
            <w:vAlign w:val="bottom"/>
            <w:gridSpan w:val="2"/>
            <w:shd w:val="clear" w:color="auto" w:fill="CCEEFF"/>
          </w:tcPr>
          <w:p>
            <w:pPr>
              <w:ind w:left="20"/>
              <w:spacing w:after="0" w:line="163" w:lineRule="exact"/>
              <w:rPr>
                <w:sz w:val="20"/>
                <w:szCs w:val="20"/>
                <w:color w:val="auto"/>
              </w:rPr>
            </w:pPr>
            <w:r>
              <w:rPr>
                <w:rFonts w:ascii="Times New Roman" w:cs="Times New Roman" w:eastAsia="Times New Roman" w:hAnsi="Times New Roman"/>
                <w:sz w:val="17"/>
                <w:szCs w:val="17"/>
                <w:color w:val="auto"/>
              </w:rPr>
              <w:t>annual periods beginning after</w:t>
            </w:r>
          </w:p>
        </w:tc>
        <w:tc>
          <w:tcPr>
            <w:tcW w:w="2020" w:type="dxa"/>
            <w:vAlign w:val="bottom"/>
            <w:shd w:val="clear" w:color="auto" w:fill="CCEEFF"/>
          </w:tcPr>
          <w:p>
            <w:pPr>
              <w:spacing w:after="0" w:line="163" w:lineRule="exact"/>
              <w:rPr>
                <w:sz w:val="20"/>
                <w:szCs w:val="20"/>
                <w:color w:val="auto"/>
              </w:rPr>
            </w:pPr>
            <w:r>
              <w:rPr>
                <w:rFonts w:ascii="Times New Roman" w:cs="Times New Roman" w:eastAsia="Times New Roman" w:hAnsi="Times New Roman"/>
                <w:sz w:val="17"/>
                <w:szCs w:val="17"/>
                <w:color w:val="auto"/>
              </w:rPr>
              <w:t>evaluating the effect this</w:t>
            </w:r>
          </w:p>
        </w:tc>
      </w:tr>
      <w:tr>
        <w:trPr>
          <w:trHeight w:val="175"/>
        </w:trPr>
        <w:tc>
          <w:tcPr>
            <w:tcW w:w="1940" w:type="dxa"/>
            <w:vAlign w:val="bottom"/>
            <w:gridSpan w:val="2"/>
            <w:shd w:val="clear" w:color="auto" w:fill="CCEEFF"/>
          </w:tcPr>
          <w:p>
            <w:pPr>
              <w:ind w:left="20"/>
              <w:spacing w:after="0" w:line="175" w:lineRule="exact"/>
              <w:rPr>
                <w:sz w:val="20"/>
                <w:szCs w:val="20"/>
                <w:color w:val="auto"/>
              </w:rPr>
            </w:pPr>
            <w:r>
              <w:rPr>
                <w:rFonts w:ascii="Times New Roman" w:cs="Times New Roman" w:eastAsia="Times New Roman" w:hAnsi="Times New Roman"/>
                <w:sz w:val="17"/>
                <w:szCs w:val="17"/>
                <w:i w:val="1"/>
                <w:iCs w:val="1"/>
                <w:color w:val="auto"/>
              </w:rPr>
              <w:t>(Topic 740):</w:t>
            </w:r>
          </w:p>
        </w:tc>
        <w:tc>
          <w:tcPr>
            <w:tcW w:w="4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80" w:type="dxa"/>
            <w:vAlign w:val="bottom"/>
            <w:gridSpan w:val="2"/>
            <w:shd w:val="clear" w:color="auto" w:fill="CCEEFF"/>
          </w:tcPr>
          <w:p>
            <w:pPr>
              <w:ind w:left="20"/>
              <w:spacing w:after="0" w:line="175" w:lineRule="exact"/>
              <w:rPr>
                <w:sz w:val="20"/>
                <w:szCs w:val="20"/>
                <w:color w:val="auto"/>
              </w:rPr>
            </w:pPr>
            <w:r>
              <w:rPr>
                <w:rFonts w:ascii="Times New Roman" w:cs="Times New Roman" w:eastAsia="Times New Roman" w:hAnsi="Times New Roman"/>
                <w:sz w:val="17"/>
                <w:szCs w:val="17"/>
                <w:color w:val="auto"/>
              </w:rPr>
              <w:t>December 15, 2024, on a</w:t>
            </w:r>
          </w:p>
        </w:tc>
        <w:tc>
          <w:tcPr>
            <w:tcW w:w="202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7"/>
                <w:szCs w:val="17"/>
                <w:color w:val="auto"/>
              </w:rPr>
              <w:t>standard will have on its</w:t>
            </w:r>
          </w:p>
        </w:tc>
      </w:tr>
      <w:tr>
        <w:trPr>
          <w:trHeight w:val="174"/>
        </w:trPr>
        <w:tc>
          <w:tcPr>
            <w:tcW w:w="1940" w:type="dxa"/>
            <w:vAlign w:val="bottom"/>
            <w:gridSpan w:val="2"/>
            <w:shd w:val="clear" w:color="auto" w:fill="CCEEFF"/>
          </w:tcPr>
          <w:p>
            <w:pPr>
              <w:ind w:left="20"/>
              <w:spacing w:after="0" w:line="174" w:lineRule="exact"/>
              <w:rPr>
                <w:sz w:val="20"/>
                <w:szCs w:val="20"/>
                <w:color w:val="auto"/>
              </w:rPr>
            </w:pPr>
            <w:r>
              <w:rPr>
                <w:rFonts w:ascii="Times New Roman" w:cs="Times New Roman" w:eastAsia="Times New Roman" w:hAnsi="Times New Roman"/>
                <w:sz w:val="17"/>
                <w:szCs w:val="17"/>
                <w:i w:val="1"/>
                <w:iCs w:val="1"/>
                <w:color w:val="auto"/>
              </w:rPr>
              <w:t>Improvements to Income</w:t>
            </w:r>
          </w:p>
        </w:tc>
        <w:tc>
          <w:tcPr>
            <w:tcW w:w="4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80" w:type="dxa"/>
            <w:vAlign w:val="bottom"/>
            <w:gridSpan w:val="2"/>
            <w:shd w:val="clear" w:color="auto" w:fill="CCEEFF"/>
          </w:tcPr>
          <w:p>
            <w:pPr>
              <w:ind w:left="20"/>
              <w:spacing w:after="0" w:line="174" w:lineRule="exact"/>
              <w:rPr>
                <w:sz w:val="20"/>
                <w:szCs w:val="20"/>
                <w:color w:val="auto"/>
              </w:rPr>
            </w:pPr>
            <w:r>
              <w:rPr>
                <w:rFonts w:ascii="Times New Roman" w:cs="Times New Roman" w:eastAsia="Times New Roman" w:hAnsi="Times New Roman"/>
                <w:sz w:val="17"/>
                <w:szCs w:val="17"/>
                <w:color w:val="auto"/>
              </w:rPr>
              <w:t>prospective basis, with early</w:t>
            </w:r>
          </w:p>
        </w:tc>
        <w:tc>
          <w:tcPr>
            <w:tcW w:w="202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7"/>
                <w:szCs w:val="17"/>
                <w:color w:val="auto"/>
              </w:rPr>
              <w:t>consolidated financial</w:t>
            </w:r>
          </w:p>
        </w:tc>
      </w:tr>
      <w:tr>
        <w:trPr>
          <w:trHeight w:val="166"/>
        </w:trPr>
        <w:tc>
          <w:tcPr>
            <w:tcW w:w="1940" w:type="dxa"/>
            <w:vAlign w:val="bottom"/>
            <w:gridSpan w:val="2"/>
            <w:shd w:val="clear" w:color="auto" w:fill="CCEEFF"/>
          </w:tcPr>
          <w:p>
            <w:pPr>
              <w:ind w:left="20"/>
              <w:spacing w:after="0" w:line="167" w:lineRule="exact"/>
              <w:rPr>
                <w:sz w:val="20"/>
                <w:szCs w:val="20"/>
                <w:color w:val="auto"/>
              </w:rPr>
            </w:pPr>
            <w:r>
              <w:rPr>
                <w:rFonts w:ascii="Times New Roman" w:cs="Times New Roman" w:eastAsia="Times New Roman" w:hAnsi="Times New Roman"/>
                <w:sz w:val="17"/>
                <w:szCs w:val="17"/>
                <w:i w:val="1"/>
                <w:iCs w:val="1"/>
                <w:color w:val="auto"/>
              </w:rPr>
              <w:t>Tax Disclosures</w:t>
            </w:r>
          </w:p>
        </w:tc>
        <w:tc>
          <w:tcPr>
            <w:tcW w:w="4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80" w:type="dxa"/>
            <w:vAlign w:val="bottom"/>
            <w:gridSpan w:val="2"/>
            <w:shd w:val="clear" w:color="auto" w:fill="CCEEFF"/>
          </w:tcPr>
          <w:p>
            <w:pPr>
              <w:ind w:left="20"/>
              <w:spacing w:after="0" w:line="167" w:lineRule="exact"/>
              <w:rPr>
                <w:sz w:val="20"/>
                <w:szCs w:val="20"/>
                <w:color w:val="auto"/>
              </w:rPr>
            </w:pPr>
            <w:r>
              <w:rPr>
                <w:rFonts w:ascii="Times New Roman" w:cs="Times New Roman" w:eastAsia="Times New Roman" w:hAnsi="Times New Roman"/>
                <w:sz w:val="17"/>
                <w:szCs w:val="17"/>
                <w:color w:val="auto"/>
              </w:rPr>
              <w:t>adoption and retrospective</w:t>
            </w:r>
          </w:p>
        </w:tc>
        <w:tc>
          <w:tcPr>
            <w:tcW w:w="202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7"/>
                <w:szCs w:val="17"/>
                <w:color w:val="auto"/>
              </w:rPr>
              <w:t>statements and related</w:t>
            </w:r>
          </w:p>
        </w:tc>
      </w:tr>
      <w:tr>
        <w:trPr>
          <w:trHeight w:val="237"/>
        </w:trPr>
        <w:tc>
          <w:tcPr>
            <w:tcW w:w="1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application permitted.</w:t>
            </w:r>
          </w:p>
        </w:tc>
        <w:tc>
          <w:tcPr>
            <w:tcW w:w="2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disclosures.</w:t>
            </w:r>
          </w:p>
        </w:tc>
      </w:tr>
      <w:tr>
        <w:trPr>
          <w:trHeight w:val="161"/>
        </w:trPr>
        <w:tc>
          <w:tcPr>
            <w:tcW w:w="1940" w:type="dxa"/>
            <w:vAlign w:val="bottom"/>
            <w:gridSpan w:val="2"/>
          </w:tcPr>
          <w:p>
            <w:pPr>
              <w:ind w:left="20"/>
              <w:spacing w:after="0" w:line="161" w:lineRule="exact"/>
              <w:rPr>
                <w:sz w:val="20"/>
                <w:szCs w:val="20"/>
                <w:color w:val="auto"/>
              </w:rPr>
            </w:pPr>
            <w:r>
              <w:rPr>
                <w:rFonts w:ascii="Times New Roman" w:cs="Times New Roman" w:eastAsia="Times New Roman" w:hAnsi="Times New Roman"/>
                <w:sz w:val="17"/>
                <w:szCs w:val="17"/>
                <w:color w:val="auto"/>
              </w:rPr>
              <w:t>November 2024 ASU No.</w:t>
            </w:r>
          </w:p>
        </w:tc>
        <w:tc>
          <w:tcPr>
            <w:tcW w:w="4600" w:type="dxa"/>
            <w:vAlign w:val="bottom"/>
            <w:gridSpan w:val="2"/>
          </w:tcPr>
          <w:p>
            <w:pPr>
              <w:ind w:left="20"/>
              <w:spacing w:after="0" w:line="161" w:lineRule="exact"/>
              <w:rPr>
                <w:sz w:val="20"/>
                <w:szCs w:val="20"/>
                <w:color w:val="auto"/>
              </w:rPr>
            </w:pPr>
            <w:r>
              <w:rPr>
                <w:rFonts w:ascii="Times New Roman" w:cs="Times New Roman" w:eastAsia="Times New Roman" w:hAnsi="Times New Roman"/>
                <w:sz w:val="17"/>
                <w:szCs w:val="17"/>
                <w:color w:val="auto"/>
              </w:rPr>
              <w:t>This ASU requires disclosure in the notes to financial statements</w:t>
            </w:r>
          </w:p>
        </w:tc>
        <w:tc>
          <w:tcPr>
            <w:tcW w:w="2680" w:type="dxa"/>
            <w:vAlign w:val="bottom"/>
            <w:gridSpan w:val="2"/>
          </w:tcPr>
          <w:p>
            <w:pPr>
              <w:ind w:left="20"/>
              <w:spacing w:after="0" w:line="161" w:lineRule="exact"/>
              <w:rPr>
                <w:sz w:val="20"/>
                <w:szCs w:val="20"/>
                <w:color w:val="auto"/>
              </w:rPr>
            </w:pPr>
            <w:r>
              <w:rPr>
                <w:rFonts w:ascii="Times New Roman" w:cs="Times New Roman" w:eastAsia="Times New Roman" w:hAnsi="Times New Roman"/>
                <w:sz w:val="17"/>
                <w:szCs w:val="17"/>
                <w:color w:val="auto"/>
              </w:rPr>
              <w:t>This ASU will be effective for</w:t>
            </w:r>
          </w:p>
        </w:tc>
        <w:tc>
          <w:tcPr>
            <w:tcW w:w="2020" w:type="dxa"/>
            <w:vAlign w:val="bottom"/>
          </w:tcPr>
          <w:p>
            <w:pPr>
              <w:spacing w:after="0" w:line="161" w:lineRule="exact"/>
              <w:rPr>
                <w:sz w:val="20"/>
                <w:szCs w:val="20"/>
                <w:color w:val="auto"/>
              </w:rPr>
            </w:pPr>
            <w:r>
              <w:rPr>
                <w:rFonts w:ascii="Times New Roman" w:cs="Times New Roman" w:eastAsia="Times New Roman" w:hAnsi="Times New Roman"/>
                <w:sz w:val="17"/>
                <w:szCs w:val="17"/>
                <w:color w:val="auto"/>
              </w:rPr>
              <w:t>LivaNova is currently</w:t>
            </w:r>
          </w:p>
        </w:tc>
      </w:tr>
      <w:tr>
        <w:trPr>
          <w:trHeight w:val="162"/>
        </w:trPr>
        <w:tc>
          <w:tcPr>
            <w:tcW w:w="1940" w:type="dxa"/>
            <w:vAlign w:val="bottom"/>
            <w:gridSpan w:val="2"/>
          </w:tcPr>
          <w:p>
            <w:pPr>
              <w:ind w:left="20"/>
              <w:spacing w:after="0" w:line="163" w:lineRule="exact"/>
              <w:rPr>
                <w:sz w:val="20"/>
                <w:szCs w:val="20"/>
                <w:color w:val="auto"/>
              </w:rPr>
            </w:pPr>
            <w:r>
              <w:rPr>
                <w:rFonts w:ascii="Times New Roman" w:cs="Times New Roman" w:eastAsia="Times New Roman" w:hAnsi="Times New Roman"/>
                <w:sz w:val="17"/>
                <w:szCs w:val="17"/>
                <w:color w:val="auto"/>
              </w:rPr>
              <w:t xml:space="preserve">2024-03, </w:t>
            </w:r>
            <w:r>
              <w:rPr>
                <w:rFonts w:ascii="Times New Roman" w:cs="Times New Roman" w:eastAsia="Times New Roman" w:hAnsi="Times New Roman"/>
                <w:sz w:val="17"/>
                <w:szCs w:val="17"/>
                <w:i w:val="1"/>
                <w:iCs w:val="1"/>
                <w:color w:val="auto"/>
              </w:rPr>
              <w:t>Income</w:t>
            </w:r>
          </w:p>
        </w:tc>
        <w:tc>
          <w:tcPr>
            <w:tcW w:w="4600" w:type="dxa"/>
            <w:vAlign w:val="bottom"/>
            <w:gridSpan w:val="2"/>
          </w:tcPr>
          <w:p>
            <w:pPr>
              <w:ind w:left="20"/>
              <w:spacing w:after="0" w:line="163" w:lineRule="exact"/>
              <w:rPr>
                <w:sz w:val="20"/>
                <w:szCs w:val="20"/>
                <w:color w:val="auto"/>
              </w:rPr>
            </w:pPr>
            <w:r>
              <w:rPr>
                <w:rFonts w:ascii="Times New Roman" w:cs="Times New Roman" w:eastAsia="Times New Roman" w:hAnsi="Times New Roman"/>
                <w:sz w:val="17"/>
                <w:szCs w:val="17"/>
                <w:color w:val="auto"/>
              </w:rPr>
              <w:t>of additional information disaggregating specific expense</w:t>
            </w:r>
          </w:p>
        </w:tc>
        <w:tc>
          <w:tcPr>
            <w:tcW w:w="2680" w:type="dxa"/>
            <w:vAlign w:val="bottom"/>
            <w:gridSpan w:val="2"/>
          </w:tcPr>
          <w:p>
            <w:pPr>
              <w:ind w:left="20"/>
              <w:spacing w:after="0" w:line="163" w:lineRule="exact"/>
              <w:rPr>
                <w:sz w:val="20"/>
                <w:szCs w:val="20"/>
                <w:color w:val="auto"/>
              </w:rPr>
            </w:pPr>
            <w:r>
              <w:rPr>
                <w:rFonts w:ascii="Times New Roman" w:cs="Times New Roman" w:eastAsia="Times New Roman" w:hAnsi="Times New Roman"/>
                <w:sz w:val="17"/>
                <w:szCs w:val="17"/>
                <w:color w:val="auto"/>
              </w:rPr>
              <w:t>annual periods beginning after</w:t>
            </w:r>
          </w:p>
        </w:tc>
        <w:tc>
          <w:tcPr>
            <w:tcW w:w="2020" w:type="dxa"/>
            <w:vAlign w:val="bottom"/>
          </w:tcPr>
          <w:p>
            <w:pPr>
              <w:spacing w:after="0" w:line="163" w:lineRule="exact"/>
              <w:rPr>
                <w:sz w:val="20"/>
                <w:szCs w:val="20"/>
                <w:color w:val="auto"/>
              </w:rPr>
            </w:pPr>
            <w:r>
              <w:rPr>
                <w:rFonts w:ascii="Times New Roman" w:cs="Times New Roman" w:eastAsia="Times New Roman" w:hAnsi="Times New Roman"/>
                <w:sz w:val="17"/>
                <w:szCs w:val="17"/>
                <w:color w:val="auto"/>
              </w:rPr>
              <w:t>evaluating the effect this</w:t>
            </w:r>
          </w:p>
        </w:tc>
      </w:tr>
      <w:tr>
        <w:trPr>
          <w:trHeight w:val="175"/>
        </w:trPr>
        <w:tc>
          <w:tcPr>
            <w:tcW w:w="1940" w:type="dxa"/>
            <w:vAlign w:val="bottom"/>
            <w:gridSpan w:val="2"/>
          </w:tcPr>
          <w:p>
            <w:pPr>
              <w:ind w:left="20"/>
              <w:spacing w:after="0" w:line="175" w:lineRule="exact"/>
              <w:rPr>
                <w:sz w:val="20"/>
                <w:szCs w:val="20"/>
                <w:color w:val="auto"/>
              </w:rPr>
            </w:pPr>
            <w:r>
              <w:rPr>
                <w:rFonts w:ascii="Times New Roman" w:cs="Times New Roman" w:eastAsia="Times New Roman" w:hAnsi="Times New Roman"/>
                <w:sz w:val="17"/>
                <w:szCs w:val="17"/>
                <w:i w:val="1"/>
                <w:iCs w:val="1"/>
                <w:color w:val="auto"/>
              </w:rPr>
              <w:t>Statement—Reporting</w:t>
            </w:r>
          </w:p>
        </w:tc>
        <w:tc>
          <w:tcPr>
            <w:tcW w:w="4600" w:type="dxa"/>
            <w:vAlign w:val="bottom"/>
            <w:gridSpan w:val="2"/>
          </w:tcPr>
          <w:p>
            <w:pPr>
              <w:ind w:left="20"/>
              <w:spacing w:after="0" w:line="175" w:lineRule="exact"/>
              <w:rPr>
                <w:sz w:val="20"/>
                <w:szCs w:val="20"/>
                <w:color w:val="auto"/>
              </w:rPr>
            </w:pPr>
            <w:r>
              <w:rPr>
                <w:rFonts w:ascii="Times New Roman" w:cs="Times New Roman" w:eastAsia="Times New Roman" w:hAnsi="Times New Roman"/>
                <w:sz w:val="17"/>
                <w:szCs w:val="17"/>
                <w:color w:val="auto"/>
              </w:rPr>
              <w:t>categories underlying certain income statement expense line</w:t>
            </w:r>
          </w:p>
        </w:tc>
        <w:tc>
          <w:tcPr>
            <w:tcW w:w="2680" w:type="dxa"/>
            <w:vAlign w:val="bottom"/>
            <w:gridSpan w:val="2"/>
          </w:tcPr>
          <w:p>
            <w:pPr>
              <w:ind w:left="20"/>
              <w:spacing w:after="0" w:line="175" w:lineRule="exact"/>
              <w:rPr>
                <w:sz w:val="20"/>
                <w:szCs w:val="20"/>
                <w:color w:val="auto"/>
              </w:rPr>
            </w:pPr>
            <w:r>
              <w:rPr>
                <w:rFonts w:ascii="Times New Roman" w:cs="Times New Roman" w:eastAsia="Times New Roman" w:hAnsi="Times New Roman"/>
                <w:sz w:val="17"/>
                <w:szCs w:val="17"/>
                <w:color w:val="auto"/>
              </w:rPr>
              <w:t>December 15, 2026, and interim</w:t>
            </w:r>
          </w:p>
        </w:tc>
        <w:tc>
          <w:tcPr>
            <w:tcW w:w="2020" w:type="dxa"/>
            <w:vAlign w:val="bottom"/>
          </w:tcPr>
          <w:p>
            <w:pPr>
              <w:spacing w:after="0" w:line="175" w:lineRule="exact"/>
              <w:rPr>
                <w:sz w:val="20"/>
                <w:szCs w:val="20"/>
                <w:color w:val="auto"/>
              </w:rPr>
            </w:pPr>
            <w:r>
              <w:rPr>
                <w:rFonts w:ascii="Times New Roman" w:cs="Times New Roman" w:eastAsia="Times New Roman" w:hAnsi="Times New Roman"/>
                <w:sz w:val="17"/>
                <w:szCs w:val="17"/>
                <w:color w:val="auto"/>
              </w:rPr>
              <w:t>standard will have on its</w:t>
            </w:r>
          </w:p>
        </w:tc>
      </w:tr>
      <w:tr>
        <w:trPr>
          <w:trHeight w:val="174"/>
        </w:trPr>
        <w:tc>
          <w:tcPr>
            <w:tcW w:w="1940" w:type="dxa"/>
            <w:vAlign w:val="bottom"/>
            <w:gridSpan w:val="2"/>
          </w:tcPr>
          <w:p>
            <w:pPr>
              <w:ind w:left="20"/>
              <w:spacing w:after="0" w:line="174" w:lineRule="exact"/>
              <w:rPr>
                <w:sz w:val="20"/>
                <w:szCs w:val="20"/>
                <w:color w:val="auto"/>
              </w:rPr>
            </w:pPr>
            <w:r>
              <w:rPr>
                <w:rFonts w:ascii="Times New Roman" w:cs="Times New Roman" w:eastAsia="Times New Roman" w:hAnsi="Times New Roman"/>
                <w:sz w:val="17"/>
                <w:szCs w:val="17"/>
                <w:i w:val="1"/>
                <w:iCs w:val="1"/>
                <w:color w:val="auto"/>
              </w:rPr>
              <w:t>Comprehensive</w:t>
            </w:r>
          </w:p>
        </w:tc>
        <w:tc>
          <w:tcPr>
            <w:tcW w:w="4600" w:type="dxa"/>
            <w:vAlign w:val="bottom"/>
            <w:gridSpan w:val="2"/>
          </w:tcPr>
          <w:p>
            <w:pPr>
              <w:ind w:left="20"/>
              <w:spacing w:after="0" w:line="174" w:lineRule="exact"/>
              <w:rPr>
                <w:sz w:val="20"/>
                <w:szCs w:val="20"/>
                <w:color w:val="auto"/>
              </w:rPr>
            </w:pPr>
            <w:r>
              <w:rPr>
                <w:rFonts w:ascii="Times New Roman" w:cs="Times New Roman" w:eastAsia="Times New Roman" w:hAnsi="Times New Roman"/>
                <w:sz w:val="17"/>
                <w:szCs w:val="17"/>
                <w:color w:val="auto"/>
              </w:rPr>
              <w:t>items, including employee compensation, depreciation, and</w:t>
            </w:r>
          </w:p>
        </w:tc>
        <w:tc>
          <w:tcPr>
            <w:tcW w:w="2680" w:type="dxa"/>
            <w:vAlign w:val="bottom"/>
            <w:gridSpan w:val="2"/>
          </w:tcPr>
          <w:p>
            <w:pPr>
              <w:ind w:left="20"/>
              <w:spacing w:after="0" w:line="174" w:lineRule="exact"/>
              <w:rPr>
                <w:sz w:val="20"/>
                <w:szCs w:val="20"/>
                <w:color w:val="auto"/>
              </w:rPr>
            </w:pPr>
            <w:r>
              <w:rPr>
                <w:rFonts w:ascii="Times New Roman" w:cs="Times New Roman" w:eastAsia="Times New Roman" w:hAnsi="Times New Roman"/>
                <w:sz w:val="17"/>
                <w:szCs w:val="17"/>
                <w:color w:val="auto"/>
              </w:rPr>
              <w:t>periods beginning after December</w:t>
            </w:r>
          </w:p>
        </w:tc>
        <w:tc>
          <w:tcPr>
            <w:tcW w:w="2020" w:type="dxa"/>
            <w:vAlign w:val="bottom"/>
          </w:tcPr>
          <w:p>
            <w:pPr>
              <w:spacing w:after="0" w:line="174" w:lineRule="exact"/>
              <w:rPr>
                <w:sz w:val="20"/>
                <w:szCs w:val="20"/>
                <w:color w:val="auto"/>
              </w:rPr>
            </w:pPr>
            <w:r>
              <w:rPr>
                <w:rFonts w:ascii="Times New Roman" w:cs="Times New Roman" w:eastAsia="Times New Roman" w:hAnsi="Times New Roman"/>
                <w:sz w:val="17"/>
                <w:szCs w:val="17"/>
                <w:color w:val="auto"/>
              </w:rPr>
              <w:t>consolidated financial</w:t>
            </w:r>
          </w:p>
        </w:tc>
      </w:tr>
      <w:tr>
        <w:trPr>
          <w:trHeight w:val="162"/>
        </w:trPr>
        <w:tc>
          <w:tcPr>
            <w:tcW w:w="1940" w:type="dxa"/>
            <w:vAlign w:val="bottom"/>
            <w:gridSpan w:val="2"/>
          </w:tcPr>
          <w:p>
            <w:pPr>
              <w:ind w:left="20"/>
              <w:spacing w:after="0" w:line="163" w:lineRule="exact"/>
              <w:rPr>
                <w:sz w:val="20"/>
                <w:szCs w:val="20"/>
                <w:color w:val="auto"/>
              </w:rPr>
            </w:pPr>
            <w:r>
              <w:rPr>
                <w:rFonts w:ascii="Times New Roman" w:cs="Times New Roman" w:eastAsia="Times New Roman" w:hAnsi="Times New Roman"/>
                <w:sz w:val="17"/>
                <w:szCs w:val="17"/>
                <w:i w:val="1"/>
                <w:iCs w:val="1"/>
                <w:color w:val="auto"/>
              </w:rPr>
              <w:t>Income—Expense</w:t>
            </w:r>
          </w:p>
        </w:tc>
        <w:tc>
          <w:tcPr>
            <w:tcW w:w="4600" w:type="dxa"/>
            <w:vAlign w:val="bottom"/>
            <w:gridSpan w:val="2"/>
          </w:tcPr>
          <w:p>
            <w:pPr>
              <w:ind w:left="20"/>
              <w:spacing w:after="0" w:line="163" w:lineRule="exact"/>
              <w:rPr>
                <w:sz w:val="20"/>
                <w:szCs w:val="20"/>
                <w:color w:val="auto"/>
              </w:rPr>
            </w:pPr>
            <w:r>
              <w:rPr>
                <w:rFonts w:ascii="Times New Roman" w:cs="Times New Roman" w:eastAsia="Times New Roman" w:hAnsi="Times New Roman"/>
                <w:sz w:val="17"/>
                <w:szCs w:val="17"/>
                <w:color w:val="auto"/>
              </w:rPr>
              <w:t>intangible asset amortization, as well as certain other disclosures</w:t>
            </w:r>
          </w:p>
        </w:tc>
        <w:tc>
          <w:tcPr>
            <w:tcW w:w="2680" w:type="dxa"/>
            <w:vAlign w:val="bottom"/>
            <w:gridSpan w:val="2"/>
          </w:tcPr>
          <w:p>
            <w:pPr>
              <w:ind w:left="20"/>
              <w:spacing w:after="0" w:line="163" w:lineRule="exact"/>
              <w:rPr>
                <w:sz w:val="20"/>
                <w:szCs w:val="20"/>
                <w:color w:val="auto"/>
              </w:rPr>
            </w:pPr>
            <w:r>
              <w:rPr>
                <w:rFonts w:ascii="Times New Roman" w:cs="Times New Roman" w:eastAsia="Times New Roman" w:hAnsi="Times New Roman"/>
                <w:sz w:val="17"/>
                <w:szCs w:val="17"/>
                <w:color w:val="auto"/>
              </w:rPr>
              <w:t>15, 2027. This ASU may be applied</w:t>
            </w:r>
          </w:p>
        </w:tc>
        <w:tc>
          <w:tcPr>
            <w:tcW w:w="2020" w:type="dxa"/>
            <w:vAlign w:val="bottom"/>
          </w:tcPr>
          <w:p>
            <w:pPr>
              <w:spacing w:after="0" w:line="163" w:lineRule="exact"/>
              <w:rPr>
                <w:sz w:val="20"/>
                <w:szCs w:val="20"/>
                <w:color w:val="auto"/>
              </w:rPr>
            </w:pPr>
            <w:r>
              <w:rPr>
                <w:rFonts w:ascii="Times New Roman" w:cs="Times New Roman" w:eastAsia="Times New Roman" w:hAnsi="Times New Roman"/>
                <w:sz w:val="17"/>
                <w:szCs w:val="17"/>
                <w:color w:val="auto"/>
              </w:rPr>
              <w:t>statements and related</w:t>
            </w:r>
          </w:p>
        </w:tc>
      </w:tr>
      <w:tr>
        <w:trPr>
          <w:trHeight w:val="175"/>
        </w:trPr>
        <w:tc>
          <w:tcPr>
            <w:tcW w:w="1940" w:type="dxa"/>
            <w:vAlign w:val="bottom"/>
            <w:gridSpan w:val="2"/>
          </w:tcPr>
          <w:p>
            <w:pPr>
              <w:ind w:left="20"/>
              <w:spacing w:after="0" w:line="175" w:lineRule="exact"/>
              <w:rPr>
                <w:sz w:val="20"/>
                <w:szCs w:val="20"/>
                <w:color w:val="auto"/>
              </w:rPr>
            </w:pPr>
            <w:r>
              <w:rPr>
                <w:rFonts w:ascii="Times New Roman" w:cs="Times New Roman" w:eastAsia="Times New Roman" w:hAnsi="Times New Roman"/>
                <w:sz w:val="17"/>
                <w:szCs w:val="17"/>
                <w:i w:val="1"/>
                <w:iCs w:val="1"/>
                <w:color w:val="auto"/>
              </w:rPr>
              <w:t>Disaggregation</w:t>
            </w:r>
          </w:p>
        </w:tc>
        <w:tc>
          <w:tcPr>
            <w:tcW w:w="4600" w:type="dxa"/>
            <w:vAlign w:val="bottom"/>
            <w:gridSpan w:val="2"/>
          </w:tcPr>
          <w:p>
            <w:pPr>
              <w:ind w:left="20"/>
              <w:spacing w:after="0" w:line="175" w:lineRule="exact"/>
              <w:rPr>
                <w:sz w:val="20"/>
                <w:szCs w:val="20"/>
                <w:color w:val="auto"/>
              </w:rPr>
            </w:pPr>
            <w:r>
              <w:rPr>
                <w:rFonts w:ascii="Times New Roman" w:cs="Times New Roman" w:eastAsia="Times New Roman" w:hAnsi="Times New Roman"/>
                <w:sz w:val="17"/>
                <w:szCs w:val="17"/>
                <w:color w:val="auto"/>
              </w:rPr>
              <w:t>to provide enhanced transparency into the nature and function of</w:t>
            </w:r>
          </w:p>
        </w:tc>
        <w:tc>
          <w:tcPr>
            <w:tcW w:w="2680" w:type="dxa"/>
            <w:vAlign w:val="bottom"/>
            <w:gridSpan w:val="2"/>
          </w:tcPr>
          <w:p>
            <w:pPr>
              <w:ind w:left="20"/>
              <w:spacing w:after="0" w:line="175" w:lineRule="exact"/>
              <w:rPr>
                <w:sz w:val="20"/>
                <w:szCs w:val="20"/>
                <w:color w:val="auto"/>
              </w:rPr>
            </w:pPr>
            <w:r>
              <w:rPr>
                <w:rFonts w:ascii="Times New Roman" w:cs="Times New Roman" w:eastAsia="Times New Roman" w:hAnsi="Times New Roman"/>
                <w:sz w:val="17"/>
                <w:szCs w:val="17"/>
                <w:color w:val="auto"/>
              </w:rPr>
              <w:t>on either a prospective or</w:t>
            </w:r>
          </w:p>
        </w:tc>
        <w:tc>
          <w:tcPr>
            <w:tcW w:w="2020" w:type="dxa"/>
            <w:vAlign w:val="bottom"/>
          </w:tcPr>
          <w:p>
            <w:pPr>
              <w:spacing w:after="0" w:line="175" w:lineRule="exact"/>
              <w:rPr>
                <w:sz w:val="20"/>
                <w:szCs w:val="20"/>
                <w:color w:val="auto"/>
              </w:rPr>
            </w:pPr>
            <w:r>
              <w:rPr>
                <w:rFonts w:ascii="Times New Roman" w:cs="Times New Roman" w:eastAsia="Times New Roman" w:hAnsi="Times New Roman"/>
                <w:sz w:val="17"/>
                <w:szCs w:val="17"/>
                <w:color w:val="auto"/>
              </w:rPr>
              <w:t>disclosures.</w:t>
            </w:r>
          </w:p>
        </w:tc>
      </w:tr>
      <w:tr>
        <w:trPr>
          <w:trHeight w:val="174"/>
        </w:trPr>
        <w:tc>
          <w:tcPr>
            <w:tcW w:w="1940" w:type="dxa"/>
            <w:vAlign w:val="bottom"/>
            <w:gridSpan w:val="2"/>
          </w:tcPr>
          <w:p>
            <w:pPr>
              <w:ind w:left="20"/>
              <w:spacing w:after="0" w:line="174" w:lineRule="exact"/>
              <w:rPr>
                <w:sz w:val="20"/>
                <w:szCs w:val="20"/>
                <w:color w:val="auto"/>
              </w:rPr>
            </w:pPr>
            <w:r>
              <w:rPr>
                <w:rFonts w:ascii="Times New Roman" w:cs="Times New Roman" w:eastAsia="Times New Roman" w:hAnsi="Times New Roman"/>
                <w:sz w:val="17"/>
                <w:szCs w:val="17"/>
                <w:i w:val="1"/>
                <w:iCs w:val="1"/>
                <w:color w:val="auto"/>
              </w:rPr>
              <w:t>Disclosures</w:t>
            </w:r>
          </w:p>
        </w:tc>
        <w:tc>
          <w:tcPr>
            <w:tcW w:w="4600" w:type="dxa"/>
            <w:vAlign w:val="bottom"/>
            <w:gridSpan w:val="2"/>
          </w:tcPr>
          <w:p>
            <w:pPr>
              <w:ind w:left="20"/>
              <w:spacing w:after="0" w:line="174" w:lineRule="exact"/>
              <w:rPr>
                <w:sz w:val="20"/>
                <w:szCs w:val="20"/>
                <w:color w:val="auto"/>
              </w:rPr>
            </w:pPr>
            <w:r>
              <w:rPr>
                <w:rFonts w:ascii="Times New Roman" w:cs="Times New Roman" w:eastAsia="Times New Roman" w:hAnsi="Times New Roman"/>
                <w:sz w:val="17"/>
                <w:szCs w:val="17"/>
                <w:color w:val="auto"/>
              </w:rPr>
              <w:t>expenses.</w:t>
            </w:r>
          </w:p>
        </w:tc>
        <w:tc>
          <w:tcPr>
            <w:tcW w:w="2680" w:type="dxa"/>
            <w:vAlign w:val="bottom"/>
            <w:gridSpan w:val="2"/>
          </w:tcPr>
          <w:p>
            <w:pPr>
              <w:ind w:left="20"/>
              <w:spacing w:after="0" w:line="174" w:lineRule="exact"/>
              <w:rPr>
                <w:sz w:val="20"/>
                <w:szCs w:val="20"/>
                <w:color w:val="auto"/>
              </w:rPr>
            </w:pPr>
            <w:r>
              <w:rPr>
                <w:rFonts w:ascii="Times New Roman" w:cs="Times New Roman" w:eastAsia="Times New Roman" w:hAnsi="Times New Roman"/>
                <w:sz w:val="17"/>
                <w:szCs w:val="17"/>
                <w:color w:val="auto"/>
              </w:rPr>
              <w:t>retrospective basis, with early</w:t>
            </w:r>
          </w:p>
        </w:tc>
        <w:tc>
          <w:tcPr>
            <w:tcW w:w="2020" w:type="dxa"/>
            <w:vAlign w:val="bottom"/>
          </w:tcPr>
          <w:p>
            <w:pPr>
              <w:spacing w:after="0"/>
              <w:rPr>
                <w:sz w:val="15"/>
                <w:szCs w:val="15"/>
                <w:color w:val="auto"/>
              </w:rPr>
            </w:pPr>
          </w:p>
        </w:tc>
      </w:tr>
      <w:tr>
        <w:trPr>
          <w:trHeight w:val="162"/>
        </w:trPr>
        <w:tc>
          <w:tcPr>
            <w:tcW w:w="1940" w:type="dxa"/>
            <w:vAlign w:val="bottom"/>
            <w:gridSpan w:val="2"/>
          </w:tcPr>
          <w:p>
            <w:pPr>
              <w:ind w:left="20"/>
              <w:spacing w:after="0" w:line="163" w:lineRule="exact"/>
              <w:rPr>
                <w:sz w:val="20"/>
                <w:szCs w:val="20"/>
                <w:color w:val="auto"/>
              </w:rPr>
            </w:pPr>
            <w:r>
              <w:rPr>
                <w:rFonts w:ascii="Times New Roman" w:cs="Times New Roman" w:eastAsia="Times New Roman" w:hAnsi="Times New Roman"/>
                <w:sz w:val="17"/>
                <w:szCs w:val="17"/>
                <w:i w:val="1"/>
                <w:iCs w:val="1"/>
                <w:color w:val="auto"/>
              </w:rPr>
              <w:t>(Subtopic 220-40):</w:t>
            </w:r>
          </w:p>
        </w:tc>
        <w:tc>
          <w:tcPr>
            <w:tcW w:w="4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80" w:type="dxa"/>
            <w:vAlign w:val="bottom"/>
            <w:gridSpan w:val="2"/>
          </w:tcPr>
          <w:p>
            <w:pPr>
              <w:ind w:left="20"/>
              <w:spacing w:after="0" w:line="163" w:lineRule="exact"/>
              <w:rPr>
                <w:sz w:val="20"/>
                <w:szCs w:val="20"/>
                <w:color w:val="auto"/>
              </w:rPr>
            </w:pPr>
            <w:r>
              <w:rPr>
                <w:rFonts w:ascii="Times New Roman" w:cs="Times New Roman" w:eastAsia="Times New Roman" w:hAnsi="Times New Roman"/>
                <w:sz w:val="17"/>
                <w:szCs w:val="17"/>
                <w:color w:val="auto"/>
              </w:rPr>
              <w:t>adoption permitted.</w:t>
            </w:r>
          </w:p>
        </w:tc>
        <w:tc>
          <w:tcPr>
            <w:tcW w:w="2020" w:type="dxa"/>
            <w:vAlign w:val="bottom"/>
          </w:tcPr>
          <w:p>
            <w:pPr>
              <w:spacing w:after="0"/>
              <w:rPr>
                <w:sz w:val="14"/>
                <w:szCs w:val="14"/>
                <w:color w:val="auto"/>
              </w:rPr>
            </w:pPr>
          </w:p>
        </w:tc>
      </w:tr>
      <w:tr>
        <w:trPr>
          <w:trHeight w:val="175"/>
        </w:trPr>
        <w:tc>
          <w:tcPr>
            <w:tcW w:w="1940" w:type="dxa"/>
            <w:vAlign w:val="bottom"/>
            <w:gridSpan w:val="2"/>
          </w:tcPr>
          <w:p>
            <w:pPr>
              <w:ind w:left="20"/>
              <w:spacing w:after="0" w:line="175" w:lineRule="exact"/>
              <w:rPr>
                <w:sz w:val="20"/>
                <w:szCs w:val="20"/>
                <w:color w:val="auto"/>
              </w:rPr>
            </w:pPr>
            <w:r>
              <w:rPr>
                <w:rFonts w:ascii="Times New Roman" w:cs="Times New Roman" w:eastAsia="Times New Roman" w:hAnsi="Times New Roman"/>
                <w:sz w:val="17"/>
                <w:szCs w:val="17"/>
                <w:i w:val="1"/>
                <w:iCs w:val="1"/>
                <w:color w:val="auto"/>
              </w:rPr>
              <w:t>Disaggregation of Income</w:t>
            </w:r>
          </w:p>
        </w:tc>
        <w:tc>
          <w:tcPr>
            <w:tcW w:w="4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20" w:type="dxa"/>
            <w:vAlign w:val="bottom"/>
          </w:tcPr>
          <w:p>
            <w:pPr>
              <w:spacing w:after="0"/>
              <w:rPr>
                <w:sz w:val="15"/>
                <w:szCs w:val="15"/>
                <w:color w:val="auto"/>
              </w:rPr>
            </w:pPr>
          </w:p>
        </w:tc>
      </w:tr>
      <w:tr>
        <w:trPr>
          <w:trHeight w:val="226"/>
        </w:trPr>
        <w:tc>
          <w:tcPr>
            <w:tcW w:w="1940" w:type="dxa"/>
            <w:vAlign w:val="bottom"/>
            <w:gridSpan w:val="2"/>
          </w:tcPr>
          <w:p>
            <w:pPr>
              <w:ind w:left="20"/>
              <w:spacing w:after="0"/>
              <w:rPr>
                <w:sz w:val="20"/>
                <w:szCs w:val="20"/>
                <w:color w:val="auto"/>
              </w:rPr>
            </w:pPr>
            <w:r>
              <w:rPr>
                <w:rFonts w:ascii="Times New Roman" w:cs="Times New Roman" w:eastAsia="Times New Roman" w:hAnsi="Times New Roman"/>
                <w:sz w:val="17"/>
                <w:szCs w:val="17"/>
                <w:i w:val="1"/>
                <w:iCs w:val="1"/>
                <w:color w:val="auto"/>
              </w:rPr>
              <w:t>Statement Expenses</w:t>
            </w:r>
          </w:p>
        </w:tc>
        <w:tc>
          <w:tcPr>
            <w:tcW w:w="4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20" w:type="dxa"/>
            <w:vAlign w:val="bottom"/>
          </w:tcPr>
          <w:p>
            <w:pPr>
              <w:spacing w:after="0"/>
              <w:rPr>
                <w:sz w:val="19"/>
                <w:szCs w:val="19"/>
                <w:color w:val="auto"/>
              </w:rPr>
            </w:pPr>
          </w:p>
        </w:tc>
      </w:tr>
    </w:tbl>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13. Revision of Previously Issued Financial Statements</w:t>
      </w:r>
    </w:p>
    <w:p>
      <w:pPr>
        <w:spacing w:after="0" w:line="12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8"/>
          <w:szCs w:val="18"/>
          <w:color w:val="auto"/>
        </w:rPr>
        <w:t>As discussed in “Note 1. Unaudited Condensed Consolidated Financial Statements,” the Company identified and corrected an immaterial error related to the classification of certain employee costs in the Cardiopulmonary segment between cost of sales and selling, general, and administrative expense in the consolidated statements of income (loss).</w:t>
      </w:r>
    </w:p>
    <w:p>
      <w:pPr>
        <w:spacing w:after="0" w:line="76"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The following tables present a summary of the corrections to the impacted financial statement line items in the Company’s financial statements previously issued in the Annual Report on Form 10-K and unaudited Quarterly Reports on Form 10-Q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8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980" w:type="dxa"/>
            <w:vAlign w:val="bottom"/>
            <w:tcBorders>
              <w:bottom w:val="single" w:sz="8" w:color="auto"/>
            </w:tcBorders>
            <w:gridSpan w:val="7"/>
          </w:tcPr>
          <w:p>
            <w:pPr>
              <w:jc w:val="center"/>
              <w:ind w:right="95"/>
              <w:spacing w:after="0"/>
              <w:rPr>
                <w:sz w:val="20"/>
                <w:szCs w:val="20"/>
                <w:color w:val="auto"/>
              </w:rPr>
            </w:pPr>
            <w:r>
              <w:rPr>
                <w:rFonts w:ascii="Times New Roman" w:cs="Times New Roman" w:eastAsia="Times New Roman" w:hAnsi="Times New Roman"/>
                <w:sz w:val="18"/>
                <w:szCs w:val="18"/>
                <w:b w:val="1"/>
                <w:bCs w:val="1"/>
                <w:color w:val="auto"/>
                <w:w w:val="99"/>
              </w:rPr>
              <w:t>Twelve Months Ended December 31, 2024</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000" w:type="dxa"/>
            <w:vAlign w:val="bottom"/>
            <w:tcBorders>
              <w:bottom w:val="single" w:sz="8" w:color="auto"/>
            </w:tcBorders>
            <w:gridSpan w:val="7"/>
          </w:tcPr>
          <w:p>
            <w:pPr>
              <w:jc w:val="center"/>
              <w:ind w:right="75"/>
              <w:spacing w:after="0"/>
              <w:rPr>
                <w:sz w:val="20"/>
                <w:szCs w:val="20"/>
                <w:color w:val="auto"/>
              </w:rPr>
            </w:pPr>
            <w:r>
              <w:rPr>
                <w:rFonts w:ascii="Times New Roman" w:cs="Times New Roman" w:eastAsia="Times New Roman" w:hAnsi="Times New Roman"/>
                <w:sz w:val="18"/>
                <w:szCs w:val="18"/>
                <w:b w:val="1"/>
                <w:bCs w:val="1"/>
                <w:color w:val="auto"/>
                <w:w w:val="99"/>
              </w:rPr>
              <w:t>Twelve Months Ended December 31, 2023</w:t>
            </w:r>
          </w:p>
        </w:tc>
        <w:tc>
          <w:tcPr>
            <w:tcW w:w="0" w:type="dxa"/>
            <w:vAlign w:val="bottom"/>
          </w:tcPr>
          <w:p>
            <w:pPr>
              <w:spacing w:after="0"/>
              <w:rPr>
                <w:sz w:val="1"/>
                <w:szCs w:val="1"/>
                <w:color w:val="auto"/>
              </w:rPr>
            </w:pPr>
          </w:p>
        </w:tc>
      </w:tr>
      <w:tr>
        <w:trPr>
          <w:trHeight w:val="143"/>
        </w:trPr>
        <w:tc>
          <w:tcPr>
            <w:tcW w:w="2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tcPr>
          <w:p>
            <w:pPr>
              <w:jc w:val="center"/>
              <w:ind w:right="280"/>
              <w:spacing w:after="0" w:line="143" w:lineRule="exact"/>
              <w:rPr>
                <w:sz w:val="20"/>
                <w:szCs w:val="20"/>
                <w:color w:val="auto"/>
              </w:rPr>
            </w:pPr>
            <w:r>
              <w:rPr>
                <w:rFonts w:ascii="Times New Roman" w:cs="Times New Roman" w:eastAsia="Times New Roman" w:hAnsi="Times New Roman"/>
                <w:sz w:val="14"/>
                <w:szCs w:val="14"/>
                <w:b w:val="1"/>
                <w:bCs w:val="1"/>
                <w:color w:val="auto"/>
              </w:rPr>
              <w:t>As Previously</w:t>
            </w:r>
          </w:p>
        </w:tc>
        <w:tc>
          <w:tcPr>
            <w:tcW w:w="200" w:type="dxa"/>
            <w:vAlign w:val="bottom"/>
          </w:tcPr>
          <w:p>
            <w:pPr>
              <w:spacing w:after="0"/>
              <w:rPr>
                <w:sz w:val="12"/>
                <w:szCs w:val="12"/>
                <w:color w:val="auto"/>
              </w:rPr>
            </w:pPr>
          </w:p>
        </w:tc>
        <w:tc>
          <w:tcPr>
            <w:tcW w:w="12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200" w:type="dxa"/>
            <w:vAlign w:val="bottom"/>
          </w:tcPr>
          <w:p>
            <w:pPr>
              <w:spacing w:after="0"/>
              <w:rPr>
                <w:sz w:val="12"/>
                <w:szCs w:val="12"/>
                <w:color w:val="auto"/>
              </w:rPr>
            </w:pPr>
          </w:p>
        </w:tc>
        <w:tc>
          <w:tcPr>
            <w:tcW w:w="12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As Revised</w:t>
            </w:r>
          </w:p>
        </w:tc>
        <w:tc>
          <w:tcPr>
            <w:tcW w:w="160" w:type="dxa"/>
            <w:vAlign w:val="bottom"/>
          </w:tcPr>
          <w:p>
            <w:pPr>
              <w:spacing w:after="0"/>
              <w:rPr>
                <w:sz w:val="12"/>
                <w:szCs w:val="12"/>
                <w:color w:val="auto"/>
              </w:rPr>
            </w:pPr>
          </w:p>
        </w:tc>
        <w:tc>
          <w:tcPr>
            <w:tcW w:w="1260" w:type="dxa"/>
            <w:vAlign w:val="bottom"/>
            <w:gridSpan w:val="2"/>
          </w:tcPr>
          <w:p>
            <w:pPr>
              <w:jc w:val="center"/>
              <w:ind w:right="260"/>
              <w:spacing w:after="0" w:line="143" w:lineRule="exact"/>
              <w:rPr>
                <w:sz w:val="20"/>
                <w:szCs w:val="20"/>
                <w:color w:val="auto"/>
              </w:rPr>
            </w:pPr>
            <w:r>
              <w:rPr>
                <w:rFonts w:ascii="Times New Roman" w:cs="Times New Roman" w:eastAsia="Times New Roman" w:hAnsi="Times New Roman"/>
                <w:sz w:val="14"/>
                <w:szCs w:val="14"/>
                <w:b w:val="1"/>
                <w:bCs w:val="1"/>
                <w:color w:val="auto"/>
              </w:rPr>
              <w:t>As Previously</w:t>
            </w:r>
          </w:p>
        </w:tc>
        <w:tc>
          <w:tcPr>
            <w:tcW w:w="200" w:type="dxa"/>
            <w:vAlign w:val="bottom"/>
          </w:tcPr>
          <w:p>
            <w:pPr>
              <w:spacing w:after="0"/>
              <w:rPr>
                <w:sz w:val="12"/>
                <w:szCs w:val="12"/>
                <w:color w:val="auto"/>
              </w:rPr>
            </w:pPr>
          </w:p>
        </w:tc>
        <w:tc>
          <w:tcPr>
            <w:tcW w:w="12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220" w:type="dxa"/>
            <w:vAlign w:val="bottom"/>
          </w:tcPr>
          <w:p>
            <w:pPr>
              <w:spacing w:after="0"/>
              <w:rPr>
                <w:sz w:val="12"/>
                <w:szCs w:val="12"/>
                <w:color w:val="auto"/>
              </w:rPr>
            </w:pPr>
          </w:p>
        </w:tc>
        <w:tc>
          <w:tcPr>
            <w:tcW w:w="1100" w:type="dxa"/>
            <w:vAlign w:val="bottom"/>
            <w:vMerge w:val="restart"/>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As Revised</w:t>
            </w:r>
          </w:p>
        </w:tc>
        <w:tc>
          <w:tcPr>
            <w:tcW w:w="0" w:type="dxa"/>
            <w:vAlign w:val="bottom"/>
          </w:tcPr>
          <w:p>
            <w:pPr>
              <w:spacing w:after="0"/>
              <w:rPr>
                <w:sz w:val="1"/>
                <w:szCs w:val="1"/>
                <w:color w:val="auto"/>
              </w:rPr>
            </w:pPr>
          </w:p>
        </w:tc>
      </w:tr>
      <w:tr>
        <w:trPr>
          <w:trHeight w:val="193"/>
        </w:trPr>
        <w:tc>
          <w:tcPr>
            <w:tcW w:w="2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Reported</w:t>
            </w:r>
          </w:p>
        </w:tc>
        <w:tc>
          <w:tcPr>
            <w:tcW w:w="20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20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382,564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center"/>
              <w:ind w:left="415"/>
              <w:spacing w:after="0"/>
              <w:rPr>
                <w:sz w:val="20"/>
                <w:szCs w:val="20"/>
                <w:color w:val="auto"/>
              </w:rPr>
            </w:pPr>
            <w:r>
              <w:rPr>
                <w:rFonts w:ascii="Times New Roman" w:cs="Times New Roman" w:eastAsia="Times New Roman" w:hAnsi="Times New Roman"/>
                <w:sz w:val="18"/>
                <w:szCs w:val="18"/>
                <w:color w:val="auto"/>
              </w:rPr>
              <w:t>17,389</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399,953</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382,295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center"/>
              <w:ind w:left="395"/>
              <w:spacing w:after="0"/>
              <w:rPr>
                <w:sz w:val="20"/>
                <w:szCs w:val="20"/>
                <w:color w:val="auto"/>
              </w:rPr>
            </w:pPr>
            <w:r>
              <w:rPr>
                <w:rFonts w:ascii="Times New Roman" w:cs="Times New Roman" w:eastAsia="Times New Roman" w:hAnsi="Times New Roman"/>
                <w:sz w:val="18"/>
                <w:szCs w:val="18"/>
                <w:color w:val="auto"/>
                <w:w w:val="96"/>
              </w:rPr>
              <w:t>15,430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397,725</w:t>
            </w:r>
          </w:p>
        </w:tc>
        <w:tc>
          <w:tcPr>
            <w:tcW w:w="0" w:type="dxa"/>
            <w:vAlign w:val="bottom"/>
          </w:tcPr>
          <w:p>
            <w:pPr>
              <w:spacing w:after="0"/>
              <w:rPr>
                <w:sz w:val="1"/>
                <w:szCs w:val="1"/>
                <w:color w:val="auto"/>
              </w:rPr>
            </w:pPr>
          </w:p>
        </w:tc>
      </w:tr>
      <w:tr>
        <w:trPr>
          <w:trHeight w:val="228"/>
        </w:trPr>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870,873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center"/>
              <w:ind w:left="375"/>
              <w:spacing w:after="0"/>
              <w:rPr>
                <w:sz w:val="20"/>
                <w:szCs w:val="20"/>
                <w:color w:val="auto"/>
              </w:rPr>
            </w:pPr>
            <w:r>
              <w:rPr>
                <w:rFonts w:ascii="Times New Roman" w:cs="Times New Roman" w:eastAsia="Times New Roman" w:hAnsi="Times New Roman"/>
                <w:sz w:val="18"/>
                <w:szCs w:val="18"/>
                <w:color w:val="auto"/>
              </w:rPr>
              <w:t>(17,389)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853,484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771,250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center"/>
              <w:ind w:left="355"/>
              <w:spacing w:after="0"/>
              <w:rPr>
                <w:sz w:val="20"/>
                <w:szCs w:val="20"/>
                <w:color w:val="auto"/>
              </w:rPr>
            </w:pPr>
            <w:r>
              <w:rPr>
                <w:rFonts w:ascii="Times New Roman" w:cs="Times New Roman" w:eastAsia="Times New Roman" w:hAnsi="Times New Roman"/>
                <w:sz w:val="18"/>
                <w:szCs w:val="18"/>
                <w:color w:val="auto"/>
                <w:w w:val="97"/>
              </w:rPr>
              <w:t>(15,430)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755,820</w:t>
            </w:r>
          </w:p>
        </w:tc>
        <w:tc>
          <w:tcPr>
            <w:tcW w:w="0" w:type="dxa"/>
            <w:vAlign w:val="bottom"/>
          </w:tcPr>
          <w:p>
            <w:pPr>
              <w:spacing w:after="0"/>
              <w:rPr>
                <w:sz w:val="1"/>
                <w:szCs w:val="1"/>
                <w:color w:val="auto"/>
              </w:rPr>
            </w:pPr>
          </w:p>
        </w:tc>
      </w:tr>
      <w:tr>
        <w:trPr>
          <w:trHeight w:val="228"/>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526,265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center"/>
              <w:ind w:left="375"/>
              <w:spacing w:after="0"/>
              <w:rPr>
                <w:sz w:val="20"/>
                <w:szCs w:val="20"/>
                <w:color w:val="auto"/>
              </w:rPr>
            </w:pPr>
            <w:r>
              <w:rPr>
                <w:rFonts w:ascii="Times New Roman" w:cs="Times New Roman" w:eastAsia="Times New Roman" w:hAnsi="Times New Roman"/>
                <w:sz w:val="18"/>
                <w:szCs w:val="18"/>
                <w:color w:val="auto"/>
              </w:rPr>
              <w:t>(17,389)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508,876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518,129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center"/>
              <w:ind w:left="355"/>
              <w:spacing w:after="0"/>
              <w:rPr>
                <w:sz w:val="20"/>
                <w:szCs w:val="20"/>
                <w:color w:val="auto"/>
              </w:rPr>
            </w:pPr>
            <w:r>
              <w:rPr>
                <w:rFonts w:ascii="Times New Roman" w:cs="Times New Roman" w:eastAsia="Times New Roman" w:hAnsi="Times New Roman"/>
                <w:sz w:val="18"/>
                <w:szCs w:val="18"/>
                <w:color w:val="auto"/>
                <w:w w:val="97"/>
              </w:rPr>
              <w:t>(15,430)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502,699</w:t>
            </w:r>
          </w:p>
        </w:tc>
        <w:tc>
          <w:tcPr>
            <w:tcW w:w="0" w:type="dxa"/>
            <w:vAlign w:val="bottom"/>
          </w:tcPr>
          <w:p>
            <w:pPr>
              <w:spacing w:after="0"/>
              <w:rPr>
                <w:sz w:val="1"/>
                <w:szCs w:val="1"/>
                <w:color w:val="auto"/>
              </w:rPr>
            </w:pPr>
          </w:p>
        </w:tc>
      </w:tr>
    </w:tbl>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8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980" w:type="dxa"/>
            <w:vAlign w:val="bottom"/>
            <w:tcBorders>
              <w:bottom w:val="single" w:sz="8" w:color="auto"/>
            </w:tcBorders>
            <w:gridSpan w:val="7"/>
          </w:tcPr>
          <w:p>
            <w:pPr>
              <w:jc w:val="center"/>
              <w:ind w:right="75"/>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 2025</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000" w:type="dxa"/>
            <w:vAlign w:val="bottom"/>
            <w:tcBorders>
              <w:bottom w:val="single" w:sz="8" w:color="auto"/>
            </w:tcBorders>
            <w:gridSpan w:val="7"/>
          </w:tcPr>
          <w:p>
            <w:pPr>
              <w:jc w:val="center"/>
              <w:ind w:right="95"/>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 2024</w:t>
            </w:r>
          </w:p>
        </w:tc>
        <w:tc>
          <w:tcPr>
            <w:tcW w:w="0" w:type="dxa"/>
            <w:vAlign w:val="bottom"/>
          </w:tcPr>
          <w:p>
            <w:pPr>
              <w:spacing w:after="0"/>
              <w:rPr>
                <w:sz w:val="1"/>
                <w:szCs w:val="1"/>
                <w:color w:val="auto"/>
              </w:rPr>
            </w:pPr>
          </w:p>
        </w:tc>
      </w:tr>
      <w:tr>
        <w:trPr>
          <w:trHeight w:val="141"/>
        </w:trPr>
        <w:tc>
          <w:tcPr>
            <w:tcW w:w="2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tcPr>
          <w:p>
            <w:pPr>
              <w:jc w:val="center"/>
              <w:ind w:right="280"/>
              <w:spacing w:after="0" w:line="141" w:lineRule="exact"/>
              <w:rPr>
                <w:sz w:val="20"/>
                <w:szCs w:val="20"/>
                <w:color w:val="auto"/>
              </w:rPr>
            </w:pPr>
            <w:r>
              <w:rPr>
                <w:rFonts w:ascii="Times New Roman" w:cs="Times New Roman" w:eastAsia="Times New Roman" w:hAnsi="Times New Roman"/>
                <w:sz w:val="14"/>
                <w:szCs w:val="14"/>
                <w:b w:val="1"/>
                <w:bCs w:val="1"/>
                <w:color w:val="auto"/>
              </w:rPr>
              <w:t>As Previously</w:t>
            </w:r>
          </w:p>
        </w:tc>
        <w:tc>
          <w:tcPr>
            <w:tcW w:w="200" w:type="dxa"/>
            <w:vAlign w:val="bottom"/>
          </w:tcPr>
          <w:p>
            <w:pPr>
              <w:spacing w:after="0"/>
              <w:rPr>
                <w:sz w:val="12"/>
                <w:szCs w:val="12"/>
                <w:color w:val="auto"/>
              </w:rPr>
            </w:pPr>
          </w:p>
        </w:tc>
        <w:tc>
          <w:tcPr>
            <w:tcW w:w="1120" w:type="dxa"/>
            <w:vAlign w:val="bottom"/>
            <w:vMerge w:val="restart"/>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As Revised</w:t>
            </w:r>
          </w:p>
        </w:tc>
        <w:tc>
          <w:tcPr>
            <w:tcW w:w="160" w:type="dxa"/>
            <w:vAlign w:val="bottom"/>
          </w:tcPr>
          <w:p>
            <w:pPr>
              <w:spacing w:after="0"/>
              <w:rPr>
                <w:sz w:val="12"/>
                <w:szCs w:val="12"/>
                <w:color w:val="auto"/>
              </w:rPr>
            </w:pPr>
          </w:p>
        </w:tc>
        <w:tc>
          <w:tcPr>
            <w:tcW w:w="1260" w:type="dxa"/>
            <w:vAlign w:val="bottom"/>
            <w:gridSpan w:val="2"/>
          </w:tcPr>
          <w:p>
            <w:pPr>
              <w:jc w:val="center"/>
              <w:ind w:right="260"/>
              <w:spacing w:after="0" w:line="141" w:lineRule="exact"/>
              <w:rPr>
                <w:sz w:val="20"/>
                <w:szCs w:val="20"/>
                <w:color w:val="auto"/>
              </w:rPr>
            </w:pPr>
            <w:r>
              <w:rPr>
                <w:rFonts w:ascii="Times New Roman" w:cs="Times New Roman" w:eastAsia="Times New Roman" w:hAnsi="Times New Roman"/>
                <w:sz w:val="14"/>
                <w:szCs w:val="14"/>
                <w:b w:val="1"/>
                <w:bCs w:val="1"/>
                <w:color w:val="auto"/>
              </w:rPr>
              <w:t>As Previously</w:t>
            </w:r>
          </w:p>
        </w:tc>
        <w:tc>
          <w:tcPr>
            <w:tcW w:w="200" w:type="dxa"/>
            <w:vAlign w:val="bottom"/>
          </w:tcPr>
          <w:p>
            <w:pPr>
              <w:spacing w:after="0"/>
              <w:rPr>
                <w:sz w:val="12"/>
                <w:szCs w:val="12"/>
                <w:color w:val="auto"/>
              </w:rPr>
            </w:pPr>
          </w:p>
        </w:tc>
        <w:tc>
          <w:tcPr>
            <w:tcW w:w="12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220" w:type="dxa"/>
            <w:vAlign w:val="bottom"/>
          </w:tcPr>
          <w:p>
            <w:pPr>
              <w:spacing w:after="0"/>
              <w:rPr>
                <w:sz w:val="12"/>
                <w:szCs w:val="12"/>
                <w:color w:val="auto"/>
              </w:rPr>
            </w:pPr>
          </w:p>
        </w:tc>
        <w:tc>
          <w:tcPr>
            <w:tcW w:w="1100" w:type="dxa"/>
            <w:vAlign w:val="bottom"/>
            <w:vMerge w:val="restart"/>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As Revised</w:t>
            </w:r>
          </w:p>
        </w:tc>
        <w:tc>
          <w:tcPr>
            <w:tcW w:w="0" w:type="dxa"/>
            <w:vAlign w:val="bottom"/>
          </w:tcPr>
          <w:p>
            <w:pPr>
              <w:spacing w:after="0"/>
              <w:rPr>
                <w:sz w:val="1"/>
                <w:szCs w:val="1"/>
                <w:color w:val="auto"/>
              </w:rPr>
            </w:pPr>
          </w:p>
        </w:tc>
      </w:tr>
      <w:tr>
        <w:trPr>
          <w:trHeight w:val="195"/>
        </w:trPr>
        <w:tc>
          <w:tcPr>
            <w:tcW w:w="2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Reported</w:t>
            </w:r>
          </w:p>
        </w:tc>
        <w:tc>
          <w:tcPr>
            <w:tcW w:w="20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20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96,080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center"/>
              <w:ind w:left="495"/>
              <w:spacing w:after="0"/>
              <w:rPr>
                <w:sz w:val="20"/>
                <w:szCs w:val="20"/>
                <w:color w:val="auto"/>
              </w:rPr>
            </w:pPr>
            <w:r>
              <w:rPr>
                <w:rFonts w:ascii="Times New Roman" w:cs="Times New Roman" w:eastAsia="Times New Roman" w:hAnsi="Times New Roman"/>
                <w:sz w:val="18"/>
                <w:szCs w:val="18"/>
                <w:color w:val="auto"/>
              </w:rPr>
              <w:t>4,521</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100,601</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87,522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center"/>
              <w:ind w:left="475"/>
              <w:spacing w:after="0"/>
              <w:rPr>
                <w:sz w:val="20"/>
                <w:szCs w:val="20"/>
                <w:color w:val="auto"/>
              </w:rPr>
            </w:pPr>
            <w:r>
              <w:rPr>
                <w:rFonts w:ascii="Times New Roman" w:cs="Times New Roman" w:eastAsia="Times New Roman" w:hAnsi="Times New Roman"/>
                <w:sz w:val="18"/>
                <w:szCs w:val="18"/>
                <w:color w:val="auto"/>
                <w:w w:val="98"/>
              </w:rPr>
              <w:t>4,182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91,704</w:t>
            </w:r>
          </w:p>
        </w:tc>
        <w:tc>
          <w:tcPr>
            <w:tcW w:w="0" w:type="dxa"/>
            <w:vAlign w:val="bottom"/>
          </w:tcPr>
          <w:p>
            <w:pPr>
              <w:spacing w:after="0"/>
              <w:rPr>
                <w:sz w:val="1"/>
                <w:szCs w:val="1"/>
                <w:color w:val="auto"/>
              </w:rPr>
            </w:pPr>
          </w:p>
        </w:tc>
      </w:tr>
      <w:tr>
        <w:trPr>
          <w:trHeight w:val="228"/>
        </w:trPr>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220,775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center"/>
              <w:ind w:left="475"/>
              <w:spacing w:after="0"/>
              <w:rPr>
                <w:sz w:val="20"/>
                <w:szCs w:val="20"/>
                <w:color w:val="auto"/>
              </w:rPr>
            </w:pPr>
            <w:r>
              <w:rPr>
                <w:rFonts w:ascii="Times New Roman" w:cs="Times New Roman" w:eastAsia="Times New Roman" w:hAnsi="Times New Roman"/>
                <w:sz w:val="18"/>
                <w:szCs w:val="18"/>
                <w:color w:val="auto"/>
                <w:w w:val="98"/>
              </w:rPr>
              <w:t>(4,521)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216,254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207,390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center"/>
              <w:ind w:left="435"/>
              <w:spacing w:after="0"/>
              <w:rPr>
                <w:sz w:val="20"/>
                <w:szCs w:val="20"/>
                <w:color w:val="auto"/>
              </w:rPr>
            </w:pPr>
            <w:r>
              <w:rPr>
                <w:rFonts w:ascii="Times New Roman" w:cs="Times New Roman" w:eastAsia="Times New Roman" w:hAnsi="Times New Roman"/>
                <w:sz w:val="18"/>
                <w:szCs w:val="18"/>
                <w:color w:val="auto"/>
                <w:w w:val="98"/>
              </w:rPr>
              <w:t>(4,182)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203,208</w:t>
            </w:r>
          </w:p>
        </w:tc>
        <w:tc>
          <w:tcPr>
            <w:tcW w:w="0" w:type="dxa"/>
            <w:vAlign w:val="bottom"/>
          </w:tcPr>
          <w:p>
            <w:pPr>
              <w:spacing w:after="0"/>
              <w:rPr>
                <w:sz w:val="1"/>
                <w:szCs w:val="1"/>
                <w:color w:val="auto"/>
              </w:rPr>
            </w:pPr>
          </w:p>
        </w:tc>
      </w:tr>
      <w:tr>
        <w:trPr>
          <w:trHeight w:val="228"/>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133,667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center"/>
              <w:ind w:left="475"/>
              <w:spacing w:after="0"/>
              <w:rPr>
                <w:sz w:val="20"/>
                <w:szCs w:val="20"/>
                <w:color w:val="auto"/>
              </w:rPr>
            </w:pPr>
            <w:r>
              <w:rPr>
                <w:rFonts w:ascii="Times New Roman" w:cs="Times New Roman" w:eastAsia="Times New Roman" w:hAnsi="Times New Roman"/>
                <w:sz w:val="18"/>
                <w:szCs w:val="18"/>
                <w:color w:val="auto"/>
                <w:w w:val="98"/>
              </w:rPr>
              <w:t>(4,521)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129,146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129,863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center"/>
              <w:ind w:left="435"/>
              <w:spacing w:after="0"/>
              <w:rPr>
                <w:sz w:val="20"/>
                <w:szCs w:val="20"/>
                <w:color w:val="auto"/>
              </w:rPr>
            </w:pPr>
            <w:r>
              <w:rPr>
                <w:rFonts w:ascii="Times New Roman" w:cs="Times New Roman" w:eastAsia="Times New Roman" w:hAnsi="Times New Roman"/>
                <w:sz w:val="18"/>
                <w:szCs w:val="18"/>
                <w:color w:val="auto"/>
                <w:w w:val="98"/>
              </w:rPr>
              <w:t>(4,182)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125,681</w:t>
            </w:r>
          </w:p>
        </w:tc>
        <w:tc>
          <w:tcPr>
            <w:tcW w:w="0" w:type="dxa"/>
            <w:vAlign w:val="bottom"/>
          </w:tcPr>
          <w:p>
            <w:pPr>
              <w:spacing w:after="0"/>
              <w:rPr>
                <w:sz w:val="1"/>
                <w:szCs w:val="1"/>
                <w:color w:val="auto"/>
              </w:rPr>
            </w:pPr>
          </w:p>
        </w:tc>
      </w:tr>
      <w:tr>
        <w:trPr>
          <w:trHeight w:val="847"/>
        </w:trPr>
        <w:tc>
          <w:tcPr>
            <w:tcW w:w="2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800" w:type="dxa"/>
            <w:vAlign w:val="bottom"/>
            <w:tcBorders>
              <w:bottom w:val="single" w:sz="8" w:color="9A9A9A"/>
            </w:tcBorders>
          </w:tcPr>
          <w:p>
            <w:pPr>
              <w:spacing w:after="0"/>
              <w:rPr>
                <w:sz w:val="19"/>
                <w:szCs w:val="19"/>
                <w:color w:val="auto"/>
              </w:rPr>
            </w:pPr>
          </w:p>
        </w:tc>
        <w:tc>
          <w:tcPr>
            <w:tcW w:w="180" w:type="dxa"/>
            <w:vAlign w:val="bottom"/>
            <w:tcBorders>
              <w:bottom w:val="single" w:sz="8" w:color="9A9A9A"/>
            </w:tcBorders>
          </w:tcPr>
          <w:p>
            <w:pPr>
              <w:spacing w:after="0"/>
              <w:rPr>
                <w:sz w:val="19"/>
                <w:szCs w:val="19"/>
                <w:color w:val="auto"/>
              </w:rPr>
            </w:pPr>
          </w:p>
        </w:tc>
        <w:tc>
          <w:tcPr>
            <w:tcW w:w="114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200" w:type="dxa"/>
            <w:vAlign w:val="bottom"/>
            <w:tcBorders>
              <w:bottom w:val="single" w:sz="8" w:color="9A9A9A"/>
            </w:tcBorders>
          </w:tcPr>
          <w:p>
            <w:pPr>
              <w:spacing w:after="0"/>
              <w:rPr>
                <w:sz w:val="19"/>
                <w:szCs w:val="19"/>
                <w:color w:val="auto"/>
              </w:rPr>
            </w:pPr>
          </w:p>
        </w:tc>
        <w:tc>
          <w:tcPr>
            <w:tcW w:w="1120" w:type="dxa"/>
            <w:vAlign w:val="bottom"/>
            <w:tcBorders>
              <w:bottom w:val="single" w:sz="8" w:color="9A9A9A"/>
            </w:tcBorders>
          </w:tcPr>
          <w:p>
            <w:pPr>
              <w:spacing w:after="0"/>
              <w:rPr>
                <w:sz w:val="19"/>
                <w:szCs w:val="19"/>
                <w:color w:val="auto"/>
              </w:rPr>
            </w:pPr>
          </w:p>
        </w:tc>
        <w:tc>
          <w:tcPr>
            <w:tcW w:w="120" w:type="dxa"/>
            <w:vAlign w:val="bottom"/>
            <w:tcBorders>
              <w:bottom w:val="single" w:sz="8" w:color="9A9A9A"/>
            </w:tcBorders>
          </w:tcPr>
          <w:p>
            <w:pPr>
              <w:spacing w:after="0"/>
              <w:rPr>
                <w:sz w:val="19"/>
                <w:szCs w:val="19"/>
                <w:color w:val="auto"/>
              </w:rPr>
            </w:pPr>
          </w:p>
        </w:tc>
        <w:tc>
          <w:tcPr>
            <w:tcW w:w="220" w:type="dxa"/>
            <w:vAlign w:val="bottom"/>
            <w:tcBorders>
              <w:bottom w:val="single" w:sz="8" w:color="9A9A9A"/>
            </w:tcBorders>
          </w:tcPr>
          <w:p>
            <w:pPr>
              <w:spacing w:after="0"/>
              <w:rPr>
                <w:sz w:val="19"/>
                <w:szCs w:val="19"/>
                <w:color w:val="auto"/>
              </w:rPr>
            </w:pPr>
          </w:p>
        </w:tc>
        <w:tc>
          <w:tcPr>
            <w:tcW w:w="1080" w:type="dxa"/>
            <w:vAlign w:val="bottom"/>
            <w:tcBorders>
              <w:bottom w:val="single" w:sz="8" w:color="9A9A9A"/>
            </w:tcBorders>
          </w:tcPr>
          <w:p>
            <w:pPr>
              <w:spacing w:after="0"/>
              <w:rPr>
                <w:sz w:val="19"/>
                <w:szCs w:val="19"/>
                <w:color w:val="auto"/>
              </w:rPr>
            </w:pPr>
          </w:p>
        </w:tc>
        <w:tc>
          <w:tcPr>
            <w:tcW w:w="120" w:type="dxa"/>
            <w:vAlign w:val="bottom"/>
            <w:tcBorders>
              <w:bottom w:val="single" w:sz="8" w:color="9A9A9A"/>
            </w:tcBorders>
          </w:tcPr>
          <w:p>
            <w:pPr>
              <w:spacing w:after="0"/>
              <w:rPr>
                <w:sz w:val="19"/>
                <w:szCs w:val="19"/>
                <w:color w:val="auto"/>
              </w:rPr>
            </w:pPr>
          </w:p>
        </w:tc>
        <w:tc>
          <w:tcPr>
            <w:tcW w:w="160" w:type="dxa"/>
            <w:vAlign w:val="bottom"/>
            <w:tcBorders>
              <w:bottom w:val="single" w:sz="8" w:color="9A9A9A"/>
            </w:tcBorders>
          </w:tcPr>
          <w:p>
            <w:pPr>
              <w:spacing w:after="0"/>
              <w:rPr>
                <w:sz w:val="19"/>
                <w:szCs w:val="19"/>
                <w:color w:val="auto"/>
              </w:rPr>
            </w:pPr>
          </w:p>
        </w:tc>
        <w:tc>
          <w:tcPr>
            <w:tcW w:w="116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200" w:type="dxa"/>
            <w:vAlign w:val="bottom"/>
            <w:tcBorders>
              <w:bottom w:val="single" w:sz="8" w:color="9A9A9A"/>
            </w:tcBorders>
          </w:tcPr>
          <w:p>
            <w:pPr>
              <w:spacing w:after="0"/>
              <w:rPr>
                <w:sz w:val="19"/>
                <w:szCs w:val="19"/>
                <w:color w:val="auto"/>
              </w:rPr>
            </w:pPr>
          </w:p>
        </w:tc>
        <w:tc>
          <w:tcPr>
            <w:tcW w:w="112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220" w:type="dxa"/>
            <w:vAlign w:val="bottom"/>
            <w:tcBorders>
              <w:bottom w:val="single" w:sz="8" w:color="9A9A9A"/>
            </w:tcBorders>
          </w:tcPr>
          <w:p>
            <w:pPr>
              <w:spacing w:after="0"/>
              <w:rPr>
                <w:sz w:val="19"/>
                <w:szCs w:val="19"/>
                <w:color w:val="auto"/>
              </w:rPr>
            </w:pPr>
          </w:p>
        </w:tc>
        <w:tc>
          <w:tcPr>
            <w:tcW w:w="1100" w:type="dxa"/>
            <w:vAlign w:val="bottom"/>
            <w:tcBorders>
              <w:bottom w:val="single" w:sz="8" w:color="9A9A9A"/>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37"/>
        </w:trPr>
        <w:tc>
          <w:tcPr>
            <w:tcW w:w="28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980" w:type="dxa"/>
            <w:vAlign w:val="bottom"/>
            <w:tcBorders>
              <w:bottom w:val="single" w:sz="8" w:color="auto"/>
            </w:tcBorders>
            <w:gridSpan w:val="7"/>
          </w:tcPr>
          <w:p>
            <w:pPr>
              <w:jc w:val="center"/>
              <w:ind w:right="95"/>
              <w:spacing w:after="0"/>
              <w:rPr>
                <w:sz w:val="20"/>
                <w:szCs w:val="20"/>
                <w:color w:val="auto"/>
              </w:rPr>
            </w:pPr>
            <w:r>
              <w:rPr>
                <w:rFonts w:ascii="Times New Roman" w:cs="Times New Roman" w:eastAsia="Times New Roman" w:hAnsi="Times New Roman"/>
                <w:sz w:val="18"/>
                <w:szCs w:val="18"/>
                <w:b w:val="1"/>
                <w:bCs w:val="1"/>
                <w:color w:val="auto"/>
                <w:w w:val="99"/>
              </w:rPr>
              <w:t>Three Months Ended June 30, 2024</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000" w:type="dxa"/>
            <w:vAlign w:val="bottom"/>
            <w:tcBorders>
              <w:bottom w:val="single" w:sz="8" w:color="auto"/>
            </w:tcBorders>
            <w:gridSpan w:val="7"/>
          </w:tcPr>
          <w:p>
            <w:pPr>
              <w:jc w:val="center"/>
              <w:ind w:right="95"/>
              <w:spacing w:after="0"/>
              <w:rPr>
                <w:sz w:val="20"/>
                <w:szCs w:val="20"/>
                <w:color w:val="auto"/>
              </w:rPr>
            </w:pPr>
            <w:r>
              <w:rPr>
                <w:rFonts w:ascii="Times New Roman" w:cs="Times New Roman" w:eastAsia="Times New Roman" w:hAnsi="Times New Roman"/>
                <w:sz w:val="18"/>
                <w:szCs w:val="18"/>
                <w:b w:val="1"/>
                <w:bCs w:val="1"/>
                <w:color w:val="auto"/>
                <w:w w:val="99"/>
              </w:rPr>
              <w:t>Six Months Ended June 30, 2024</w:t>
            </w:r>
          </w:p>
        </w:tc>
        <w:tc>
          <w:tcPr>
            <w:tcW w:w="0" w:type="dxa"/>
            <w:vAlign w:val="bottom"/>
          </w:tcPr>
          <w:p>
            <w:pPr>
              <w:spacing w:after="0"/>
              <w:rPr>
                <w:sz w:val="1"/>
                <w:szCs w:val="1"/>
                <w:color w:val="auto"/>
              </w:rPr>
            </w:pPr>
          </w:p>
        </w:tc>
      </w:tr>
      <w:tr>
        <w:trPr>
          <w:trHeight w:val="143"/>
        </w:trPr>
        <w:tc>
          <w:tcPr>
            <w:tcW w:w="2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tcPr>
          <w:p>
            <w:pPr>
              <w:jc w:val="center"/>
              <w:ind w:right="280"/>
              <w:spacing w:after="0" w:line="143" w:lineRule="exact"/>
              <w:rPr>
                <w:sz w:val="20"/>
                <w:szCs w:val="20"/>
                <w:color w:val="auto"/>
              </w:rPr>
            </w:pPr>
            <w:r>
              <w:rPr>
                <w:rFonts w:ascii="Times New Roman" w:cs="Times New Roman" w:eastAsia="Times New Roman" w:hAnsi="Times New Roman"/>
                <w:sz w:val="14"/>
                <w:szCs w:val="14"/>
                <w:b w:val="1"/>
                <w:bCs w:val="1"/>
                <w:color w:val="auto"/>
              </w:rPr>
              <w:t>As Previously</w:t>
            </w:r>
          </w:p>
        </w:tc>
        <w:tc>
          <w:tcPr>
            <w:tcW w:w="200" w:type="dxa"/>
            <w:vAlign w:val="bottom"/>
          </w:tcPr>
          <w:p>
            <w:pPr>
              <w:spacing w:after="0"/>
              <w:rPr>
                <w:sz w:val="12"/>
                <w:szCs w:val="12"/>
                <w:color w:val="auto"/>
              </w:rPr>
            </w:pPr>
          </w:p>
        </w:tc>
        <w:tc>
          <w:tcPr>
            <w:tcW w:w="12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200" w:type="dxa"/>
            <w:vAlign w:val="bottom"/>
          </w:tcPr>
          <w:p>
            <w:pPr>
              <w:spacing w:after="0"/>
              <w:rPr>
                <w:sz w:val="12"/>
                <w:szCs w:val="12"/>
                <w:color w:val="auto"/>
              </w:rPr>
            </w:pPr>
          </w:p>
        </w:tc>
        <w:tc>
          <w:tcPr>
            <w:tcW w:w="12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As Revised</w:t>
            </w:r>
          </w:p>
        </w:tc>
        <w:tc>
          <w:tcPr>
            <w:tcW w:w="160" w:type="dxa"/>
            <w:vAlign w:val="bottom"/>
          </w:tcPr>
          <w:p>
            <w:pPr>
              <w:spacing w:after="0"/>
              <w:rPr>
                <w:sz w:val="12"/>
                <w:szCs w:val="12"/>
                <w:color w:val="auto"/>
              </w:rPr>
            </w:pPr>
          </w:p>
        </w:tc>
        <w:tc>
          <w:tcPr>
            <w:tcW w:w="1260" w:type="dxa"/>
            <w:vAlign w:val="bottom"/>
            <w:gridSpan w:val="2"/>
          </w:tcPr>
          <w:p>
            <w:pPr>
              <w:jc w:val="center"/>
              <w:ind w:right="260"/>
              <w:spacing w:after="0" w:line="143" w:lineRule="exact"/>
              <w:rPr>
                <w:sz w:val="20"/>
                <w:szCs w:val="20"/>
                <w:color w:val="auto"/>
              </w:rPr>
            </w:pPr>
            <w:r>
              <w:rPr>
                <w:rFonts w:ascii="Times New Roman" w:cs="Times New Roman" w:eastAsia="Times New Roman" w:hAnsi="Times New Roman"/>
                <w:sz w:val="14"/>
                <w:szCs w:val="14"/>
                <w:b w:val="1"/>
                <w:bCs w:val="1"/>
                <w:color w:val="auto"/>
              </w:rPr>
              <w:t>As Previously</w:t>
            </w:r>
          </w:p>
        </w:tc>
        <w:tc>
          <w:tcPr>
            <w:tcW w:w="200" w:type="dxa"/>
            <w:vAlign w:val="bottom"/>
          </w:tcPr>
          <w:p>
            <w:pPr>
              <w:spacing w:after="0"/>
              <w:rPr>
                <w:sz w:val="12"/>
                <w:szCs w:val="12"/>
                <w:color w:val="auto"/>
              </w:rPr>
            </w:pPr>
          </w:p>
        </w:tc>
        <w:tc>
          <w:tcPr>
            <w:tcW w:w="12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220" w:type="dxa"/>
            <w:vAlign w:val="bottom"/>
          </w:tcPr>
          <w:p>
            <w:pPr>
              <w:spacing w:after="0"/>
              <w:rPr>
                <w:sz w:val="12"/>
                <w:szCs w:val="12"/>
                <w:color w:val="auto"/>
              </w:rPr>
            </w:pPr>
          </w:p>
        </w:tc>
        <w:tc>
          <w:tcPr>
            <w:tcW w:w="1100" w:type="dxa"/>
            <w:vAlign w:val="bottom"/>
            <w:vMerge w:val="restart"/>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As Revised</w:t>
            </w:r>
          </w:p>
        </w:tc>
        <w:tc>
          <w:tcPr>
            <w:tcW w:w="0" w:type="dxa"/>
            <w:vAlign w:val="bottom"/>
          </w:tcPr>
          <w:p>
            <w:pPr>
              <w:spacing w:after="0"/>
              <w:rPr>
                <w:sz w:val="1"/>
                <w:szCs w:val="1"/>
                <w:color w:val="auto"/>
              </w:rPr>
            </w:pPr>
          </w:p>
        </w:tc>
      </w:tr>
      <w:tr>
        <w:trPr>
          <w:trHeight w:val="193"/>
        </w:trPr>
        <w:tc>
          <w:tcPr>
            <w:tcW w:w="2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Reported</w:t>
            </w:r>
          </w:p>
        </w:tc>
        <w:tc>
          <w:tcPr>
            <w:tcW w:w="20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20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99,710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center"/>
              <w:ind w:left="495"/>
              <w:spacing w:after="0"/>
              <w:rPr>
                <w:sz w:val="20"/>
                <w:szCs w:val="20"/>
                <w:color w:val="auto"/>
              </w:rPr>
            </w:pPr>
            <w:r>
              <w:rPr>
                <w:rFonts w:ascii="Times New Roman" w:cs="Times New Roman" w:eastAsia="Times New Roman" w:hAnsi="Times New Roman"/>
                <w:sz w:val="18"/>
                <w:szCs w:val="18"/>
                <w:color w:val="auto"/>
              </w:rPr>
              <w:t>3,987</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103,697</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187,232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center"/>
              <w:ind w:left="475"/>
              <w:spacing w:after="0"/>
              <w:rPr>
                <w:sz w:val="20"/>
                <w:szCs w:val="20"/>
                <w:color w:val="auto"/>
              </w:rPr>
            </w:pPr>
            <w:r>
              <w:rPr>
                <w:rFonts w:ascii="Times New Roman" w:cs="Times New Roman" w:eastAsia="Times New Roman" w:hAnsi="Times New Roman"/>
                <w:sz w:val="18"/>
                <w:szCs w:val="18"/>
                <w:color w:val="auto"/>
                <w:w w:val="98"/>
              </w:rPr>
              <w:t>8,169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195,401</w:t>
            </w:r>
          </w:p>
        </w:tc>
        <w:tc>
          <w:tcPr>
            <w:tcW w:w="0" w:type="dxa"/>
            <w:vAlign w:val="bottom"/>
          </w:tcPr>
          <w:p>
            <w:pPr>
              <w:spacing w:after="0"/>
              <w:rPr>
                <w:sz w:val="1"/>
                <w:szCs w:val="1"/>
                <w:color w:val="auto"/>
              </w:rPr>
            </w:pPr>
          </w:p>
        </w:tc>
      </w:tr>
      <w:tr>
        <w:trPr>
          <w:trHeight w:val="228"/>
        </w:trPr>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218,865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center"/>
              <w:ind w:left="475"/>
              <w:spacing w:after="0"/>
              <w:rPr>
                <w:sz w:val="20"/>
                <w:szCs w:val="20"/>
                <w:color w:val="auto"/>
              </w:rPr>
            </w:pPr>
            <w:r>
              <w:rPr>
                <w:rFonts w:ascii="Times New Roman" w:cs="Times New Roman" w:eastAsia="Times New Roman" w:hAnsi="Times New Roman"/>
                <w:sz w:val="18"/>
                <w:szCs w:val="18"/>
                <w:color w:val="auto"/>
                <w:w w:val="98"/>
              </w:rPr>
              <w:t>(3,987)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214,878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426,255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center"/>
              <w:ind w:left="435"/>
              <w:spacing w:after="0"/>
              <w:rPr>
                <w:sz w:val="20"/>
                <w:szCs w:val="20"/>
                <w:color w:val="auto"/>
              </w:rPr>
            </w:pPr>
            <w:r>
              <w:rPr>
                <w:rFonts w:ascii="Times New Roman" w:cs="Times New Roman" w:eastAsia="Times New Roman" w:hAnsi="Times New Roman"/>
                <w:sz w:val="18"/>
                <w:szCs w:val="18"/>
                <w:color w:val="auto"/>
                <w:w w:val="98"/>
              </w:rPr>
              <w:t>(8,169)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418,086</w:t>
            </w:r>
          </w:p>
        </w:tc>
        <w:tc>
          <w:tcPr>
            <w:tcW w:w="0" w:type="dxa"/>
            <w:vAlign w:val="bottom"/>
          </w:tcPr>
          <w:p>
            <w:pPr>
              <w:spacing w:after="0"/>
              <w:rPr>
                <w:sz w:val="1"/>
                <w:szCs w:val="1"/>
                <w:color w:val="auto"/>
              </w:rPr>
            </w:pPr>
          </w:p>
        </w:tc>
      </w:tr>
      <w:tr>
        <w:trPr>
          <w:trHeight w:val="228"/>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129,118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center"/>
              <w:ind w:left="475"/>
              <w:spacing w:after="0"/>
              <w:rPr>
                <w:sz w:val="20"/>
                <w:szCs w:val="20"/>
                <w:color w:val="auto"/>
              </w:rPr>
            </w:pPr>
            <w:r>
              <w:rPr>
                <w:rFonts w:ascii="Times New Roman" w:cs="Times New Roman" w:eastAsia="Times New Roman" w:hAnsi="Times New Roman"/>
                <w:sz w:val="18"/>
                <w:szCs w:val="18"/>
                <w:color w:val="auto"/>
                <w:w w:val="98"/>
              </w:rPr>
              <w:t>(3,987)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125,131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258,981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center"/>
              <w:ind w:left="435"/>
              <w:spacing w:after="0"/>
              <w:rPr>
                <w:sz w:val="20"/>
                <w:szCs w:val="20"/>
                <w:color w:val="auto"/>
              </w:rPr>
            </w:pPr>
            <w:r>
              <w:rPr>
                <w:rFonts w:ascii="Times New Roman" w:cs="Times New Roman" w:eastAsia="Times New Roman" w:hAnsi="Times New Roman"/>
                <w:sz w:val="18"/>
                <w:szCs w:val="18"/>
                <w:color w:val="auto"/>
                <w:w w:val="98"/>
              </w:rPr>
              <w:t>(8,169)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250,812</w:t>
            </w:r>
          </w:p>
        </w:tc>
        <w:tc>
          <w:tcPr>
            <w:tcW w:w="0" w:type="dxa"/>
            <w:vAlign w:val="bottom"/>
          </w:tcPr>
          <w:p>
            <w:pPr>
              <w:spacing w:after="0"/>
              <w:rPr>
                <w:sz w:val="1"/>
                <w:szCs w:val="1"/>
                <w:color w:val="auto"/>
              </w:rPr>
            </w:pPr>
          </w:p>
        </w:tc>
      </w:tr>
    </w:tbl>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8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980" w:type="dxa"/>
            <w:vAlign w:val="bottom"/>
            <w:tcBorders>
              <w:bottom w:val="single" w:sz="8" w:color="auto"/>
            </w:tcBorders>
            <w:gridSpan w:val="7"/>
          </w:tcPr>
          <w:p>
            <w:pPr>
              <w:jc w:val="center"/>
              <w:ind w:right="75"/>
              <w:spacing w:after="0"/>
              <w:rPr>
                <w:sz w:val="20"/>
                <w:szCs w:val="20"/>
                <w:color w:val="auto"/>
              </w:rPr>
            </w:pPr>
            <w:r>
              <w:rPr>
                <w:rFonts w:ascii="Times New Roman" w:cs="Times New Roman" w:eastAsia="Times New Roman" w:hAnsi="Times New Roman"/>
                <w:sz w:val="18"/>
                <w:szCs w:val="18"/>
                <w:b w:val="1"/>
                <w:bCs w:val="1"/>
                <w:color w:val="auto"/>
                <w:w w:val="99"/>
              </w:rPr>
              <w:t>Three Months Ended September 30, 2024</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000" w:type="dxa"/>
            <w:vAlign w:val="bottom"/>
            <w:tcBorders>
              <w:bottom w:val="single" w:sz="8" w:color="auto"/>
            </w:tcBorders>
            <w:gridSpan w:val="7"/>
          </w:tcPr>
          <w:p>
            <w:pPr>
              <w:jc w:val="center"/>
              <w:ind w:right="75"/>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 2024</w:t>
            </w:r>
          </w:p>
        </w:tc>
        <w:tc>
          <w:tcPr>
            <w:tcW w:w="0" w:type="dxa"/>
            <w:vAlign w:val="bottom"/>
          </w:tcPr>
          <w:p>
            <w:pPr>
              <w:spacing w:after="0"/>
              <w:rPr>
                <w:sz w:val="1"/>
                <w:szCs w:val="1"/>
                <w:color w:val="auto"/>
              </w:rPr>
            </w:pPr>
          </w:p>
        </w:tc>
      </w:tr>
      <w:tr>
        <w:trPr>
          <w:trHeight w:val="141"/>
        </w:trPr>
        <w:tc>
          <w:tcPr>
            <w:tcW w:w="2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tcPr>
          <w:p>
            <w:pPr>
              <w:jc w:val="center"/>
              <w:ind w:right="280"/>
              <w:spacing w:after="0" w:line="141" w:lineRule="exact"/>
              <w:rPr>
                <w:sz w:val="20"/>
                <w:szCs w:val="20"/>
                <w:color w:val="auto"/>
              </w:rPr>
            </w:pPr>
            <w:r>
              <w:rPr>
                <w:rFonts w:ascii="Times New Roman" w:cs="Times New Roman" w:eastAsia="Times New Roman" w:hAnsi="Times New Roman"/>
                <w:sz w:val="14"/>
                <w:szCs w:val="14"/>
                <w:b w:val="1"/>
                <w:bCs w:val="1"/>
                <w:color w:val="auto"/>
              </w:rPr>
              <w:t>As Previously</w:t>
            </w:r>
          </w:p>
        </w:tc>
        <w:tc>
          <w:tcPr>
            <w:tcW w:w="200" w:type="dxa"/>
            <w:vAlign w:val="bottom"/>
          </w:tcPr>
          <w:p>
            <w:pPr>
              <w:spacing w:after="0"/>
              <w:rPr>
                <w:sz w:val="12"/>
                <w:szCs w:val="12"/>
                <w:color w:val="auto"/>
              </w:rPr>
            </w:pPr>
          </w:p>
        </w:tc>
        <w:tc>
          <w:tcPr>
            <w:tcW w:w="12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200" w:type="dxa"/>
            <w:vAlign w:val="bottom"/>
          </w:tcPr>
          <w:p>
            <w:pPr>
              <w:spacing w:after="0"/>
              <w:rPr>
                <w:sz w:val="12"/>
                <w:szCs w:val="12"/>
                <w:color w:val="auto"/>
              </w:rPr>
            </w:pPr>
          </w:p>
        </w:tc>
        <w:tc>
          <w:tcPr>
            <w:tcW w:w="12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As Revised</w:t>
            </w:r>
          </w:p>
        </w:tc>
        <w:tc>
          <w:tcPr>
            <w:tcW w:w="160" w:type="dxa"/>
            <w:vAlign w:val="bottom"/>
          </w:tcPr>
          <w:p>
            <w:pPr>
              <w:spacing w:after="0"/>
              <w:rPr>
                <w:sz w:val="12"/>
                <w:szCs w:val="12"/>
                <w:color w:val="auto"/>
              </w:rPr>
            </w:pPr>
          </w:p>
        </w:tc>
        <w:tc>
          <w:tcPr>
            <w:tcW w:w="1260" w:type="dxa"/>
            <w:vAlign w:val="bottom"/>
            <w:gridSpan w:val="2"/>
          </w:tcPr>
          <w:p>
            <w:pPr>
              <w:jc w:val="center"/>
              <w:ind w:right="260"/>
              <w:spacing w:after="0" w:line="141" w:lineRule="exact"/>
              <w:rPr>
                <w:sz w:val="20"/>
                <w:szCs w:val="20"/>
                <w:color w:val="auto"/>
              </w:rPr>
            </w:pPr>
            <w:r>
              <w:rPr>
                <w:rFonts w:ascii="Times New Roman" w:cs="Times New Roman" w:eastAsia="Times New Roman" w:hAnsi="Times New Roman"/>
                <w:sz w:val="14"/>
                <w:szCs w:val="14"/>
                <w:b w:val="1"/>
                <w:bCs w:val="1"/>
                <w:color w:val="auto"/>
              </w:rPr>
              <w:t>As Previously</w:t>
            </w:r>
          </w:p>
        </w:tc>
        <w:tc>
          <w:tcPr>
            <w:tcW w:w="200" w:type="dxa"/>
            <w:vAlign w:val="bottom"/>
          </w:tcPr>
          <w:p>
            <w:pPr>
              <w:spacing w:after="0"/>
              <w:rPr>
                <w:sz w:val="12"/>
                <w:szCs w:val="12"/>
                <w:color w:val="auto"/>
              </w:rPr>
            </w:pPr>
          </w:p>
        </w:tc>
        <w:tc>
          <w:tcPr>
            <w:tcW w:w="12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220" w:type="dxa"/>
            <w:vAlign w:val="bottom"/>
          </w:tcPr>
          <w:p>
            <w:pPr>
              <w:spacing w:after="0"/>
              <w:rPr>
                <w:sz w:val="12"/>
                <w:szCs w:val="12"/>
                <w:color w:val="auto"/>
              </w:rPr>
            </w:pPr>
          </w:p>
        </w:tc>
        <w:tc>
          <w:tcPr>
            <w:tcW w:w="1100" w:type="dxa"/>
            <w:vAlign w:val="bottom"/>
            <w:vMerge w:val="restart"/>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As Revised</w:t>
            </w:r>
          </w:p>
        </w:tc>
        <w:tc>
          <w:tcPr>
            <w:tcW w:w="0" w:type="dxa"/>
            <w:vAlign w:val="bottom"/>
          </w:tcPr>
          <w:p>
            <w:pPr>
              <w:spacing w:after="0"/>
              <w:rPr>
                <w:sz w:val="1"/>
                <w:szCs w:val="1"/>
                <w:color w:val="auto"/>
              </w:rPr>
            </w:pPr>
          </w:p>
        </w:tc>
      </w:tr>
      <w:tr>
        <w:trPr>
          <w:trHeight w:val="195"/>
        </w:trPr>
        <w:tc>
          <w:tcPr>
            <w:tcW w:w="2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Reported</w:t>
            </w:r>
          </w:p>
        </w:tc>
        <w:tc>
          <w:tcPr>
            <w:tcW w:w="20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20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92,856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center"/>
              <w:ind w:left="495"/>
              <w:spacing w:after="0"/>
              <w:rPr>
                <w:sz w:val="20"/>
                <w:szCs w:val="20"/>
                <w:color w:val="auto"/>
              </w:rPr>
            </w:pPr>
            <w:r>
              <w:rPr>
                <w:rFonts w:ascii="Times New Roman" w:cs="Times New Roman" w:eastAsia="Times New Roman" w:hAnsi="Times New Roman"/>
                <w:sz w:val="18"/>
                <w:szCs w:val="18"/>
                <w:color w:val="auto"/>
              </w:rPr>
              <w:t>4,235</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97,091</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280,088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center"/>
              <w:ind w:left="395"/>
              <w:spacing w:after="0"/>
              <w:rPr>
                <w:sz w:val="20"/>
                <w:szCs w:val="20"/>
                <w:color w:val="auto"/>
              </w:rPr>
            </w:pPr>
            <w:r>
              <w:rPr>
                <w:rFonts w:ascii="Times New Roman" w:cs="Times New Roman" w:eastAsia="Times New Roman" w:hAnsi="Times New Roman"/>
                <w:sz w:val="18"/>
                <w:szCs w:val="18"/>
                <w:color w:val="auto"/>
                <w:w w:val="96"/>
              </w:rPr>
              <w:t>12,404</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292,492</w:t>
            </w:r>
          </w:p>
        </w:tc>
        <w:tc>
          <w:tcPr>
            <w:tcW w:w="0" w:type="dxa"/>
            <w:vAlign w:val="bottom"/>
          </w:tcPr>
          <w:p>
            <w:pPr>
              <w:spacing w:after="0"/>
              <w:rPr>
                <w:sz w:val="1"/>
                <w:szCs w:val="1"/>
                <w:color w:val="auto"/>
              </w:rPr>
            </w:pPr>
          </w:p>
        </w:tc>
      </w:tr>
      <w:tr>
        <w:trPr>
          <w:trHeight w:val="228"/>
        </w:trPr>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225,264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center"/>
              <w:ind w:left="475"/>
              <w:spacing w:after="0"/>
              <w:rPr>
                <w:sz w:val="20"/>
                <w:szCs w:val="20"/>
                <w:color w:val="auto"/>
              </w:rPr>
            </w:pPr>
            <w:r>
              <w:rPr>
                <w:rFonts w:ascii="Times New Roman" w:cs="Times New Roman" w:eastAsia="Times New Roman" w:hAnsi="Times New Roman"/>
                <w:sz w:val="18"/>
                <w:szCs w:val="18"/>
                <w:color w:val="auto"/>
                <w:w w:val="98"/>
              </w:rPr>
              <w:t>(4,235)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221,029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651,519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center"/>
              <w:ind w:left="355"/>
              <w:spacing w:after="0"/>
              <w:rPr>
                <w:sz w:val="20"/>
                <w:szCs w:val="20"/>
                <w:color w:val="auto"/>
              </w:rPr>
            </w:pPr>
            <w:r>
              <w:rPr>
                <w:rFonts w:ascii="Times New Roman" w:cs="Times New Roman" w:eastAsia="Times New Roman" w:hAnsi="Times New Roman"/>
                <w:sz w:val="18"/>
                <w:szCs w:val="18"/>
                <w:color w:val="auto"/>
                <w:w w:val="97"/>
              </w:rPr>
              <w:t>(12,404)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639,115</w:t>
            </w:r>
          </w:p>
        </w:tc>
        <w:tc>
          <w:tcPr>
            <w:tcW w:w="0" w:type="dxa"/>
            <w:vAlign w:val="bottom"/>
          </w:tcPr>
          <w:p>
            <w:pPr>
              <w:spacing w:after="0"/>
              <w:rPr>
                <w:sz w:val="1"/>
                <w:szCs w:val="1"/>
                <w:color w:val="auto"/>
              </w:rPr>
            </w:pPr>
          </w:p>
        </w:tc>
      </w:tr>
      <w:tr>
        <w:trPr>
          <w:trHeight w:val="228"/>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131,661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center"/>
              <w:ind w:left="475"/>
              <w:spacing w:after="0"/>
              <w:rPr>
                <w:sz w:val="20"/>
                <w:szCs w:val="20"/>
                <w:color w:val="auto"/>
              </w:rPr>
            </w:pPr>
            <w:r>
              <w:rPr>
                <w:rFonts w:ascii="Times New Roman" w:cs="Times New Roman" w:eastAsia="Times New Roman" w:hAnsi="Times New Roman"/>
                <w:sz w:val="18"/>
                <w:szCs w:val="18"/>
                <w:color w:val="auto"/>
                <w:w w:val="98"/>
              </w:rPr>
              <w:t>(4,235)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127,426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390,642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center"/>
              <w:ind w:left="355"/>
              <w:spacing w:after="0"/>
              <w:rPr>
                <w:sz w:val="20"/>
                <w:szCs w:val="20"/>
                <w:color w:val="auto"/>
              </w:rPr>
            </w:pPr>
            <w:r>
              <w:rPr>
                <w:rFonts w:ascii="Times New Roman" w:cs="Times New Roman" w:eastAsia="Times New Roman" w:hAnsi="Times New Roman"/>
                <w:sz w:val="18"/>
                <w:szCs w:val="18"/>
                <w:color w:val="auto"/>
                <w:w w:val="97"/>
              </w:rPr>
              <w:t>(12,404)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378,238</w:t>
            </w:r>
          </w:p>
        </w:tc>
        <w:tc>
          <w:tcPr>
            <w:tcW w:w="0" w:type="dxa"/>
            <w:vAlign w:val="bottom"/>
          </w:tcPr>
          <w:p>
            <w:pPr>
              <w:spacing w:after="0"/>
              <w:rPr>
                <w:sz w:val="1"/>
                <w:szCs w:val="1"/>
                <w:color w:val="auto"/>
              </w:rPr>
            </w:pPr>
          </w:p>
        </w:tc>
      </w:tr>
    </w:tbl>
    <w:p>
      <w:pPr>
        <w:spacing w:after="0" w:line="170"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The following tables present a summary of the correction to the impacted Cardiopulmonary disaggregated segment income table line items in “Note 17. Geographic and Segment Information” and “Note 10. Geographic and Segment Information” previously included in the 2024 Annual Report on Form 10-K and in the unaudited March 31, 2025 Quarterly Report on Form 10-Q, respectively (in thousands):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8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980" w:type="dxa"/>
            <w:vAlign w:val="bottom"/>
            <w:tcBorders>
              <w:bottom w:val="single" w:sz="8" w:color="auto"/>
            </w:tcBorders>
            <w:gridSpan w:val="7"/>
          </w:tcPr>
          <w:p>
            <w:pPr>
              <w:jc w:val="center"/>
              <w:ind w:right="96"/>
              <w:spacing w:after="0"/>
              <w:rPr>
                <w:sz w:val="20"/>
                <w:szCs w:val="20"/>
                <w:color w:val="auto"/>
              </w:rPr>
            </w:pPr>
            <w:r>
              <w:rPr>
                <w:rFonts w:ascii="Times New Roman" w:cs="Times New Roman" w:eastAsia="Times New Roman" w:hAnsi="Times New Roman"/>
                <w:sz w:val="18"/>
                <w:szCs w:val="18"/>
                <w:b w:val="1"/>
                <w:bCs w:val="1"/>
                <w:color w:val="auto"/>
                <w:w w:val="99"/>
              </w:rPr>
              <w:t>Twelve Months Ended December 31, 2024</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000" w:type="dxa"/>
            <w:vAlign w:val="bottom"/>
            <w:tcBorders>
              <w:bottom w:val="single" w:sz="8" w:color="auto"/>
            </w:tcBorders>
            <w:gridSpan w:val="7"/>
          </w:tcPr>
          <w:p>
            <w:pPr>
              <w:jc w:val="center"/>
              <w:ind w:right="76"/>
              <w:spacing w:after="0"/>
              <w:rPr>
                <w:sz w:val="20"/>
                <w:szCs w:val="20"/>
                <w:color w:val="auto"/>
              </w:rPr>
            </w:pPr>
            <w:r>
              <w:rPr>
                <w:rFonts w:ascii="Times New Roman" w:cs="Times New Roman" w:eastAsia="Times New Roman" w:hAnsi="Times New Roman"/>
                <w:sz w:val="18"/>
                <w:szCs w:val="18"/>
                <w:b w:val="1"/>
                <w:bCs w:val="1"/>
                <w:color w:val="auto"/>
                <w:w w:val="99"/>
              </w:rPr>
              <w:t>Twelve Months Ended December 31, 2023</w:t>
            </w:r>
          </w:p>
        </w:tc>
        <w:tc>
          <w:tcPr>
            <w:tcW w:w="0" w:type="dxa"/>
            <w:vAlign w:val="bottom"/>
          </w:tcPr>
          <w:p>
            <w:pPr>
              <w:spacing w:after="0"/>
              <w:rPr>
                <w:sz w:val="1"/>
                <w:szCs w:val="1"/>
                <w:color w:val="auto"/>
              </w:rPr>
            </w:pPr>
          </w:p>
        </w:tc>
      </w:tr>
      <w:tr>
        <w:trPr>
          <w:trHeight w:val="143"/>
        </w:trPr>
        <w:tc>
          <w:tcPr>
            <w:tcW w:w="2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tcPr>
          <w:p>
            <w:pPr>
              <w:jc w:val="center"/>
              <w:ind w:right="280"/>
              <w:spacing w:after="0" w:line="143" w:lineRule="exact"/>
              <w:rPr>
                <w:sz w:val="20"/>
                <w:szCs w:val="20"/>
                <w:color w:val="auto"/>
              </w:rPr>
            </w:pPr>
            <w:r>
              <w:rPr>
                <w:rFonts w:ascii="Times New Roman" w:cs="Times New Roman" w:eastAsia="Times New Roman" w:hAnsi="Times New Roman"/>
                <w:sz w:val="14"/>
                <w:szCs w:val="14"/>
                <w:b w:val="1"/>
                <w:bCs w:val="1"/>
                <w:color w:val="auto"/>
              </w:rPr>
              <w:t>As Previously</w:t>
            </w:r>
          </w:p>
        </w:tc>
        <w:tc>
          <w:tcPr>
            <w:tcW w:w="200" w:type="dxa"/>
            <w:vAlign w:val="bottom"/>
          </w:tcPr>
          <w:p>
            <w:pPr>
              <w:spacing w:after="0"/>
              <w:rPr>
                <w:sz w:val="12"/>
                <w:szCs w:val="12"/>
                <w:color w:val="auto"/>
              </w:rPr>
            </w:pPr>
          </w:p>
        </w:tc>
        <w:tc>
          <w:tcPr>
            <w:tcW w:w="12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200" w:type="dxa"/>
            <w:vAlign w:val="bottom"/>
          </w:tcPr>
          <w:p>
            <w:pPr>
              <w:spacing w:after="0"/>
              <w:rPr>
                <w:sz w:val="12"/>
                <w:szCs w:val="12"/>
                <w:color w:val="auto"/>
              </w:rPr>
            </w:pPr>
          </w:p>
        </w:tc>
        <w:tc>
          <w:tcPr>
            <w:tcW w:w="12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As Revised</w:t>
            </w:r>
          </w:p>
        </w:tc>
        <w:tc>
          <w:tcPr>
            <w:tcW w:w="160" w:type="dxa"/>
            <w:vAlign w:val="bottom"/>
          </w:tcPr>
          <w:p>
            <w:pPr>
              <w:spacing w:after="0"/>
              <w:rPr>
                <w:sz w:val="12"/>
                <w:szCs w:val="12"/>
                <w:color w:val="auto"/>
              </w:rPr>
            </w:pPr>
          </w:p>
        </w:tc>
        <w:tc>
          <w:tcPr>
            <w:tcW w:w="1260" w:type="dxa"/>
            <w:vAlign w:val="bottom"/>
            <w:gridSpan w:val="2"/>
          </w:tcPr>
          <w:p>
            <w:pPr>
              <w:jc w:val="center"/>
              <w:ind w:right="260"/>
              <w:spacing w:after="0" w:line="143" w:lineRule="exact"/>
              <w:rPr>
                <w:sz w:val="20"/>
                <w:szCs w:val="20"/>
                <w:color w:val="auto"/>
              </w:rPr>
            </w:pPr>
            <w:r>
              <w:rPr>
                <w:rFonts w:ascii="Times New Roman" w:cs="Times New Roman" w:eastAsia="Times New Roman" w:hAnsi="Times New Roman"/>
                <w:sz w:val="14"/>
                <w:szCs w:val="14"/>
                <w:b w:val="1"/>
                <w:bCs w:val="1"/>
                <w:color w:val="auto"/>
              </w:rPr>
              <w:t>As Previously</w:t>
            </w:r>
          </w:p>
        </w:tc>
        <w:tc>
          <w:tcPr>
            <w:tcW w:w="200" w:type="dxa"/>
            <w:vAlign w:val="bottom"/>
          </w:tcPr>
          <w:p>
            <w:pPr>
              <w:spacing w:after="0"/>
              <w:rPr>
                <w:sz w:val="12"/>
                <w:szCs w:val="12"/>
                <w:color w:val="auto"/>
              </w:rPr>
            </w:pPr>
          </w:p>
        </w:tc>
        <w:tc>
          <w:tcPr>
            <w:tcW w:w="12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220" w:type="dxa"/>
            <w:vAlign w:val="bottom"/>
          </w:tcPr>
          <w:p>
            <w:pPr>
              <w:spacing w:after="0"/>
              <w:rPr>
                <w:sz w:val="12"/>
                <w:szCs w:val="12"/>
                <w:color w:val="auto"/>
              </w:rPr>
            </w:pPr>
          </w:p>
        </w:tc>
        <w:tc>
          <w:tcPr>
            <w:tcW w:w="1100" w:type="dxa"/>
            <w:vAlign w:val="bottom"/>
            <w:vMerge w:val="restart"/>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As Revised</w:t>
            </w:r>
          </w:p>
        </w:tc>
        <w:tc>
          <w:tcPr>
            <w:tcW w:w="0" w:type="dxa"/>
            <w:vAlign w:val="bottom"/>
          </w:tcPr>
          <w:p>
            <w:pPr>
              <w:spacing w:after="0"/>
              <w:rPr>
                <w:sz w:val="1"/>
                <w:szCs w:val="1"/>
                <w:color w:val="auto"/>
              </w:rPr>
            </w:pPr>
          </w:p>
        </w:tc>
      </w:tr>
      <w:tr>
        <w:trPr>
          <w:trHeight w:val="193"/>
        </w:trPr>
        <w:tc>
          <w:tcPr>
            <w:tcW w:w="2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Reported</w:t>
            </w:r>
          </w:p>
        </w:tc>
        <w:tc>
          <w:tcPr>
            <w:tcW w:w="20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20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316,937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17,389</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334,326</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290,929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306,359</w:t>
            </w:r>
          </w:p>
        </w:tc>
        <w:tc>
          <w:tcPr>
            <w:tcW w:w="0" w:type="dxa"/>
            <w:vAlign w:val="bottom"/>
          </w:tcPr>
          <w:p>
            <w:pPr>
              <w:spacing w:after="0"/>
              <w:rPr>
                <w:sz w:val="1"/>
                <w:szCs w:val="1"/>
                <w:color w:val="auto"/>
              </w:rPr>
            </w:pPr>
          </w:p>
        </w:tc>
      </w:tr>
      <w:tr>
        <w:trPr>
          <w:trHeight w:val="234"/>
        </w:trPr>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217,136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(17,389)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199,747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207,001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(15,430)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191,571</w:t>
            </w:r>
          </w:p>
        </w:tc>
        <w:tc>
          <w:tcPr>
            <w:tcW w:w="0" w:type="dxa"/>
            <w:vAlign w:val="bottom"/>
          </w:tcPr>
          <w:p>
            <w:pPr>
              <w:spacing w:after="0"/>
              <w:rPr>
                <w:sz w:val="1"/>
                <w:szCs w:val="1"/>
                <w:color w:val="auto"/>
              </w:rPr>
            </w:pPr>
          </w:p>
        </w:tc>
      </w:tr>
    </w:tbl>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8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980" w:type="dxa"/>
            <w:vAlign w:val="bottom"/>
            <w:tcBorders>
              <w:bottom w:val="single" w:sz="8" w:color="auto"/>
            </w:tcBorders>
            <w:gridSpan w:val="7"/>
          </w:tcPr>
          <w:p>
            <w:pPr>
              <w:jc w:val="center"/>
              <w:ind w:right="76"/>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 2025</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000" w:type="dxa"/>
            <w:vAlign w:val="bottom"/>
            <w:tcBorders>
              <w:bottom w:val="single" w:sz="8" w:color="auto"/>
            </w:tcBorders>
            <w:gridSpan w:val="7"/>
          </w:tcPr>
          <w:p>
            <w:pPr>
              <w:jc w:val="center"/>
              <w:ind w:right="96"/>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 2024</w:t>
            </w:r>
          </w:p>
        </w:tc>
        <w:tc>
          <w:tcPr>
            <w:tcW w:w="0" w:type="dxa"/>
            <w:vAlign w:val="bottom"/>
          </w:tcPr>
          <w:p>
            <w:pPr>
              <w:spacing w:after="0"/>
              <w:rPr>
                <w:sz w:val="1"/>
                <w:szCs w:val="1"/>
                <w:color w:val="auto"/>
              </w:rPr>
            </w:pPr>
          </w:p>
        </w:tc>
      </w:tr>
      <w:tr>
        <w:trPr>
          <w:trHeight w:val="143"/>
        </w:trPr>
        <w:tc>
          <w:tcPr>
            <w:tcW w:w="2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tcPr>
          <w:p>
            <w:pPr>
              <w:jc w:val="center"/>
              <w:ind w:right="280"/>
              <w:spacing w:after="0" w:line="143" w:lineRule="exact"/>
              <w:rPr>
                <w:sz w:val="20"/>
                <w:szCs w:val="20"/>
                <w:color w:val="auto"/>
              </w:rPr>
            </w:pPr>
            <w:r>
              <w:rPr>
                <w:rFonts w:ascii="Times New Roman" w:cs="Times New Roman" w:eastAsia="Times New Roman" w:hAnsi="Times New Roman"/>
                <w:sz w:val="14"/>
                <w:szCs w:val="14"/>
                <w:b w:val="1"/>
                <w:bCs w:val="1"/>
                <w:color w:val="auto"/>
              </w:rPr>
              <w:t>As Previously</w:t>
            </w:r>
          </w:p>
        </w:tc>
        <w:tc>
          <w:tcPr>
            <w:tcW w:w="200" w:type="dxa"/>
            <w:vAlign w:val="bottom"/>
          </w:tcPr>
          <w:p>
            <w:pPr>
              <w:spacing w:after="0"/>
              <w:rPr>
                <w:sz w:val="12"/>
                <w:szCs w:val="12"/>
                <w:color w:val="auto"/>
              </w:rPr>
            </w:pPr>
          </w:p>
        </w:tc>
        <w:tc>
          <w:tcPr>
            <w:tcW w:w="1120" w:type="dxa"/>
            <w:vAlign w:val="bottom"/>
            <w:vMerge w:val="restart"/>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As Revised</w:t>
            </w:r>
          </w:p>
        </w:tc>
        <w:tc>
          <w:tcPr>
            <w:tcW w:w="160" w:type="dxa"/>
            <w:vAlign w:val="bottom"/>
          </w:tcPr>
          <w:p>
            <w:pPr>
              <w:spacing w:after="0"/>
              <w:rPr>
                <w:sz w:val="12"/>
                <w:szCs w:val="12"/>
                <w:color w:val="auto"/>
              </w:rPr>
            </w:pPr>
          </w:p>
        </w:tc>
        <w:tc>
          <w:tcPr>
            <w:tcW w:w="1260" w:type="dxa"/>
            <w:vAlign w:val="bottom"/>
            <w:gridSpan w:val="2"/>
          </w:tcPr>
          <w:p>
            <w:pPr>
              <w:jc w:val="center"/>
              <w:ind w:right="260"/>
              <w:spacing w:after="0" w:line="143" w:lineRule="exact"/>
              <w:rPr>
                <w:sz w:val="20"/>
                <w:szCs w:val="20"/>
                <w:color w:val="auto"/>
              </w:rPr>
            </w:pPr>
            <w:r>
              <w:rPr>
                <w:rFonts w:ascii="Times New Roman" w:cs="Times New Roman" w:eastAsia="Times New Roman" w:hAnsi="Times New Roman"/>
                <w:sz w:val="14"/>
                <w:szCs w:val="14"/>
                <w:b w:val="1"/>
                <w:bCs w:val="1"/>
                <w:color w:val="auto"/>
              </w:rPr>
              <w:t>As Previously</w:t>
            </w:r>
          </w:p>
        </w:tc>
        <w:tc>
          <w:tcPr>
            <w:tcW w:w="200" w:type="dxa"/>
            <w:vAlign w:val="bottom"/>
          </w:tcPr>
          <w:p>
            <w:pPr>
              <w:spacing w:after="0"/>
              <w:rPr>
                <w:sz w:val="12"/>
                <w:szCs w:val="12"/>
                <w:color w:val="auto"/>
              </w:rPr>
            </w:pPr>
          </w:p>
        </w:tc>
        <w:tc>
          <w:tcPr>
            <w:tcW w:w="12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220" w:type="dxa"/>
            <w:vAlign w:val="bottom"/>
          </w:tcPr>
          <w:p>
            <w:pPr>
              <w:spacing w:after="0"/>
              <w:rPr>
                <w:sz w:val="12"/>
                <w:szCs w:val="12"/>
                <w:color w:val="auto"/>
              </w:rPr>
            </w:pPr>
          </w:p>
        </w:tc>
        <w:tc>
          <w:tcPr>
            <w:tcW w:w="1100" w:type="dxa"/>
            <w:vAlign w:val="bottom"/>
            <w:vMerge w:val="restart"/>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As Revised</w:t>
            </w:r>
          </w:p>
        </w:tc>
        <w:tc>
          <w:tcPr>
            <w:tcW w:w="0" w:type="dxa"/>
            <w:vAlign w:val="bottom"/>
          </w:tcPr>
          <w:p>
            <w:pPr>
              <w:spacing w:after="0"/>
              <w:rPr>
                <w:sz w:val="1"/>
                <w:szCs w:val="1"/>
                <w:color w:val="auto"/>
              </w:rPr>
            </w:pPr>
          </w:p>
        </w:tc>
      </w:tr>
      <w:tr>
        <w:trPr>
          <w:trHeight w:val="193"/>
        </w:trPr>
        <w:tc>
          <w:tcPr>
            <w:tcW w:w="2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Reported</w:t>
            </w:r>
          </w:p>
        </w:tc>
        <w:tc>
          <w:tcPr>
            <w:tcW w:w="20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20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80,399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4,521</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84,920</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72,097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76,279</w:t>
            </w:r>
          </w:p>
        </w:tc>
        <w:tc>
          <w:tcPr>
            <w:tcW w:w="0" w:type="dxa"/>
            <w:vAlign w:val="bottom"/>
          </w:tcPr>
          <w:p>
            <w:pPr>
              <w:spacing w:after="0"/>
              <w:rPr>
                <w:sz w:val="1"/>
                <w:szCs w:val="1"/>
                <w:color w:val="auto"/>
              </w:rPr>
            </w:pPr>
          </w:p>
        </w:tc>
      </w:tr>
      <w:tr>
        <w:trPr>
          <w:trHeight w:val="234"/>
        </w:trPr>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58,480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53,959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50,745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46,563</w:t>
            </w:r>
          </w:p>
        </w:tc>
        <w:tc>
          <w:tcPr>
            <w:tcW w:w="0" w:type="dxa"/>
            <w:vAlign w:val="bottom"/>
          </w:tcPr>
          <w:p>
            <w:pPr>
              <w:spacing w:after="0"/>
              <w:rPr>
                <w:sz w:val="1"/>
                <w:szCs w:val="1"/>
                <w:color w:val="auto"/>
              </w:rPr>
            </w:pPr>
          </w:p>
        </w:tc>
      </w:tr>
      <w:tr>
        <w:trPr>
          <w:trHeight w:val="842"/>
        </w:trPr>
        <w:tc>
          <w:tcPr>
            <w:tcW w:w="2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2800" w:type="dxa"/>
            <w:vAlign w:val="bottom"/>
            <w:tcBorders>
              <w:bottom w:val="single" w:sz="8" w:color="9A9A9A"/>
            </w:tcBorders>
          </w:tcPr>
          <w:p>
            <w:pPr>
              <w:spacing w:after="0"/>
              <w:rPr>
                <w:sz w:val="20"/>
                <w:szCs w:val="20"/>
                <w:color w:val="auto"/>
              </w:rPr>
            </w:pPr>
          </w:p>
        </w:tc>
        <w:tc>
          <w:tcPr>
            <w:tcW w:w="180" w:type="dxa"/>
            <w:vAlign w:val="bottom"/>
            <w:tcBorders>
              <w:bottom w:val="single" w:sz="8" w:color="9A9A9A"/>
            </w:tcBorders>
          </w:tcPr>
          <w:p>
            <w:pPr>
              <w:spacing w:after="0"/>
              <w:rPr>
                <w:sz w:val="20"/>
                <w:szCs w:val="20"/>
                <w:color w:val="auto"/>
              </w:rPr>
            </w:pPr>
          </w:p>
        </w:tc>
        <w:tc>
          <w:tcPr>
            <w:tcW w:w="1140" w:type="dxa"/>
            <w:vAlign w:val="bottom"/>
            <w:tcBorders>
              <w:bottom w:val="single" w:sz="8" w:color="9A9A9A"/>
            </w:tcBorders>
          </w:tcPr>
          <w:p>
            <w:pPr>
              <w:spacing w:after="0"/>
              <w:rPr>
                <w:sz w:val="20"/>
                <w:szCs w:val="20"/>
                <w:color w:val="auto"/>
              </w:rPr>
            </w:pPr>
          </w:p>
        </w:tc>
        <w:tc>
          <w:tcPr>
            <w:tcW w:w="100" w:type="dxa"/>
            <w:vAlign w:val="bottom"/>
            <w:tcBorders>
              <w:bottom w:val="single" w:sz="8" w:color="9A9A9A"/>
            </w:tcBorders>
          </w:tcPr>
          <w:p>
            <w:pPr>
              <w:spacing w:after="0"/>
              <w:rPr>
                <w:sz w:val="20"/>
                <w:szCs w:val="20"/>
                <w:color w:val="auto"/>
              </w:rPr>
            </w:pPr>
          </w:p>
        </w:tc>
        <w:tc>
          <w:tcPr>
            <w:tcW w:w="200" w:type="dxa"/>
            <w:vAlign w:val="bottom"/>
            <w:tcBorders>
              <w:bottom w:val="single" w:sz="8" w:color="9A9A9A"/>
            </w:tcBorders>
          </w:tcPr>
          <w:p>
            <w:pPr>
              <w:spacing w:after="0"/>
              <w:rPr>
                <w:sz w:val="20"/>
                <w:szCs w:val="20"/>
                <w:color w:val="auto"/>
              </w:rPr>
            </w:pPr>
          </w:p>
        </w:tc>
        <w:tc>
          <w:tcPr>
            <w:tcW w:w="1120" w:type="dxa"/>
            <w:vAlign w:val="bottom"/>
            <w:tcBorders>
              <w:bottom w:val="single" w:sz="8" w:color="9A9A9A"/>
            </w:tcBorders>
          </w:tcPr>
          <w:p>
            <w:pPr>
              <w:spacing w:after="0"/>
              <w:rPr>
                <w:sz w:val="20"/>
                <w:szCs w:val="20"/>
                <w:color w:val="auto"/>
              </w:rPr>
            </w:pPr>
          </w:p>
        </w:tc>
        <w:tc>
          <w:tcPr>
            <w:tcW w:w="120" w:type="dxa"/>
            <w:vAlign w:val="bottom"/>
            <w:tcBorders>
              <w:bottom w:val="single" w:sz="8" w:color="9A9A9A"/>
            </w:tcBorders>
          </w:tcPr>
          <w:p>
            <w:pPr>
              <w:spacing w:after="0"/>
              <w:rPr>
                <w:sz w:val="20"/>
                <w:szCs w:val="20"/>
                <w:color w:val="auto"/>
              </w:rPr>
            </w:pPr>
          </w:p>
        </w:tc>
        <w:tc>
          <w:tcPr>
            <w:tcW w:w="220" w:type="dxa"/>
            <w:vAlign w:val="bottom"/>
            <w:tcBorders>
              <w:bottom w:val="single" w:sz="8" w:color="9A9A9A"/>
            </w:tcBorders>
          </w:tcPr>
          <w:p>
            <w:pPr>
              <w:spacing w:after="0"/>
              <w:rPr>
                <w:sz w:val="20"/>
                <w:szCs w:val="20"/>
                <w:color w:val="auto"/>
              </w:rPr>
            </w:pPr>
          </w:p>
        </w:tc>
        <w:tc>
          <w:tcPr>
            <w:tcW w:w="1080" w:type="dxa"/>
            <w:vAlign w:val="bottom"/>
            <w:tcBorders>
              <w:bottom w:val="single" w:sz="8" w:color="9A9A9A"/>
            </w:tcBorders>
          </w:tcPr>
          <w:p>
            <w:pPr>
              <w:spacing w:after="0"/>
              <w:rPr>
                <w:sz w:val="20"/>
                <w:szCs w:val="20"/>
                <w:color w:val="auto"/>
              </w:rPr>
            </w:pPr>
          </w:p>
        </w:tc>
        <w:tc>
          <w:tcPr>
            <w:tcW w:w="120" w:type="dxa"/>
            <w:vAlign w:val="bottom"/>
            <w:tcBorders>
              <w:bottom w:val="single" w:sz="8" w:color="9A9A9A"/>
            </w:tcBorders>
          </w:tcPr>
          <w:p>
            <w:pPr>
              <w:spacing w:after="0"/>
              <w:rPr>
                <w:sz w:val="20"/>
                <w:szCs w:val="20"/>
                <w:color w:val="auto"/>
              </w:rPr>
            </w:pPr>
          </w:p>
        </w:tc>
        <w:tc>
          <w:tcPr>
            <w:tcW w:w="160" w:type="dxa"/>
            <w:vAlign w:val="bottom"/>
            <w:tcBorders>
              <w:bottom w:val="single" w:sz="8" w:color="9A9A9A"/>
            </w:tcBorders>
          </w:tcPr>
          <w:p>
            <w:pPr>
              <w:spacing w:after="0"/>
              <w:rPr>
                <w:sz w:val="20"/>
                <w:szCs w:val="20"/>
                <w:color w:val="auto"/>
              </w:rPr>
            </w:pPr>
          </w:p>
        </w:tc>
        <w:tc>
          <w:tcPr>
            <w:tcW w:w="1160" w:type="dxa"/>
            <w:vAlign w:val="bottom"/>
            <w:tcBorders>
              <w:bottom w:val="single" w:sz="8" w:color="9A9A9A"/>
            </w:tcBorders>
          </w:tcPr>
          <w:p>
            <w:pPr>
              <w:spacing w:after="0"/>
              <w:rPr>
                <w:sz w:val="20"/>
                <w:szCs w:val="20"/>
                <w:color w:val="auto"/>
              </w:rPr>
            </w:pPr>
          </w:p>
        </w:tc>
        <w:tc>
          <w:tcPr>
            <w:tcW w:w="100" w:type="dxa"/>
            <w:vAlign w:val="bottom"/>
            <w:tcBorders>
              <w:bottom w:val="single" w:sz="8" w:color="9A9A9A"/>
            </w:tcBorders>
          </w:tcPr>
          <w:p>
            <w:pPr>
              <w:spacing w:after="0"/>
              <w:rPr>
                <w:sz w:val="20"/>
                <w:szCs w:val="20"/>
                <w:color w:val="auto"/>
              </w:rPr>
            </w:pPr>
          </w:p>
        </w:tc>
        <w:tc>
          <w:tcPr>
            <w:tcW w:w="200" w:type="dxa"/>
            <w:vAlign w:val="bottom"/>
            <w:tcBorders>
              <w:bottom w:val="single" w:sz="8" w:color="9A9A9A"/>
            </w:tcBorders>
          </w:tcPr>
          <w:p>
            <w:pPr>
              <w:spacing w:after="0"/>
              <w:rPr>
                <w:sz w:val="20"/>
                <w:szCs w:val="20"/>
                <w:color w:val="auto"/>
              </w:rPr>
            </w:pPr>
          </w:p>
        </w:tc>
        <w:tc>
          <w:tcPr>
            <w:tcW w:w="1120" w:type="dxa"/>
            <w:vAlign w:val="bottom"/>
            <w:tcBorders>
              <w:bottom w:val="single" w:sz="8" w:color="9A9A9A"/>
            </w:tcBorders>
          </w:tcPr>
          <w:p>
            <w:pPr>
              <w:spacing w:after="0"/>
              <w:rPr>
                <w:sz w:val="20"/>
                <w:szCs w:val="20"/>
                <w:color w:val="auto"/>
              </w:rPr>
            </w:pPr>
          </w:p>
        </w:tc>
        <w:tc>
          <w:tcPr>
            <w:tcW w:w="100" w:type="dxa"/>
            <w:vAlign w:val="bottom"/>
            <w:tcBorders>
              <w:bottom w:val="single" w:sz="8" w:color="9A9A9A"/>
            </w:tcBorders>
          </w:tcPr>
          <w:p>
            <w:pPr>
              <w:spacing w:after="0"/>
              <w:rPr>
                <w:sz w:val="20"/>
                <w:szCs w:val="20"/>
                <w:color w:val="auto"/>
              </w:rPr>
            </w:pPr>
          </w:p>
        </w:tc>
        <w:tc>
          <w:tcPr>
            <w:tcW w:w="220" w:type="dxa"/>
            <w:vAlign w:val="bottom"/>
            <w:tcBorders>
              <w:bottom w:val="single" w:sz="8" w:color="9A9A9A"/>
            </w:tcBorders>
          </w:tcPr>
          <w:p>
            <w:pPr>
              <w:spacing w:after="0"/>
              <w:rPr>
                <w:sz w:val="20"/>
                <w:szCs w:val="20"/>
                <w:color w:val="auto"/>
              </w:rPr>
            </w:pPr>
          </w:p>
        </w:tc>
        <w:tc>
          <w:tcPr>
            <w:tcW w:w="1100" w:type="dxa"/>
            <w:vAlign w:val="bottom"/>
            <w:tcBorders>
              <w:bottom w:val="single" w:sz="8" w:color="9A9A9A"/>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50" w:right="339" w:bottom="1440" w:gutter="0" w:footer="0" w:header="0"/>
        </w:sectPr>
      </w:pPr>
    </w:p>
    <w:bookmarkStart w:id="30" w:name="page31"/>
    <w:bookmarkEnd w:id="30"/>
    <w:p>
      <w:pPr>
        <w:jc w:val="both"/>
        <w:ind w:right="20"/>
        <w:spacing w:after="0" w:line="308" w:lineRule="auto"/>
        <w:rPr>
          <w:sz w:val="20"/>
          <w:szCs w:val="20"/>
          <w:color w:val="auto"/>
        </w:rPr>
      </w:pPr>
      <w:r>
        <w:rPr>
          <w:rFonts w:ascii="Times New Roman" w:cs="Times New Roman" w:eastAsia="Times New Roman" w:hAnsi="Times New Roman"/>
          <w:sz w:val="21"/>
          <w:szCs w:val="21"/>
          <w:b w:val="1"/>
          <w:bCs w:val="1"/>
          <w:color w:val="auto"/>
        </w:rPr>
        <w:t>ITEM 2. MANAGEMENT’S DISCUSSION AND ANALYSIS OF FINANCIAL CONDITION AND RESULTS OF OPERATIONS</w:t>
      </w:r>
    </w:p>
    <w:p>
      <w:pPr>
        <w:spacing w:after="0" w:line="2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following discussion and analysis should be read in conjunction with the condensed consolidated financial statements and related notes, which appear elsewhere in this Report, and with LivaNova’s 2024 Form 10-K. LivaNova’s discussion and analysis may contain forward-looking statements that involve risks and uncertainties. The Company’s actual results may differ materially from those anticipated in these forward-looking statements as a result of certain factors, including those set forth under “Risk Factors” in Part I, Item 1A. of LivaNova’s 2024 Form 10-K, as updated and supplemented by LivaNova’s Quarterly Reports on Form 10-Q, including in Part II, Item 1A. and elsewhere in this Report. The accompanying unaudited condensed consolidated financial statements of LivaNova and its consolidated subsidiaries have been prepared in accordance with U.S. GAAP on an interim basis. The capitalized terms used below have been defined in the “Definitions” section and in the notes to LivaNova’s condensed consolidated financial statements of this Report.</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Description of the Business</w:t>
      </w:r>
    </w:p>
    <w:p>
      <w:pPr>
        <w:spacing w:after="0" w:line="11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color w:val="auto"/>
        </w:rPr>
        <w:t>LivaNova PLC is a market-leading global medical technology company. The Company designs, develops, manufactures, markets, and sells products and therapies that are consistent with LivaNova’s mission to provide hope for patients and their families through medical technologies, delivering life-changing solutions in select neurological and cardiac conditions. LivaNova is a public limited company organized under the laws of England and Wales and is headquartered in London, England. LivaNova’s ordinary shares are listed for trading on the Nasdaq under the symbol “LIVN.”</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Macroeconomic Environment</w:t>
      </w:r>
    </w:p>
    <w:p>
      <w:pPr>
        <w:spacing w:after="0" w:line="11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The current macroeconomic environment, including FX volatility, inflationary pressures, geopolitical instability, and supply chain challenges, has impacted and may continue to impact LivaNova’s business, results of operations, cash flows, and financial condition. Furthermore, LivaNova continues to experience logistical, capacity, and labor constraints. However, to date, the Company’s supply of raw materials and the production and distribution of finished products have not been materially affected. The Company continues to respond to such challenges, and while LivaNova has business continuity plans in place, the impact of the ongoing challenges the Company is navigating, along with their potential escalation, may adversely affect its business.</w:t>
      </w:r>
    </w:p>
    <w:p>
      <w:pPr>
        <w:spacing w:after="0" w:line="6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In addition, the impact that the imposition of tariffs and changes to global trade policies could have on the Company’s results of operations is uncertain. A significant number of LivaNova’s Cardiopulmonary products and component parts are sourced and produced outside of the U.S., including in Italy and Germany. Similarly, LivaNova manufactures its Neuromodulation products in the U.S., which are then often distributed internationally. For additional information, see (1) “Part II, Item 1A. Risk Factors” and elsewhere in this Report and the Company’s other Quarterly Reports on Form 10-Q and (2) “Part I, Item 1A. Risk Factors” of the Company’s 2024 Form 10-K.</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Cybersecurity Incident</w:t>
      </w:r>
    </w:p>
    <w:p>
      <w:pPr>
        <w:spacing w:after="0" w:line="12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As previously disclosed, in November 2023, LivaNova detected a cybersecurity incident that resulted in a disruption of portions of the Company’s information technology systems. As a result, the Company engaged external cybersecurity experts, coordinated with law enforcement, implemented remediation measures, and notified affected individuals and regulators as required by applicable law. The incident was contained, and the Company’s mitigation efforts are considered complete. For further discussion on legal and regulatory developments, refer to “Note 5. Commitments and Contingencies” in the condensed consolidated financial statements in this Report.</w:t>
      </w:r>
    </w:p>
    <w:p>
      <w:pPr>
        <w:spacing w:after="0" w:line="8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Through June 30, 2025, LivaNova incurred direct costs totaling $13.0 million in connection with this cybersecurity incident, including $0.6 million and $2.9 million for the three months ended June 30, 2025 and 2024, respectively, and $1.4 million and $5.7 million for the six months ended June 30, 2025 and 2024, respectively. The total direct costs incurred primarily include external cybersecurity expert and legal fees, system restoration costs, and $1.2 million related to a class action settlement, and do not include business interruption losses. The Company may incur additional costs related to this incident in the future. LivaNova maintains insurance, including cyber insurance, which is subject to certain retentions and policy limitations that will likely limit the amount that the insurers may reimburse the Company. LivaNova has filed claims for insurance reimbursement of direct costs and business interruption losses related to this incident and has submitted additional claims and supplemental requests for reimbursement as new costs have been incurred. Through June 30, 2025, LivaNova has received $9.6 million, including $6.2 million in reimbursement of direct costs and $3.4 million in reimbursement of business interruption losses. For the three and six months ended June 30, 2025, LivaNova received $1.0 million and $1.2 million, respectively, in reimbursement of direct costs. The Company’s insurance coverage may be insufficient to cover all costs and expenses related to this cybersecurity incident or may be unavailable to cover all costs and expenses related to this cybersecurity incident.</w:t>
      </w:r>
    </w:p>
    <w:p>
      <w:pPr>
        <w:spacing w:after="0" w:line="200" w:lineRule="exact"/>
        <w:rPr>
          <w:sz w:val="20"/>
          <w:szCs w:val="20"/>
          <w:color w:val="auto"/>
        </w:rPr>
      </w:pPr>
    </w:p>
    <w:p>
      <w:pPr>
        <w:spacing w:after="0" w:line="3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140335</wp:posOffset>
            </wp:positionV>
            <wp:extent cx="71583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20"/>
          <w:szCs w:val="20"/>
          <w:b w:val="1"/>
          <w:bCs w:val="1"/>
          <w:color w:val="auto"/>
        </w:rPr>
        <w:t>Business Segments</w:t>
      </w:r>
    </w:p>
    <w:p>
      <w:pPr>
        <w:spacing w:after="0" w:line="114"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LivaNova has two reportable segments: Cardiopulmonary and Neuromodulation. For additional information regarding LivaNova’s reportable segments, historical financial information, and its methodology for the presentation of financial results, refer to the condensed consolidated financial statements and accompanying notes of this Report.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Cardiopulmonary</w:t>
      </w:r>
    </w:p>
    <w:p>
      <w:pPr>
        <w:spacing w:after="0" w:line="12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color w:val="auto"/>
        </w:rPr>
        <w:t>LivaNova’s Cardiopulmonary segment is engaged in the design, development, manufacture, marketing, and sale of cardiopulmonary products, including HLMs, oxygenators, autotransfusion systems, perfusion tubing systems, cannulae, and other related accessories. In particular, the Cardiopulmonary segment includes the Essenz Perfusion System, the Company’s next-generation HLM with an embedded patient monitor for tailored patient care strategies and sensing technology for data-driven decision-making during cardiopulmonary bypass procedures.</w:t>
      </w:r>
    </w:p>
    <w:p>
      <w:pPr>
        <w:spacing w:after="0" w:line="66"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Information on the Cardiopulmonary segment that could potentially impact LivaNova’s condensed consolidated financial statements and related disclosures is incorporated by reference to “Note 5. Commitments and Contingencies: Product Liability Litigation” in the condensed consolidated financial statements in this Report.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Neuromodulation</w:t>
      </w:r>
    </w:p>
    <w:p>
      <w:pPr>
        <w:spacing w:after="0" w:line="124"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LivaNova’s Neuromodulation segment is engaged in the design, development, manufacture, marketing, and sale of devices that deliver neuromodulation therapy for treating DRE and DTD.</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Epilepsy</w:t>
      </w:r>
    </w:p>
    <w:p>
      <w:pPr>
        <w:spacing w:after="0" w:line="11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LivaNova’s principal Neuromodulation product, the VNS Therapy System, is designed as an adjunctive treatment to reduce seizures in people with DRE, and is approved in many jurisdictions globally, including in the U.S. for patients 4 years of age or older with partial onset seizures. The VNS Therapy System consists of an implantable pulse generator and connective lead that stimulates the left vagus nerve, surgical equipment to assist with the implant procedure, and equipment and instruction manuals that enable a treating physician to set parameters for a patient’s pulse generator. The lead does not need to be removed to replace a generator with a depleted battery.</w:t>
      </w:r>
    </w:p>
    <w:p>
      <w:pPr>
        <w:spacing w:after="0" w:line="6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 xml:space="preserve">In June 2025, the Company announced the completion of the CORE-VNS study, evaluating comprehensive outcomes of real-world evidence for more than 800 people with drug-resistant epilepsy treated with VNS Therapy worldwide. With the clinical study report now complete, the final 36-month data further validate the effectiveness of VNS Therapy for severe focal seizures in both children and adults with DRE and demonstrate early and lasting outcomes of adjunctive VNS Therapy on severe focal seizures in pediatric and adult patients. Additionally, LivaNova announced that 24-month data on generalized tonic-clonic seizures in people with DRE from the CORE-VNS three-year study have been published in </w:t>
      </w:r>
      <w:r>
        <w:rPr>
          <w:rFonts w:ascii="Times New Roman" w:cs="Times New Roman" w:eastAsia="Times New Roman" w:hAnsi="Times New Roman"/>
          <w:sz w:val="18"/>
          <w:szCs w:val="18"/>
          <w:i w:val="1"/>
          <w:iCs w:val="1"/>
          <w:color w:val="auto"/>
        </w:rPr>
        <w:t>Epilepsia</w:t>
      </w:r>
      <w:r>
        <w:rPr>
          <w:rFonts w:ascii="Times New Roman" w:cs="Times New Roman" w:eastAsia="Times New Roman" w:hAnsi="Times New Roman"/>
          <w:sz w:val="18"/>
          <w:szCs w:val="18"/>
          <w:color w:val="auto"/>
        </w:rPr>
        <w:t>.</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Obstructive Sleep Apnea</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Neuromodulation segment is also engaged in the development and management of clinical testing for LivaNova’s aura6000 System for treating OSA.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aura6000 device stimulates the hypoglossal nerve, which engages specific tongue and palate muscles to open the airway while a patient sleeps.</w:t>
      </w:r>
    </w:p>
    <w:p>
      <w:pPr>
        <w:spacing w:after="0" w:line="11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In May 2025, the Company announced the 12-month top-line data from its OSPREY clinical trial, evaluating outcomes with the aura6000 System for the treatment of moderate to severe OSA. At 12 months of therapy, the treatment arm responder rate was 65%, with responders defined as those who realized at least a 50% improvement from the baseline AHI and an AHI value below 20. When comparing baseline median values to six and 12 months of therapy (assessed at the seven- and 13-month follow-up visits, respectively), OSPREY subjects showed significant reductions in AHI and ODI over time. Further, after 12 months of treatment, OSPREY subjects in the device stimulation group experienced clinically meaningful improvements in the Epworth Sleepiness Scale and the Functional Outcomes of Sleep Questionnaire.</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Depression</w:t>
      </w:r>
    </w:p>
    <w:p>
      <w:pPr>
        <w:spacing w:after="0" w:line="12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color w:val="auto"/>
        </w:rPr>
        <w:t>The Neuromodulation segment also includes the VNS Therapy System for the adjunctive treatment of chronic or recurrent depression for patients 18 years or older who are experiencing a major depressive episode and have not had an adequate response to four or more antidepressant treatments. LivaNova initiated the RECOVER clinical study, a CMS-approved, double-blind, randomized, placebo-controlled trial, in connection with its request that CMS reconsider its previous non-coverage determination.</w:t>
      </w:r>
    </w:p>
    <w:p>
      <w:pPr>
        <w:spacing w:after="0" w:line="66"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8"/>
          <w:szCs w:val="18"/>
          <w:color w:val="auto"/>
        </w:rPr>
        <w:t>In June 2024, the Company announced the preliminary results for the unipolar patient cohort of the RECOVER clinical study, assessing the use of VNS Therapy for TRD. The study did not meet its primary endpoint for the unipolar cohort; however,</w:t>
      </w:r>
    </w:p>
    <w:p>
      <w:pPr>
        <w:spacing w:after="0" w:line="200" w:lineRule="exact"/>
        <w:rPr>
          <w:sz w:val="20"/>
          <w:szCs w:val="20"/>
          <w:color w:val="auto"/>
        </w:rPr>
      </w:pPr>
    </w:p>
    <w:p>
      <w:pPr>
        <w:spacing w:after="0" w:line="28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149225</wp:posOffset>
            </wp:positionV>
            <wp:extent cx="71583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32" w:name="page33"/>
    <w:bookmarkEnd w:id="32"/>
    <w:p>
      <w:pPr>
        <w:jc w:val="both"/>
        <w:spacing w:after="0" w:line="264" w:lineRule="auto"/>
        <w:rPr>
          <w:sz w:val="20"/>
          <w:szCs w:val="20"/>
          <w:color w:val="auto"/>
        </w:rPr>
      </w:pPr>
      <w:r>
        <w:rPr>
          <w:rFonts w:ascii="Times New Roman" w:cs="Times New Roman" w:eastAsia="Times New Roman" w:hAnsi="Times New Roman"/>
          <w:sz w:val="18"/>
          <w:szCs w:val="18"/>
          <w:color w:val="auto"/>
        </w:rPr>
        <w:t>statistical significance and clinically meaningful benefit were achieved in select secondary endpoints as detailed in two articles published in a peer-reviewed journal in December 2024. Three subsequent peer-reviewed articles, published between March and July 2025, evaluated the sensitivity of symptom measures and demonstrated that symptoms, daily function, and quality of life, taken together as a composite or “tripartite” measure, present a more complete picture of treatment effectiveness in patients with DTD and can inform clinical decision-making by identifying patient features that may be associated with greater benefit from adjunctive active VNS Therapy, such as patients who received prior interventional treatments. Together, the Company believes these articles support the use of VNS Therapy in patients with DTD.</w:t>
      </w:r>
    </w:p>
    <w:p>
      <w:pPr>
        <w:spacing w:after="0" w:line="85"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8"/>
          <w:szCs w:val="18"/>
          <w:color w:val="auto"/>
        </w:rPr>
        <w:t>In June 2025, the Company announced that it had initiated the process with CMS to seek reconsideration of national Medicare coverage for VNS Therapy in unipolar patients with TRD.</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Accounting Estimates</w:t>
      </w:r>
    </w:p>
    <w:p>
      <w:pPr>
        <w:spacing w:after="0" w:line="128" w:lineRule="exact"/>
        <w:rPr>
          <w:sz w:val="20"/>
          <w:szCs w:val="20"/>
          <w:color w:val="auto"/>
        </w:rPr>
      </w:pPr>
    </w:p>
    <w:p>
      <w:pPr>
        <w:jc w:val="both"/>
        <w:ind w:right="20"/>
        <w:spacing w:after="0" w:line="272" w:lineRule="auto"/>
        <w:rPr>
          <w:sz w:val="20"/>
          <w:szCs w:val="20"/>
          <w:color w:val="auto"/>
        </w:rPr>
      </w:pPr>
      <w:r>
        <w:rPr>
          <w:rFonts w:ascii="Times New Roman" w:cs="Times New Roman" w:eastAsia="Times New Roman" w:hAnsi="Times New Roman"/>
          <w:sz w:val="18"/>
          <w:szCs w:val="18"/>
          <w:color w:val="auto"/>
        </w:rPr>
        <w:t>For a discussion of LivaNova’s critical accounting estimates, see “Management’s Discussion and Analysis of Financial Condition and Results of Operations” included in the 2024 Form 10-K. For the six months ended June 30, 2025, there were no material changes to the application of critical accounting policies and estimates previously disclosed in LivaNova’s 2024 Form 10-K.</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Results of Operations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LivaNova’s condensed consolidated results of operations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6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80" w:type="dxa"/>
            <w:vAlign w:val="bottom"/>
          </w:tcPr>
          <w:p>
            <w:pPr>
              <w:spacing w:after="0"/>
              <w:rPr>
                <w:sz w:val="20"/>
                <w:szCs w:val="20"/>
                <w:color w:val="auto"/>
              </w:rPr>
            </w:pPr>
          </w:p>
        </w:tc>
        <w:tc>
          <w:tcPr>
            <w:tcW w:w="2720" w:type="dxa"/>
            <w:vAlign w:val="bottom"/>
            <w:gridSpan w:val="4"/>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2"/>
        </w:trPr>
        <w:tc>
          <w:tcPr>
            <w:tcW w:w="516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2"/>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352,524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318,575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669,379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613,487</w:t>
            </w:r>
          </w:p>
        </w:tc>
      </w:tr>
      <w:tr>
        <w:trPr>
          <w:trHeight w:val="228"/>
        </w:trPr>
        <w:tc>
          <w:tcPr>
            <w:tcW w:w="5160" w:type="dxa"/>
            <w:vAlign w:val="bottom"/>
            <w:tcBorders>
              <w:bottom w:val="single" w:sz="8" w:color="CCEEFF"/>
            </w:tcBorders>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Cost of sales </w:t>
            </w:r>
            <w:r>
              <w:rPr>
                <w:rFonts w:ascii="Times New Roman" w:cs="Times New Roman" w:eastAsia="Times New Roman" w:hAnsi="Times New Roman"/>
                <w:sz w:val="23"/>
                <w:szCs w:val="23"/>
                <w:color w:val="auto"/>
                <w:vertAlign w:val="superscript"/>
              </w:rPr>
              <w:t>(1)</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113,536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103,697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214,137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195,401</w:t>
            </w:r>
          </w:p>
        </w:tc>
      </w:tr>
      <w:tr>
        <w:trPr>
          <w:trHeight w:val="222"/>
        </w:trPr>
        <w:tc>
          <w:tcPr>
            <w:tcW w:w="5160" w:type="dxa"/>
            <w:vAlign w:val="bottom"/>
            <w:shd w:val="clear" w:color="auto" w:fill="CCEEFF"/>
          </w:tcPr>
          <w:p>
            <w:pPr>
              <w:ind w:left="140"/>
              <w:spacing w:after="0" w:line="222" w:lineRule="exact"/>
              <w:rPr>
                <w:sz w:val="20"/>
                <w:szCs w:val="20"/>
                <w:color w:val="auto"/>
              </w:rPr>
            </w:pPr>
            <w:r>
              <w:rPr>
                <w:rFonts w:ascii="Times New Roman" w:cs="Times New Roman" w:eastAsia="Times New Roman" w:hAnsi="Times New Roman"/>
                <w:sz w:val="18"/>
                <w:szCs w:val="18"/>
                <w:color w:val="auto"/>
              </w:rPr>
              <w:t xml:space="preserve">Gross profit </w:t>
            </w:r>
            <w:r>
              <w:rPr>
                <w:rFonts w:ascii="Times New Roman" w:cs="Times New Roman" w:eastAsia="Times New Roman" w:hAnsi="Times New Roman"/>
                <w:sz w:val="23"/>
                <w:szCs w:val="23"/>
                <w:color w:val="auto"/>
                <w:vertAlign w:val="superscript"/>
              </w:rPr>
              <w:t>(1)</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238,988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214,878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455,242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418,086</w:t>
            </w:r>
          </w:p>
        </w:tc>
      </w:tr>
      <w:tr>
        <w:trPr>
          <w:trHeight w:val="228"/>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8"/>
        </w:trPr>
        <w:tc>
          <w:tcPr>
            <w:tcW w:w="5160" w:type="dxa"/>
            <w:vAlign w:val="bottom"/>
            <w:shd w:val="clear" w:color="auto" w:fill="CCEEFF"/>
          </w:tcPr>
          <w:p>
            <w:pPr>
              <w:ind w:left="140"/>
              <w:spacing w:after="0" w:line="229" w:lineRule="exact"/>
              <w:rPr>
                <w:sz w:val="20"/>
                <w:szCs w:val="20"/>
                <w:color w:val="auto"/>
              </w:rPr>
            </w:pPr>
            <w:r>
              <w:rPr>
                <w:rFonts w:ascii="Times New Roman" w:cs="Times New Roman" w:eastAsia="Times New Roman" w:hAnsi="Times New Roman"/>
                <w:sz w:val="18"/>
                <w:szCs w:val="18"/>
                <w:color w:val="auto"/>
              </w:rPr>
              <w:t xml:space="preserve">Selling, general, and administrative </w:t>
            </w:r>
            <w:r>
              <w:rPr>
                <w:rFonts w:ascii="Times New Roman" w:cs="Times New Roman" w:eastAsia="Times New Roman" w:hAnsi="Times New Roman"/>
                <w:sz w:val="23"/>
                <w:szCs w:val="23"/>
                <w:color w:val="auto"/>
                <w:vertAlign w:val="superscript"/>
              </w:rPr>
              <w:t>(1)</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137,780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125,131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266,926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250,812</w:t>
            </w:r>
          </w:p>
        </w:tc>
      </w:tr>
      <w:tr>
        <w:trPr>
          <w:trHeight w:val="228"/>
        </w:trPr>
        <w:tc>
          <w:tcPr>
            <w:tcW w:w="5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47,185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44,737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85,064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90,401</w:t>
            </w:r>
          </w:p>
        </w:tc>
      </w:tr>
      <w:tr>
        <w:trPr>
          <w:trHeight w:val="228"/>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operating expenses</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20,461</w:t>
            </w:r>
          </w:p>
        </w:tc>
      </w:tr>
      <w:tr>
        <w:trPr>
          <w:trHeight w:val="222"/>
        </w:trPr>
        <w:tc>
          <w:tcPr>
            <w:tcW w:w="5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54,183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40,166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56,412</w:t>
            </w:r>
          </w:p>
        </w:tc>
      </w:tr>
      <w:tr>
        <w:trPr>
          <w:trHeight w:val="228"/>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SNIA environmental liability expense</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(362,070)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(15,532)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(27,566)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(31,425)</w:t>
            </w:r>
          </w:p>
        </w:tc>
      </w:tr>
      <w:tr>
        <w:trPr>
          <w:trHeight w:val="228"/>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(25,482)</w:t>
            </w:r>
          </w:p>
        </w:tc>
      </w:tr>
      <w:tr>
        <w:trPr>
          <w:trHeight w:val="228"/>
        </w:trPr>
        <w:tc>
          <w:tcPr>
            <w:tcW w:w="5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 exchange and other income/(expense)</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7,161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(12,116)</w:t>
            </w:r>
          </w:p>
        </w:tc>
      </w:tr>
      <w:tr>
        <w:trPr>
          <w:trHeight w:val="222"/>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(loss) before income tax</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33,320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21,589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(282,326)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(12,611)</w:t>
            </w:r>
          </w:p>
        </w:tc>
      </w:tr>
      <w:tr>
        <w:trPr>
          <w:trHeight w:val="228"/>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17,807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12,944</w:t>
            </w:r>
          </w:p>
        </w:tc>
      </w:tr>
      <w:tr>
        <w:trPr>
          <w:trHeight w:val="228"/>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equity method investments</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22"/>
        </w:trPr>
        <w:tc>
          <w:tcPr>
            <w:tcW w:w="5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 (loss)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27,161</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16,333</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(300,161)</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(25,610)</w:t>
            </w:r>
          </w:p>
        </w:tc>
      </w:tr>
      <w:tr>
        <w:trPr>
          <w:trHeight w:val="20"/>
        </w:trPr>
        <w:tc>
          <w:tcPr>
            <w:tcW w:w="5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74" w:lineRule="exact"/>
        <w:rPr>
          <w:sz w:val="20"/>
          <w:szCs w:val="20"/>
          <w:color w:val="auto"/>
        </w:rPr>
      </w:pPr>
    </w:p>
    <w:p>
      <w:pPr>
        <w:ind w:left="660" w:hanging="330"/>
        <w:spacing w:after="0" w:line="231" w:lineRule="auto"/>
        <w:tabs>
          <w:tab w:leader="none" w:pos="648" w:val="left"/>
        </w:tabs>
        <w:numPr>
          <w:ilvl w:val="0"/>
          <w:numId w:val="1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above table presents revised financial results, as discussed in “Note 1. Unaudited Condensed Consolidated Financial Statements” and “Note 13. Revision of Previously Issued Financial Statements” in the condensed consolidated financial statements in this Report.</w:t>
      </w:r>
    </w:p>
    <w:p>
      <w:pPr>
        <w:spacing w:after="0" w:line="200" w:lineRule="exact"/>
        <w:rPr>
          <w:sz w:val="20"/>
          <w:szCs w:val="20"/>
          <w:color w:val="auto"/>
        </w:rPr>
      </w:pPr>
    </w:p>
    <w:p>
      <w:pPr>
        <w:spacing w:after="0" w:line="34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140335</wp:posOffset>
            </wp:positionV>
            <wp:extent cx="71583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20"/>
          <w:szCs w:val="20"/>
          <w:color w:val="auto"/>
        </w:rPr>
        <w:t>Net Revenue</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net revenue by operating segment and geographic region (in thousands, except for percentages):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80" w:type="dxa"/>
            <w:vAlign w:val="bottom"/>
            <w:gridSpan w:val="7"/>
          </w:tcPr>
          <w:p>
            <w:pPr>
              <w:ind w:left="60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00" w:type="dxa"/>
            <w:vAlign w:val="bottom"/>
          </w:tcPr>
          <w:p>
            <w:pPr>
              <w:spacing w:after="0"/>
              <w:rPr>
                <w:sz w:val="20"/>
                <w:szCs w:val="20"/>
                <w:color w:val="auto"/>
              </w:rPr>
            </w:pPr>
          </w:p>
        </w:tc>
        <w:tc>
          <w:tcPr>
            <w:tcW w:w="3800" w:type="dxa"/>
            <w:vAlign w:val="bottom"/>
            <w:gridSpan w:val="6"/>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22"/>
        </w:trPr>
        <w:tc>
          <w:tcPr>
            <w:tcW w:w="29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Cardiopulmonary</w:t>
            </w:r>
          </w:p>
        </w:tc>
        <w:tc>
          <w:tcPr>
            <w:tcW w:w="2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08"/>
        </w:trPr>
        <w:tc>
          <w:tcPr>
            <w:tcW w:w="298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United States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71,243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64,873</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132,077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115,450</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14.4 %</w:t>
            </w:r>
          </w:p>
        </w:tc>
        <w:tc>
          <w:tcPr>
            <w:tcW w:w="0" w:type="dxa"/>
            <w:vAlign w:val="bottom"/>
          </w:tcPr>
          <w:p>
            <w:pPr>
              <w:spacing w:after="0"/>
              <w:rPr>
                <w:sz w:val="1"/>
                <w:szCs w:val="1"/>
                <w:color w:val="auto"/>
              </w:rPr>
            </w:pPr>
          </w:p>
        </w:tc>
      </w:tr>
      <w:tr>
        <w:trPr>
          <w:trHeight w:val="228"/>
        </w:trPr>
        <w:tc>
          <w:tcPr>
            <w:tcW w:w="2980" w:type="dxa"/>
            <w:vAlign w:val="bottom"/>
          </w:tcPr>
          <w:p>
            <w:pPr>
              <w:ind w:left="220"/>
              <w:spacing w:after="0" w:line="229" w:lineRule="exact"/>
              <w:rPr>
                <w:sz w:val="20"/>
                <w:szCs w:val="20"/>
                <w:color w:val="auto"/>
              </w:rPr>
            </w:pPr>
            <w:r>
              <w:rPr>
                <w:rFonts w:ascii="Times New Roman" w:cs="Times New Roman" w:eastAsia="Times New Roman" w:hAnsi="Times New Roman"/>
                <w:sz w:val="18"/>
                <w:szCs w:val="18"/>
                <w:color w:val="auto"/>
              </w:rPr>
              <w:t xml:space="preserve">Europe </w:t>
            </w:r>
            <w:r>
              <w:rPr>
                <w:rFonts w:ascii="Times New Roman" w:cs="Times New Roman" w:eastAsia="Times New Roman" w:hAnsi="Times New Roman"/>
                <w:sz w:val="23"/>
                <w:szCs w:val="23"/>
                <w:color w:val="auto"/>
                <w:vertAlign w:val="superscript"/>
              </w:rPr>
              <w:t>(1)</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49,046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38,567</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27.2 %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93,553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79,493</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17.7 %</w:t>
            </w:r>
          </w:p>
        </w:tc>
        <w:tc>
          <w:tcPr>
            <w:tcW w:w="0" w:type="dxa"/>
            <w:vAlign w:val="bottom"/>
          </w:tcPr>
          <w:p>
            <w:pPr>
              <w:spacing w:after="0"/>
              <w:rPr>
                <w:sz w:val="1"/>
                <w:szCs w:val="1"/>
                <w:color w:val="auto"/>
              </w:rPr>
            </w:pPr>
          </w:p>
        </w:tc>
      </w:tr>
      <w:tr>
        <w:trPr>
          <w:trHeight w:val="228"/>
        </w:trPr>
        <w:tc>
          <w:tcPr>
            <w:tcW w:w="2980" w:type="dxa"/>
            <w:vAlign w:val="bottom"/>
            <w:shd w:val="clear" w:color="auto" w:fill="CCEEFF"/>
          </w:tcPr>
          <w:p>
            <w:pPr>
              <w:ind w:left="220"/>
              <w:spacing w:after="0" w:line="229" w:lineRule="exact"/>
              <w:rPr>
                <w:sz w:val="20"/>
                <w:szCs w:val="20"/>
                <w:color w:val="auto"/>
              </w:rPr>
            </w:pPr>
            <w:r>
              <w:rPr>
                <w:rFonts w:ascii="Times New Roman" w:cs="Times New Roman" w:eastAsia="Times New Roman" w:hAnsi="Times New Roman"/>
                <w:sz w:val="18"/>
                <w:szCs w:val="18"/>
                <w:color w:val="auto"/>
              </w:rPr>
              <w:t xml:space="preserve">Rest of World </w:t>
            </w:r>
            <w:r>
              <w:rPr>
                <w:rFonts w:ascii="Times New Roman" w:cs="Times New Roman" w:eastAsia="Times New Roman" w:hAnsi="Times New Roman"/>
                <w:sz w:val="23"/>
                <w:szCs w:val="23"/>
                <w:color w:val="auto"/>
                <w:vertAlign w:val="superscript"/>
              </w:rPr>
              <w:t>(1)</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78,983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70,274</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12.4 %</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149,962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134,662</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11.4 %</w:t>
            </w:r>
          </w:p>
        </w:tc>
        <w:tc>
          <w:tcPr>
            <w:tcW w:w="0" w:type="dxa"/>
            <w:vAlign w:val="bottom"/>
          </w:tcPr>
          <w:p>
            <w:pPr>
              <w:spacing w:after="0"/>
              <w:rPr>
                <w:sz w:val="1"/>
                <w:szCs w:val="1"/>
                <w:color w:val="auto"/>
              </w:rPr>
            </w:pPr>
          </w:p>
        </w:tc>
      </w:tr>
      <w:tr>
        <w:trPr>
          <w:trHeight w:val="222"/>
        </w:trPr>
        <w:tc>
          <w:tcPr>
            <w:tcW w:w="29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199,272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173,714</w:t>
            </w:r>
          </w:p>
        </w:tc>
        <w:tc>
          <w:tcPr>
            <w:tcW w:w="13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14.7 %</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375,592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329,605</w:t>
            </w:r>
          </w:p>
        </w:tc>
        <w:tc>
          <w:tcPr>
            <w:tcW w:w="13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14.0 %</w:t>
            </w:r>
          </w:p>
        </w:tc>
        <w:tc>
          <w:tcPr>
            <w:tcW w:w="0" w:type="dxa"/>
            <w:vAlign w:val="bottom"/>
          </w:tcPr>
          <w:p>
            <w:pPr>
              <w:spacing w:after="0"/>
              <w:rPr>
                <w:sz w:val="1"/>
                <w:szCs w:val="1"/>
                <w:color w:val="auto"/>
              </w:rPr>
            </w:pPr>
          </w:p>
        </w:tc>
      </w:tr>
      <w:tr>
        <w:trPr>
          <w:trHeight w:val="208"/>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Neuromodulation</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United States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117,226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111,683</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225,560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217,612</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0" w:type="dxa"/>
            <w:vAlign w:val="bottom"/>
          </w:tcPr>
          <w:p>
            <w:pPr>
              <w:spacing w:after="0"/>
              <w:rPr>
                <w:sz w:val="1"/>
                <w:szCs w:val="1"/>
                <w:color w:val="auto"/>
              </w:rPr>
            </w:pPr>
          </w:p>
        </w:tc>
      </w:tr>
      <w:tr>
        <w:trPr>
          <w:trHeight w:val="228"/>
        </w:trPr>
        <w:tc>
          <w:tcPr>
            <w:tcW w:w="2980" w:type="dxa"/>
            <w:vAlign w:val="bottom"/>
            <w:shd w:val="clear" w:color="auto" w:fill="CCEEFF"/>
          </w:tcPr>
          <w:p>
            <w:pPr>
              <w:ind w:left="220"/>
              <w:spacing w:after="0" w:line="229" w:lineRule="exact"/>
              <w:rPr>
                <w:sz w:val="20"/>
                <w:szCs w:val="20"/>
                <w:color w:val="auto"/>
              </w:rPr>
            </w:pPr>
            <w:r>
              <w:rPr>
                <w:rFonts w:ascii="Times New Roman" w:cs="Times New Roman" w:eastAsia="Times New Roman" w:hAnsi="Times New Roman"/>
                <w:sz w:val="18"/>
                <w:szCs w:val="18"/>
                <w:color w:val="auto"/>
              </w:rPr>
              <w:t xml:space="preserve">Europe </w:t>
            </w:r>
            <w:r>
              <w:rPr>
                <w:rFonts w:ascii="Times New Roman" w:cs="Times New Roman" w:eastAsia="Times New Roman" w:hAnsi="Times New Roman"/>
                <w:sz w:val="23"/>
                <w:szCs w:val="23"/>
                <w:color w:val="auto"/>
                <w:vertAlign w:val="superscript"/>
              </w:rPr>
              <w:t>(1)</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17,730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15,590</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32,924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28,997</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13.5 %</w:t>
            </w:r>
          </w:p>
        </w:tc>
        <w:tc>
          <w:tcPr>
            <w:tcW w:w="0" w:type="dxa"/>
            <w:vAlign w:val="bottom"/>
          </w:tcPr>
          <w:p>
            <w:pPr>
              <w:spacing w:after="0"/>
              <w:rPr>
                <w:sz w:val="1"/>
                <w:szCs w:val="1"/>
                <w:color w:val="auto"/>
              </w:rPr>
            </w:pPr>
          </w:p>
        </w:tc>
      </w:tr>
      <w:tr>
        <w:trPr>
          <w:trHeight w:val="228"/>
        </w:trPr>
        <w:tc>
          <w:tcPr>
            <w:tcW w:w="2980" w:type="dxa"/>
            <w:vAlign w:val="bottom"/>
            <w:tcBorders>
              <w:bottom w:val="single" w:sz="8" w:color="CCEEFF"/>
            </w:tcBorders>
          </w:tcPr>
          <w:p>
            <w:pPr>
              <w:ind w:left="220"/>
              <w:spacing w:after="0" w:line="229" w:lineRule="exact"/>
              <w:rPr>
                <w:sz w:val="20"/>
                <w:szCs w:val="20"/>
                <w:color w:val="auto"/>
              </w:rPr>
            </w:pPr>
            <w:r>
              <w:rPr>
                <w:rFonts w:ascii="Times New Roman" w:cs="Times New Roman" w:eastAsia="Times New Roman" w:hAnsi="Times New Roman"/>
                <w:sz w:val="18"/>
                <w:szCs w:val="18"/>
                <w:color w:val="auto"/>
              </w:rPr>
              <w:t xml:space="preserve">Rest of World </w:t>
            </w:r>
            <w:r>
              <w:rPr>
                <w:rFonts w:ascii="Times New Roman" w:cs="Times New Roman" w:eastAsia="Times New Roman" w:hAnsi="Times New Roman"/>
                <w:sz w:val="23"/>
                <w:szCs w:val="23"/>
                <w:color w:val="auto"/>
                <w:vertAlign w:val="superscript"/>
              </w:rPr>
              <w:t>(1)</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16,714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15,603</w:t>
            </w:r>
          </w:p>
        </w:tc>
        <w:tc>
          <w:tcPr>
            <w:tcW w:w="13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7.1 %</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32,079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30,139</w:t>
            </w:r>
          </w:p>
        </w:tc>
        <w:tc>
          <w:tcPr>
            <w:tcW w:w="13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6.4 %</w:t>
            </w:r>
          </w:p>
        </w:tc>
        <w:tc>
          <w:tcPr>
            <w:tcW w:w="0" w:type="dxa"/>
            <w:vAlign w:val="bottom"/>
          </w:tcPr>
          <w:p>
            <w:pPr>
              <w:spacing w:after="0"/>
              <w:rPr>
                <w:sz w:val="1"/>
                <w:szCs w:val="1"/>
                <w:color w:val="auto"/>
              </w:rPr>
            </w:pPr>
          </w:p>
        </w:tc>
      </w:tr>
      <w:tr>
        <w:trPr>
          <w:trHeight w:val="222"/>
        </w:trPr>
        <w:tc>
          <w:tcPr>
            <w:tcW w:w="29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151,670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142,876</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290,563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276,748</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0" w:type="dxa"/>
            <w:vAlign w:val="bottom"/>
          </w:tcPr>
          <w:p>
            <w:pPr>
              <w:spacing w:after="0"/>
              <w:rPr>
                <w:sz w:val="1"/>
                <w:szCs w:val="1"/>
                <w:color w:val="auto"/>
              </w:rPr>
            </w:pPr>
          </w:p>
        </w:tc>
      </w:tr>
      <w:tr>
        <w:trPr>
          <w:trHeight w:val="222"/>
        </w:trPr>
        <w:tc>
          <w:tcPr>
            <w:tcW w:w="2980" w:type="dxa"/>
            <w:vAlign w:val="bottom"/>
            <w:tcBorders>
              <w:bottom w:val="single" w:sz="8" w:color="CCEEFF"/>
            </w:tcBorders>
          </w:tcPr>
          <w:p>
            <w:pPr>
              <w:ind w:left="20"/>
              <w:spacing w:after="0" w:line="222" w:lineRule="exact"/>
              <w:rPr>
                <w:sz w:val="20"/>
                <w:szCs w:val="20"/>
                <w:color w:val="auto"/>
              </w:rPr>
            </w:pPr>
            <w:r>
              <w:rPr>
                <w:rFonts w:ascii="Times New Roman" w:cs="Times New Roman" w:eastAsia="Times New Roman" w:hAnsi="Times New Roman"/>
                <w:sz w:val="18"/>
                <w:szCs w:val="18"/>
                <w:b w:val="1"/>
                <w:bCs w:val="1"/>
                <w:color w:val="auto"/>
              </w:rPr>
              <w:t xml:space="preserve">Other Revenue </w:t>
            </w:r>
            <w:r>
              <w:rPr>
                <w:rFonts w:ascii="Times New Roman" w:cs="Times New Roman" w:eastAsia="Times New Roman" w:hAnsi="Times New Roman"/>
                <w:sz w:val="23"/>
                <w:szCs w:val="23"/>
                <w:b w:val="1"/>
                <w:bCs w:val="1"/>
                <w:color w:val="auto"/>
                <w:vertAlign w:val="superscript"/>
              </w:rPr>
              <w:t>(2)</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1,985</w:t>
            </w:r>
          </w:p>
        </w:tc>
        <w:tc>
          <w:tcPr>
            <w:tcW w:w="13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7,134</w:t>
            </w:r>
          </w:p>
        </w:tc>
        <w:tc>
          <w:tcPr>
            <w:tcW w:w="13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0" w:type="dxa"/>
            <w:vAlign w:val="bottom"/>
          </w:tcPr>
          <w:p>
            <w:pPr>
              <w:spacing w:after="0"/>
              <w:rPr>
                <w:sz w:val="1"/>
                <w:szCs w:val="1"/>
                <w:color w:val="auto"/>
              </w:rPr>
            </w:pPr>
          </w:p>
        </w:tc>
      </w:tr>
      <w:tr>
        <w:trPr>
          <w:trHeight w:val="208"/>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Totals</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United States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188,474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179,537</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357,638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340,157</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0" w:type="dxa"/>
            <w:vAlign w:val="bottom"/>
          </w:tcPr>
          <w:p>
            <w:pPr>
              <w:spacing w:after="0"/>
              <w:rPr>
                <w:sz w:val="1"/>
                <w:szCs w:val="1"/>
                <w:color w:val="auto"/>
              </w:rPr>
            </w:pPr>
          </w:p>
        </w:tc>
      </w:tr>
      <w:tr>
        <w:trPr>
          <w:trHeight w:val="228"/>
        </w:trPr>
        <w:tc>
          <w:tcPr>
            <w:tcW w:w="2980" w:type="dxa"/>
            <w:vAlign w:val="bottom"/>
            <w:shd w:val="clear" w:color="auto" w:fill="CCEEFF"/>
          </w:tcPr>
          <w:p>
            <w:pPr>
              <w:ind w:left="220"/>
              <w:spacing w:after="0" w:line="229" w:lineRule="exact"/>
              <w:rPr>
                <w:sz w:val="20"/>
                <w:szCs w:val="20"/>
                <w:color w:val="auto"/>
              </w:rPr>
            </w:pPr>
            <w:r>
              <w:rPr>
                <w:rFonts w:ascii="Times New Roman" w:cs="Times New Roman" w:eastAsia="Times New Roman" w:hAnsi="Times New Roman"/>
                <w:sz w:val="18"/>
                <w:szCs w:val="18"/>
                <w:color w:val="auto"/>
              </w:rPr>
              <w:t xml:space="preserve">Europe </w:t>
            </w:r>
            <w:r>
              <w:rPr>
                <w:rFonts w:ascii="Times New Roman" w:cs="Times New Roman" w:eastAsia="Times New Roman" w:hAnsi="Times New Roman"/>
                <w:sz w:val="23"/>
                <w:szCs w:val="23"/>
                <w:color w:val="auto"/>
                <w:vertAlign w:val="superscript"/>
              </w:rPr>
              <w:t>(1)</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66,776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51,258</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126,477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105,599</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19.8 %</w:t>
            </w:r>
          </w:p>
        </w:tc>
        <w:tc>
          <w:tcPr>
            <w:tcW w:w="0" w:type="dxa"/>
            <w:vAlign w:val="bottom"/>
          </w:tcPr>
          <w:p>
            <w:pPr>
              <w:spacing w:after="0"/>
              <w:rPr>
                <w:sz w:val="1"/>
                <w:szCs w:val="1"/>
                <w:color w:val="auto"/>
              </w:rPr>
            </w:pPr>
          </w:p>
        </w:tc>
      </w:tr>
      <w:tr>
        <w:trPr>
          <w:trHeight w:val="228"/>
        </w:trPr>
        <w:tc>
          <w:tcPr>
            <w:tcW w:w="2980" w:type="dxa"/>
            <w:vAlign w:val="bottom"/>
            <w:tcBorders>
              <w:bottom w:val="single" w:sz="8" w:color="CCEEFF"/>
            </w:tcBorders>
          </w:tcPr>
          <w:p>
            <w:pPr>
              <w:ind w:left="220"/>
              <w:spacing w:after="0" w:line="229" w:lineRule="exact"/>
              <w:rPr>
                <w:sz w:val="20"/>
                <w:szCs w:val="20"/>
                <w:color w:val="auto"/>
              </w:rPr>
            </w:pPr>
            <w:r>
              <w:rPr>
                <w:rFonts w:ascii="Times New Roman" w:cs="Times New Roman" w:eastAsia="Times New Roman" w:hAnsi="Times New Roman"/>
                <w:sz w:val="18"/>
                <w:szCs w:val="18"/>
                <w:color w:val="auto"/>
              </w:rPr>
              <w:t xml:space="preserve">Rest of World </w:t>
            </w:r>
            <w:r>
              <w:rPr>
                <w:rFonts w:ascii="Times New Roman" w:cs="Times New Roman" w:eastAsia="Times New Roman" w:hAnsi="Times New Roman"/>
                <w:sz w:val="23"/>
                <w:szCs w:val="23"/>
                <w:color w:val="auto"/>
                <w:vertAlign w:val="superscript"/>
              </w:rPr>
              <w:t>(1)</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97,274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87,780</w:t>
            </w:r>
          </w:p>
        </w:tc>
        <w:tc>
          <w:tcPr>
            <w:tcW w:w="13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10.8 %</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185,264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167,731</w:t>
            </w:r>
          </w:p>
        </w:tc>
        <w:tc>
          <w:tcPr>
            <w:tcW w:w="13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10.5 %</w:t>
            </w:r>
          </w:p>
        </w:tc>
        <w:tc>
          <w:tcPr>
            <w:tcW w:w="0" w:type="dxa"/>
            <w:vAlign w:val="bottom"/>
          </w:tcPr>
          <w:p>
            <w:pPr>
              <w:spacing w:after="0"/>
              <w:rPr>
                <w:sz w:val="1"/>
                <w:szCs w:val="1"/>
                <w:color w:val="auto"/>
              </w:rPr>
            </w:pPr>
          </w:p>
        </w:tc>
      </w:tr>
      <w:tr>
        <w:trPr>
          <w:trHeight w:val="247"/>
        </w:trPr>
        <w:tc>
          <w:tcPr>
            <w:tcW w:w="29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352,524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318,575</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669,379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613,487</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9.1 %</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660" w:hanging="330"/>
        <w:spacing w:after="0" w:line="231" w:lineRule="auto"/>
        <w:tabs>
          <w:tab w:leader="none" w:pos="654" w:val="left"/>
        </w:tabs>
        <w:numPr>
          <w:ilvl w:val="0"/>
          <w:numId w:val="17"/>
        </w:numPr>
        <w:rPr>
          <w:rFonts w:ascii="Arial" w:cs="Arial" w:eastAsia="Arial" w:hAnsi="Arial"/>
          <w:sz w:val="21"/>
          <w:szCs w:val="21"/>
          <w:color w:val="auto"/>
          <w:vertAlign w:val="superscript"/>
        </w:rPr>
      </w:pPr>
      <w:r>
        <w:rPr>
          <w:rFonts w:ascii="Times New Roman" w:cs="Times New Roman" w:eastAsia="Times New Roman" w:hAnsi="Times New Roman"/>
          <w:sz w:val="16"/>
          <w:szCs w:val="16"/>
          <w:color w:val="auto"/>
        </w:rPr>
        <w:t>“Europe” includes the UK, Germany, France, Italy, the Netherlands, Spain, Belgium, Poland, Sweden, Switzerland, Austria, Norway, Portugal, Finland, and Denmark. Excluding Europe and the U.S., “Rest of World” includes all other countries where LivaNova operates.</w:t>
      </w:r>
    </w:p>
    <w:p>
      <w:pPr>
        <w:spacing w:after="0" w:line="7" w:lineRule="exact"/>
        <w:rPr>
          <w:rFonts w:ascii="Arial" w:cs="Arial" w:eastAsia="Arial" w:hAnsi="Arial"/>
          <w:sz w:val="21"/>
          <w:szCs w:val="21"/>
          <w:color w:val="auto"/>
          <w:vertAlign w:val="superscript"/>
        </w:rPr>
      </w:pPr>
    </w:p>
    <w:p>
      <w:pPr>
        <w:ind w:left="660" w:right="20" w:hanging="330"/>
        <w:spacing w:after="0" w:line="296" w:lineRule="auto"/>
        <w:tabs>
          <w:tab w:leader="none" w:pos="651" w:val="left"/>
        </w:tabs>
        <w:numPr>
          <w:ilvl w:val="0"/>
          <w:numId w:val="17"/>
        </w:numPr>
        <w:rPr>
          <w:rFonts w:ascii="Times New Roman" w:cs="Times New Roman" w:eastAsia="Times New Roman" w:hAnsi="Times New Roman"/>
          <w:sz w:val="11"/>
          <w:szCs w:val="11"/>
          <w:color w:val="auto"/>
        </w:rPr>
      </w:pPr>
      <w:r>
        <w:rPr>
          <w:rFonts w:ascii="Times New Roman" w:cs="Times New Roman" w:eastAsia="Times New Roman" w:hAnsi="Times New Roman"/>
          <w:sz w:val="16"/>
          <w:szCs w:val="16"/>
          <w:color w:val="auto"/>
        </w:rPr>
        <w:t>“Other Revenue” includes rental and site services income not allocated to segments. In addition, for the three and six months ended June 30, 2024, “Other Revenue” includes revenue from the Company’s former ACS reportable segment.</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following table presents segment income </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(in thousands, except for percentages):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80" w:type="dxa"/>
            <w:vAlign w:val="bottom"/>
            <w:gridSpan w:val="6"/>
          </w:tcPr>
          <w:p>
            <w:pPr>
              <w:ind w:left="60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80" w:type="dxa"/>
            <w:vAlign w:val="bottom"/>
          </w:tcPr>
          <w:p>
            <w:pPr>
              <w:spacing w:after="0"/>
              <w:rPr>
                <w:sz w:val="20"/>
                <w:szCs w:val="20"/>
                <w:color w:val="auto"/>
              </w:rPr>
            </w:pPr>
          </w:p>
        </w:tc>
        <w:tc>
          <w:tcPr>
            <w:tcW w:w="3800" w:type="dxa"/>
            <w:vAlign w:val="bottom"/>
            <w:gridSpan w:val="6"/>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2"/>
        </w:trPr>
        <w:tc>
          <w:tcPr>
            <w:tcW w:w="30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360" w:type="dxa"/>
            <w:vAlign w:val="bottom"/>
            <w:tcBorders>
              <w:top w:val="single" w:sz="8" w:color="auto"/>
              <w:bottom w:val="single" w:sz="8" w:color="CCEEFF"/>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2"/>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Cardiopulmonary</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31,407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19,627</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56,098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34,338</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63.4 %</w:t>
            </w:r>
          </w:p>
        </w:tc>
      </w:tr>
      <w:tr>
        <w:trPr>
          <w:trHeight w:val="228"/>
        </w:trPr>
        <w:tc>
          <w:tcPr>
            <w:tcW w:w="3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Neuromodulation</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56,020</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54,812</w:t>
            </w:r>
          </w:p>
        </w:tc>
        <w:tc>
          <w:tcPr>
            <w:tcW w:w="13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108,373</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101,490</w:t>
            </w:r>
          </w:p>
        </w:tc>
        <w:tc>
          <w:tcPr>
            <w:tcW w:w="13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6.8 %</w:t>
            </w:r>
          </w:p>
        </w:tc>
      </w:tr>
      <w:tr>
        <w:trPr>
          <w:trHeight w:val="247"/>
        </w:trPr>
        <w:tc>
          <w:tcPr>
            <w:tcW w:w="30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87,427</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74,439</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17.4 %</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164,471</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135,828</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21.1 %</w:t>
            </w: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r>
    </w:tbl>
    <w:p>
      <w:pPr>
        <w:spacing w:after="0" w:line="174" w:lineRule="exact"/>
        <w:rPr>
          <w:sz w:val="20"/>
          <w:szCs w:val="20"/>
          <w:color w:val="auto"/>
        </w:rPr>
      </w:pPr>
    </w:p>
    <w:p>
      <w:pPr>
        <w:ind w:left="660" w:hanging="330"/>
        <w:spacing w:after="0" w:line="231" w:lineRule="auto"/>
        <w:tabs>
          <w:tab w:leader="none" w:pos="648" w:val="left"/>
        </w:tabs>
        <w:numPr>
          <w:ilvl w:val="0"/>
          <w:numId w:val="1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For a reconciliation of segment income to consolidated income (loss) before tax, refer to “Note 10. Geographic and Segment Information” in the condensed consolidated financial statements in this Report.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Cardiopulmonary</w:t>
      </w:r>
    </w:p>
    <w:p>
      <w:pPr>
        <w:spacing w:after="0" w:line="12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8"/>
          <w:szCs w:val="18"/>
          <w:color w:val="auto"/>
        </w:rPr>
        <w:t>Cardiopulmonary net revenue for the three and six months ended June 30, 2025 increased 14.7% to $199.3 million and 14.0% to $375.6 million, respectively, compared to the three and six months ended June 30, 2024, with growth across all regions, driven by strong consumables demand and Essenz Perfusion System sales.</w:t>
      </w:r>
    </w:p>
    <w:p>
      <w:pPr>
        <w:spacing w:after="0" w:line="7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color w:val="auto"/>
        </w:rPr>
        <w:t>Cardiopulmonary segment income for the three and six months ended June 30, 2025 was $31.4 million and $56.1 million, respectively, compared to segment income of $19.6 million and $34.3 million for the three and six months ended June 30, 2024, respectively. These increases in segment income were primarily due to increases in net revenue, as described above, as well as decreases in the amounts recorded for the litigation provision related to LivaNova’s 3T Heater-Cooler device of $2.8 million and $8.5 million for the three- and six-month comparative periods, respectively.</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Neuromodulation</w:t>
      </w:r>
    </w:p>
    <w:p>
      <w:pPr>
        <w:spacing w:after="0" w:line="124"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Neuromodulation net revenue for the three and six months ended June 30, 2025 increased 6.2% to $151.7 million and 5.0% to $290.6 million, respectively, compared to the three and six months ended June 30, 2024, with growth across all regions.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Neuromodulation segment income for the three and six months ended June 30, 2025 was $56.0 million and $108.4 million,</w:t>
      </w:r>
    </w:p>
    <w:p>
      <w:pPr>
        <w:spacing w:after="0" w:line="200" w:lineRule="exact"/>
        <w:rPr>
          <w:sz w:val="20"/>
          <w:szCs w:val="20"/>
          <w:color w:val="auto"/>
        </w:rPr>
      </w:pPr>
    </w:p>
    <w:p>
      <w:pPr>
        <w:spacing w:after="0" w:line="35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149225</wp:posOffset>
            </wp:positionV>
            <wp:extent cx="715835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34" w:name="page35"/>
    <w:bookmarkEnd w:id="34"/>
    <w:p>
      <w:pPr>
        <w:jc w:val="both"/>
        <w:spacing w:after="0" w:line="272" w:lineRule="auto"/>
        <w:rPr>
          <w:sz w:val="20"/>
          <w:szCs w:val="20"/>
          <w:color w:val="auto"/>
        </w:rPr>
      </w:pPr>
      <w:r>
        <w:rPr>
          <w:rFonts w:ascii="Times New Roman" w:cs="Times New Roman" w:eastAsia="Times New Roman" w:hAnsi="Times New Roman"/>
          <w:sz w:val="18"/>
          <w:szCs w:val="18"/>
          <w:color w:val="auto"/>
        </w:rPr>
        <w:t>respectively, compared to $54.8 million and $101.5 million for the three and six months ended June 30, 2024, respectively. These increases in segment income were primarily due to increases in net revenue, as described above, as well as a net decrease in R&amp;D expense for the six-month comparative period, primarily resulting from a $9.4 million reduction in costs associated with the Company’s DTD program.</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Cost of Sales and Expenses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costs and expenses as a percentage of net revenue:</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400" w:type="dxa"/>
            <w:vAlign w:val="bottom"/>
          </w:tcPr>
          <w:p>
            <w:pPr>
              <w:spacing w:after="0"/>
              <w:rPr>
                <w:sz w:val="20"/>
                <w:szCs w:val="20"/>
                <w:color w:val="auto"/>
              </w:rPr>
            </w:pPr>
          </w:p>
        </w:tc>
        <w:tc>
          <w:tcPr>
            <w:tcW w:w="3960" w:type="dxa"/>
            <w:vAlign w:val="bottom"/>
            <w:gridSpan w:val="6"/>
          </w:tcPr>
          <w:p>
            <w:pPr>
              <w:ind w:left="76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880" w:type="dxa"/>
            <w:vAlign w:val="bottom"/>
            <w:gridSpan w:val="5"/>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2"/>
        </w:trPr>
        <w:tc>
          <w:tcPr>
            <w:tcW w:w="3400" w:type="dxa"/>
            <w:vAlign w:val="bottom"/>
            <w:tcBorders>
              <w:bottom w:val="single" w:sz="8" w:color="CCEEFF"/>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top w:val="single" w:sz="8" w:color="auto"/>
              <w:bottom w:val="single" w:sz="8" w:color="CCEEFF"/>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0" w:type="dxa"/>
            <w:vAlign w:val="bottom"/>
            <w:tcBorders>
              <w:bottom w:val="single" w:sz="8" w:color="CCEEFF"/>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top w:val="single" w:sz="8" w:color="auto"/>
              <w:bottom w:val="single" w:sz="8" w:color="CCEEFF"/>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bottom w:val="single" w:sz="8" w:color="CCEEFF"/>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22"/>
        </w:trPr>
        <w:tc>
          <w:tcPr>
            <w:tcW w:w="3400" w:type="dxa"/>
            <w:vAlign w:val="bottom"/>
            <w:shd w:val="clear" w:color="auto" w:fill="CCEEFF"/>
          </w:tcPr>
          <w:p>
            <w:pPr>
              <w:ind w:left="20"/>
              <w:spacing w:after="0" w:line="222" w:lineRule="exact"/>
              <w:rPr>
                <w:sz w:val="20"/>
                <w:szCs w:val="20"/>
                <w:color w:val="auto"/>
              </w:rPr>
            </w:pPr>
            <w:r>
              <w:rPr>
                <w:rFonts w:ascii="Times New Roman" w:cs="Times New Roman" w:eastAsia="Times New Roman" w:hAnsi="Times New Roman"/>
                <w:sz w:val="18"/>
                <w:szCs w:val="18"/>
                <w:color w:val="auto"/>
              </w:rPr>
              <w:t xml:space="preserve">Cost of sales </w:t>
            </w:r>
            <w:r>
              <w:rPr>
                <w:rFonts w:ascii="Times New Roman" w:cs="Times New Roman" w:eastAsia="Times New Roman" w:hAnsi="Times New Roman"/>
                <w:sz w:val="23"/>
                <w:szCs w:val="23"/>
                <w:color w:val="auto"/>
                <w:vertAlign w:val="superscript"/>
              </w:rPr>
              <w:t>(1)</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32.2 %</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32.6 %</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32.0 %</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31.9 %</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r>
      <w:tr>
        <w:trPr>
          <w:trHeight w:val="228"/>
        </w:trPr>
        <w:tc>
          <w:tcPr>
            <w:tcW w:w="3400" w:type="dxa"/>
            <w:vAlign w:val="bottom"/>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Selling, general, and administrative </w:t>
            </w:r>
            <w:r>
              <w:rPr>
                <w:rFonts w:ascii="Times New Roman" w:cs="Times New Roman" w:eastAsia="Times New Roman" w:hAnsi="Times New Roman"/>
                <w:sz w:val="23"/>
                <w:szCs w:val="23"/>
                <w:color w:val="auto"/>
                <w:vertAlign w:val="superscript"/>
              </w:rPr>
              <w:t>(1)</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39.1 %</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39.3 %</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39.9 %</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40.9 %</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8"/>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13.4 %</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14.0 %</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12.7 %</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14.7 %</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4"/>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operating expenses</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bl>
    <w:p>
      <w:pPr>
        <w:spacing w:after="0" w:line="183" w:lineRule="exact"/>
        <w:rPr>
          <w:sz w:val="20"/>
          <w:szCs w:val="20"/>
          <w:color w:val="auto"/>
        </w:rPr>
      </w:pPr>
    </w:p>
    <w:p>
      <w:pPr>
        <w:ind w:left="660" w:hanging="330"/>
        <w:spacing w:after="0" w:line="231" w:lineRule="auto"/>
        <w:tabs>
          <w:tab w:leader="none" w:pos="648" w:val="left"/>
        </w:tabs>
        <w:numPr>
          <w:ilvl w:val="0"/>
          <w:numId w:val="1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above table and commentary below present revised financial results, as discussed in “Note 1. Unaudited Condensed Consolidated Financial Statements” and “Note 13. Revision of Previously Issued Financial Statements” in the condensed consolidated financial statements in this Report.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Cost of Sales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of sales consists primarily of direct labor, allocated overhead, and the acquisition of raw materials and components.</w:t>
      </w:r>
    </w:p>
    <w:p>
      <w:pPr>
        <w:spacing w:after="0" w:line="129"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Cost of sales as a percentage of net revenue was 32.2% and 32.0% for the three and six months ended June 30, 2025, respectively, a decrease of 0.4 and an increase of 0.1 percentage points compared to the three and six months ended June 30, 2024, respectively, and were consistent with volume leverage.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Selling, General, and Administrative Expense</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SG&amp;A expenses are comprised of sales, marketing, general, and administrative activities.</w:t>
      </w:r>
    </w:p>
    <w:p>
      <w:pPr>
        <w:spacing w:after="0" w:line="129"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8"/>
          <w:szCs w:val="18"/>
          <w:color w:val="auto"/>
        </w:rPr>
        <w:t>SG&amp;A expense as a percentage of net revenue was 39.1% and 39.9% for the three and six months ended June 30, 2025, respectively, representing decreases of 0.2 and 1.0 percentage points compared to the three and six months ended June 30, 2024, respectively, primarily due to the decline in costs associated with the November 2023 cybersecurity incident and the impact of related insurance recoveries.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Research and Development Expense</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R&amp;D expenses consist of product design and development efforts, clinical study programs, and regulatory activities.</w:t>
      </w:r>
    </w:p>
    <w:p>
      <w:pPr>
        <w:spacing w:after="0" w:line="129" w:lineRule="exact"/>
        <w:rPr>
          <w:sz w:val="20"/>
          <w:szCs w:val="20"/>
          <w:color w:val="auto"/>
        </w:rPr>
      </w:pPr>
    </w:p>
    <w:p>
      <w:pPr>
        <w:jc w:val="both"/>
        <w:ind w:right="20"/>
        <w:spacing w:after="0" w:line="272" w:lineRule="auto"/>
        <w:rPr>
          <w:sz w:val="20"/>
          <w:szCs w:val="20"/>
          <w:color w:val="auto"/>
        </w:rPr>
      </w:pPr>
      <w:r>
        <w:rPr>
          <w:rFonts w:ascii="Times New Roman" w:cs="Times New Roman" w:eastAsia="Times New Roman" w:hAnsi="Times New Roman"/>
          <w:sz w:val="18"/>
          <w:szCs w:val="18"/>
          <w:color w:val="auto"/>
        </w:rPr>
        <w:t>R&amp;D expense as a percentage of net revenue was 13.4% and 12.7% for the three and six months ended June 30, 2025, respectively, representing decreases of 0.6 and 2.0 percentage points compared to the three and six months ended June 30, 2024, respectively, primarily due to a reduction in costs associated with the Company’s DTD program of $4.0 million and $9.4 million, respectively.</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Other Operating Expenses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operating expenses primarily consists of charges related to LivaNova’s 3T Heater-Cooler device litigation provision and restructuring expense.</w:t>
      </w:r>
    </w:p>
    <w:p>
      <w:pPr>
        <w:spacing w:after="0" w:line="12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Other operating expenses as a percentage of net revenue was zero and 0.1% for the three and six months ended June 30, 2025, respectively, representing decreases of 1.5 and 3.2 percentage points compared to the three and six months ended June 30, 2024, respectively. The decreases were due to decreases of $2.2 million and $11.5 million in restructuring costs associated with the 2024 Restructuring Plan for the three- and six-month comparative periods, respectively, as well as decreases of $2.8 million and $8.5 million in the amount recorded for the litigation provision related to LivaNova’s 3T Heater-Cooler device for the three- and six-month comparative periods, respectively. For additional information, please refer to “Note 5. Commitments and Contingencies” in the condensed consolidated financial statements in this Report.</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SNIA Environmental Liability Expense</w:t>
      </w:r>
    </w:p>
    <w:p>
      <w:pPr>
        <w:spacing w:after="0" w:line="11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8"/>
          <w:szCs w:val="18"/>
          <w:color w:val="auto"/>
        </w:rPr>
        <w:t>On March 14, 2025, the Italian Supreme Court issued its decision in response to all of the appeals of the Company and counter-appeals submitted by the Public Administrations. The Italian Supreme Court determined that LivaNova can be held jointly and severally liable for the established liabilities of SNIA at the time of demerger, as well as the environmental liabilities of the</w:t>
      </w:r>
    </w:p>
    <w:p>
      <w:pPr>
        <w:spacing w:after="0" w:line="200" w:lineRule="exact"/>
        <w:rPr>
          <w:sz w:val="20"/>
          <w:szCs w:val="20"/>
          <w:color w:val="auto"/>
        </w:rPr>
      </w:pPr>
    </w:p>
    <w:p>
      <w:pPr>
        <w:spacing w:after="0" w:line="30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149225</wp:posOffset>
            </wp:positionV>
            <wp:extent cx="715835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5" w:name="page36"/>
    <w:bookmarkEnd w:id="35"/>
    <w:p>
      <w:pPr>
        <w:jc w:val="both"/>
        <w:spacing w:after="0" w:line="269" w:lineRule="auto"/>
        <w:rPr>
          <w:sz w:val="20"/>
          <w:szCs w:val="20"/>
          <w:color w:val="auto"/>
        </w:rPr>
      </w:pPr>
      <w:r>
        <w:rPr>
          <w:rFonts w:ascii="Times New Roman" w:cs="Times New Roman" w:eastAsia="Times New Roman" w:hAnsi="Times New Roman"/>
          <w:sz w:val="18"/>
          <w:szCs w:val="18"/>
          <w:color w:val="auto"/>
        </w:rPr>
        <w:t>demerged company that materialized after the demerger, which are derived from actions performed prior to the demerger. As a result of the decision by the Italian Supreme Court, the Company recorded the SNIA environmental liability expense in the quarter ended March 31, 2025, and has continued to accrue interest since that time. For additional information, please refer to “Note 5. Commitments and Contingencies” in the condensed consolidated financial statements in this Report.</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Interest Expense</w:t>
      </w:r>
    </w:p>
    <w:p>
      <w:pPr>
        <w:spacing w:after="0" w:line="11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color w:val="auto"/>
        </w:rPr>
        <w:t>Interest expense decreased to $12.3 million and $27.6 million for the three and six months ended June 30, 2025, respectively, compared to $15.5 million and $31.4 million for the three and six months ended June 30, 2024, respectively, primarily due to an early repayment on May 2, 2025 of $200 million on principal borrowings under the Term Facilities. For additional information, refer to “Note 4. Financing Arrangements” in the condensed consolidated financial statements in this Report.</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Foreign Exchange and Other Income/(Expense)</w:t>
      </w:r>
    </w:p>
    <w:p>
      <w:pPr>
        <w:spacing w:after="0" w:line="11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8"/>
          <w:szCs w:val="18"/>
          <w:color w:val="auto"/>
        </w:rPr>
        <w:t>Foreign exchange and other income/(expense) consists primarily of gains and losses arising from transactions denominated in a currency different from an entity’s functional currency, FX derivative gains and losses, interest income, changes in the fair value of embedded and capped call derivatives, and gains and losses associated with LivaNova’s investments.</w:t>
      </w:r>
    </w:p>
    <w:p>
      <w:pPr>
        <w:spacing w:after="0" w:line="76"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8"/>
          <w:szCs w:val="18"/>
          <w:color w:val="auto"/>
        </w:rPr>
        <w:t>Foreign exchange and other income/(expense) was an expense of $4.3 million and income of $7.2 million for the three and six months ended June 30, 2025, respectively, compared to an expense of $3.0 million and $12.1 million for the three and six months ended June 30, 2024, respectively. For additional information, refer to “Note 11. Supplemental Financial Information” in the condensed consolidated financial statements in this Report.</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Income Taxes</w:t>
      </w:r>
    </w:p>
    <w:p>
      <w:pPr>
        <w:spacing w:after="0" w:line="11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LivaNova PLC is a resident in the UK. LivaNova’s effective income tax rate fluctuates based on, among other factors, changes in pre-tax income in countries with varying statutory tax rates, valuation allowances, tax credits and incentives, unrecognized tax benefits associated with uncertain tax positions, and tax laws. LivaNova’s tax returns are periodically audited or subjected to review by tax authorities. The Company operates in multiple jurisdictions worldwide and assesses the recoverability of its deferred tax assets for each period and jurisdiction by considering whether it is more likely than not that all or a portion of the deferred tax assets will not be realized. The Company considers all available evidence (both positive and negative) in determining whether a valuation allowance is required. Depending on operating results in the future, a release of a valuation allowance could occur within the next 12 months. The timing and amount of the valuation allowance release could vary based on the Company’s assessment of all available evidence.</w:t>
      </w:r>
    </w:p>
    <w:p>
      <w:pPr>
        <w:spacing w:after="0" w:line="8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color w:val="auto"/>
        </w:rPr>
        <w:t>LivaNova’s effective income tax rate for the three and six months ended June 30, 2025 was 18.5% and (6.3)%, respectively, compared to 24.2% and (102.6)% for the three and six months ended June 30, 2024, respectively. The changes in the effective tax rates for the three and six months ended June 30, 2025, compared to the prior year periods, were primarily attributable to year-over-year changes in income before tax in countries with varying statutory tax rates, certain discrete tax items, including the SNIA environmental liability, and changes in valuation allowances.</w:t>
      </w:r>
    </w:p>
    <w:p>
      <w:pPr>
        <w:spacing w:after="0" w:line="6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LivaNova is subject to income taxes as well as non-income-based taxes in the U.S., the UK, the EU, and various other jurisdictions. In June 2025, the Group of Seven released a statement on global minimum taxes indicating potential changes to substance-based non-refundable tax credits. The statement has not been incorporated into the OECD framework, and LivaNova will continue to monitor OECD and Pillar Two guidance for any new developments. On July 4, 2025, the U.S. enacted the OBBBA. Provisions of the OBBBA applicable to LivaNova include, but are not limited to, the elective deduction of domestic research and development expenses, changes to interest deductions, changes to Foreign-Derived Deduction Eligible Income, and the permanent reinstatement of bonus depreciation. LivaNova is still evaluating the potential impacts of the OBBBA. LivaNova will continue to monitor legislative developments in the U.S., the UK, the EU, and various other jurisdictions that may impact LivaNova’s operations.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11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Based on LivaNova’s current business plan, which includes estimates and assumptions regarding the amount and timing of cash receipts and payments, the Company believes that its sources of liquidity, which primarily consist of cash and cash equivalents, future cash generated from operations, and available borrowings under its revolving credit facility, will be sufficient to fund its uses of liquidity, primarily consisting of day-to-day operating expenses, working capital, capital expenditures, acquisition earnouts, commitments and contingencies, including the SNIA environmental liability, and debt service requirements over the twelve-month period beginning from the issuance date of this Report. From time to time, LivaNova may access debt and/or equity markets to optimize its capital structure, raise additional capital, or increase liquidity, as necessary. LivaNova’s liquidity could be adversely affected by the factors affecting future operating results, including those referred to in “Part I, Item 1A. Risk</w:t>
      </w:r>
    </w:p>
    <w:p>
      <w:pPr>
        <w:spacing w:after="0" w:line="200" w:lineRule="exact"/>
        <w:rPr>
          <w:sz w:val="20"/>
          <w:szCs w:val="20"/>
          <w:color w:val="auto"/>
        </w:rPr>
      </w:pPr>
    </w:p>
    <w:p>
      <w:pPr>
        <w:spacing w:after="0" w:line="3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149225</wp:posOffset>
            </wp:positionV>
            <wp:extent cx="715835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color w:val="auto"/>
        </w:rPr>
        <w:t>Factors” in the 2024 Form 10-K, as well as “Note 5. Commitments and Contingencies” in the condensed consolidated financial statements in this Report.</w:t>
      </w:r>
    </w:p>
    <w:p>
      <w:pPr>
        <w:spacing w:after="0" w:line="129"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8"/>
          <w:szCs w:val="18"/>
          <w:color w:val="auto"/>
        </w:rPr>
        <w:t>LivaNova’s operating and working capital obligations primarily consist of liabilities arising from the normal course of business, including inventory supply contracts, the future settlement of derivative instruments, and future lease payments, as well as contingent consideration arrangements resulting from acquisitions and obligations associated with legal and other accruals.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selected financial information related to LivaNova’s liquidity (in thousands):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2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Available Short-term Liquidity</w:t>
            </w:r>
          </w:p>
        </w:tc>
        <w:tc>
          <w:tcPr>
            <w:tcW w:w="300" w:type="dxa"/>
            <w:vAlign w:val="bottom"/>
          </w:tcPr>
          <w:p>
            <w:pPr>
              <w:spacing w:after="0"/>
              <w:rPr>
                <w:sz w:val="20"/>
                <w:szCs w:val="20"/>
                <w:color w:val="auto"/>
              </w:rPr>
            </w:pPr>
          </w:p>
        </w:tc>
        <w:tc>
          <w:tcPr>
            <w:tcW w:w="17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80" w:type="dxa"/>
            <w:vAlign w:val="bottom"/>
          </w:tcPr>
          <w:p>
            <w:pPr>
              <w:spacing w:after="0"/>
              <w:rPr>
                <w:sz w:val="20"/>
                <w:szCs w:val="20"/>
                <w:color w:val="auto"/>
              </w:rPr>
            </w:pPr>
          </w:p>
        </w:tc>
        <w:tc>
          <w:tcPr>
            <w:tcW w:w="17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209"/>
        </w:trPr>
        <w:tc>
          <w:tcPr>
            <w:tcW w:w="7200" w:type="dxa"/>
            <w:vAlign w:val="bottom"/>
            <w:vMerge w:val="continue"/>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5"/>
        </w:trPr>
        <w:tc>
          <w:tcPr>
            <w:tcW w:w="7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593,638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428,858</w:t>
            </w:r>
          </w:p>
        </w:tc>
        <w:tc>
          <w:tcPr>
            <w:tcW w:w="0" w:type="dxa"/>
            <w:vAlign w:val="bottom"/>
          </w:tcPr>
          <w:p>
            <w:pPr>
              <w:spacing w:after="0"/>
              <w:rPr>
                <w:sz w:val="1"/>
                <w:szCs w:val="1"/>
                <w:color w:val="auto"/>
              </w:rPr>
            </w:pPr>
          </w:p>
        </w:tc>
      </w:tr>
      <w:tr>
        <w:trPr>
          <w:trHeight w:val="249"/>
        </w:trPr>
        <w:tc>
          <w:tcPr>
            <w:tcW w:w="72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Availability under the 2021 First Lien Credit Agreement</w:t>
            </w:r>
          </w:p>
        </w:tc>
        <w:tc>
          <w:tcPr>
            <w:tcW w:w="30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225,000</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225,000</w:t>
            </w:r>
          </w:p>
        </w:tc>
        <w:tc>
          <w:tcPr>
            <w:tcW w:w="0" w:type="dxa"/>
            <w:vAlign w:val="bottom"/>
          </w:tcPr>
          <w:p>
            <w:pPr>
              <w:spacing w:after="0"/>
              <w:rPr>
                <w:sz w:val="1"/>
                <w:szCs w:val="1"/>
                <w:color w:val="auto"/>
              </w:rPr>
            </w:pPr>
          </w:p>
        </w:tc>
      </w:tr>
      <w:tr>
        <w:trPr>
          <w:trHeight w:val="253"/>
        </w:trPr>
        <w:tc>
          <w:tcPr>
            <w:tcW w:w="7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818,638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653,858</w:t>
            </w:r>
          </w:p>
        </w:tc>
        <w:tc>
          <w:tcPr>
            <w:tcW w:w="0" w:type="dxa"/>
            <w:vAlign w:val="bottom"/>
          </w:tcPr>
          <w:p>
            <w:pPr>
              <w:spacing w:after="0"/>
              <w:rPr>
                <w:sz w:val="1"/>
                <w:szCs w:val="1"/>
                <w:color w:val="auto"/>
              </w:rPr>
            </w:pPr>
          </w:p>
        </w:tc>
      </w:tr>
      <w:tr>
        <w:trPr>
          <w:trHeight w:val="20"/>
        </w:trPr>
        <w:tc>
          <w:tcPr>
            <w:tcW w:w="72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Working Capital</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720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assets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1,066,142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1,127,186</w:t>
            </w:r>
          </w:p>
        </w:tc>
        <w:tc>
          <w:tcPr>
            <w:tcW w:w="0" w:type="dxa"/>
            <w:vAlign w:val="bottom"/>
          </w:tcPr>
          <w:p>
            <w:pPr>
              <w:spacing w:after="0"/>
              <w:rPr>
                <w:sz w:val="1"/>
                <w:szCs w:val="1"/>
                <w:color w:val="auto"/>
              </w:rPr>
            </w:pPr>
          </w:p>
        </w:tc>
      </w:tr>
      <w:tr>
        <w:trPr>
          <w:trHeight w:val="249"/>
        </w:trPr>
        <w:tc>
          <w:tcPr>
            <w:tcW w:w="72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Current liabilities</w:t>
            </w:r>
          </w:p>
        </w:tc>
        <w:tc>
          <w:tcPr>
            <w:tcW w:w="30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827,100</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392,125</w:t>
            </w:r>
          </w:p>
        </w:tc>
        <w:tc>
          <w:tcPr>
            <w:tcW w:w="0" w:type="dxa"/>
            <w:vAlign w:val="bottom"/>
          </w:tcPr>
          <w:p>
            <w:pPr>
              <w:spacing w:after="0"/>
              <w:rPr>
                <w:sz w:val="1"/>
                <w:szCs w:val="1"/>
                <w:color w:val="auto"/>
              </w:rPr>
            </w:pPr>
          </w:p>
        </w:tc>
      </w:tr>
      <w:tr>
        <w:trPr>
          <w:trHeight w:val="253"/>
        </w:trPr>
        <w:tc>
          <w:tcPr>
            <w:tcW w:w="7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239,042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735,061</w:t>
            </w:r>
          </w:p>
        </w:tc>
        <w:tc>
          <w:tcPr>
            <w:tcW w:w="0" w:type="dxa"/>
            <w:vAlign w:val="bottom"/>
          </w:tcPr>
          <w:p>
            <w:pPr>
              <w:spacing w:after="0"/>
              <w:rPr>
                <w:sz w:val="1"/>
                <w:szCs w:val="1"/>
                <w:color w:val="auto"/>
              </w:rPr>
            </w:pPr>
          </w:p>
        </w:tc>
      </w:tr>
      <w:tr>
        <w:trPr>
          <w:trHeight w:val="20"/>
        </w:trPr>
        <w:tc>
          <w:tcPr>
            <w:tcW w:w="72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Debt Obligations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720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82,103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77,339</w:t>
            </w:r>
          </w:p>
        </w:tc>
        <w:tc>
          <w:tcPr>
            <w:tcW w:w="0" w:type="dxa"/>
            <w:vAlign w:val="bottom"/>
          </w:tcPr>
          <w:p>
            <w:pPr>
              <w:spacing w:after="0"/>
              <w:rPr>
                <w:sz w:val="1"/>
                <w:szCs w:val="1"/>
                <w:color w:val="auto"/>
              </w:rPr>
            </w:pPr>
          </w:p>
        </w:tc>
      </w:tr>
      <w:tr>
        <w:trPr>
          <w:trHeight w:val="249"/>
        </w:trPr>
        <w:tc>
          <w:tcPr>
            <w:tcW w:w="72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Short-term unsecured borrowing arrangements</w:t>
            </w:r>
          </w:p>
        </w:tc>
        <w:tc>
          <w:tcPr>
            <w:tcW w:w="30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0" w:type="dxa"/>
            <w:vAlign w:val="bottom"/>
          </w:tcPr>
          <w:p>
            <w:pPr>
              <w:spacing w:after="0"/>
              <w:rPr>
                <w:sz w:val="1"/>
                <w:szCs w:val="1"/>
                <w:color w:val="auto"/>
              </w:rPr>
            </w:pPr>
          </w:p>
        </w:tc>
      </w:tr>
      <w:tr>
        <w:trPr>
          <w:trHeight w:val="242"/>
        </w:trPr>
        <w:tc>
          <w:tcPr>
            <w:tcW w:w="7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debt obligations</w:t>
            </w:r>
          </w:p>
        </w:tc>
        <w:tc>
          <w:tcPr>
            <w:tcW w:w="30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82,133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78,004</w:t>
            </w:r>
          </w:p>
        </w:tc>
        <w:tc>
          <w:tcPr>
            <w:tcW w:w="0" w:type="dxa"/>
            <w:vAlign w:val="bottom"/>
          </w:tcPr>
          <w:p>
            <w:pPr>
              <w:spacing w:after="0"/>
              <w:rPr>
                <w:sz w:val="1"/>
                <w:szCs w:val="1"/>
                <w:color w:val="auto"/>
              </w:rPr>
            </w:pPr>
          </w:p>
        </w:tc>
      </w:tr>
      <w:tr>
        <w:trPr>
          <w:trHeight w:val="255"/>
        </w:trPr>
        <w:tc>
          <w:tcPr>
            <w:tcW w:w="7200" w:type="dxa"/>
            <w:vAlign w:val="bottom"/>
            <w:tcBorders>
              <w:bottom w:val="single" w:sz="8" w:color="CCEEFF"/>
            </w:tcBorders>
          </w:tcPr>
          <w:p>
            <w:pPr>
              <w:ind w:left="180"/>
              <w:spacing w:after="0" w:line="255" w:lineRule="exact"/>
              <w:rPr>
                <w:sz w:val="20"/>
                <w:szCs w:val="20"/>
                <w:color w:val="auto"/>
              </w:rPr>
            </w:pPr>
            <w:r>
              <w:rPr>
                <w:rFonts w:ascii="Times New Roman" w:cs="Times New Roman" w:eastAsia="Times New Roman" w:hAnsi="Times New Roman"/>
                <w:sz w:val="18"/>
                <w:szCs w:val="18"/>
                <w:color w:val="auto"/>
              </w:rPr>
              <w:t xml:space="preserve">Long-term debt obligations </w:t>
            </w:r>
            <w:r>
              <w:rPr>
                <w:rFonts w:ascii="Times New Roman" w:cs="Times New Roman" w:eastAsia="Times New Roman" w:hAnsi="Times New Roman"/>
                <w:sz w:val="23"/>
                <w:szCs w:val="23"/>
                <w:color w:val="auto"/>
                <w:vertAlign w:val="superscript"/>
              </w:rPr>
              <w:t>(1)</w:t>
            </w:r>
          </w:p>
        </w:tc>
        <w:tc>
          <w:tcPr>
            <w:tcW w:w="30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348,489</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549,624</w:t>
            </w:r>
          </w:p>
        </w:tc>
        <w:tc>
          <w:tcPr>
            <w:tcW w:w="0" w:type="dxa"/>
            <w:vAlign w:val="bottom"/>
          </w:tcPr>
          <w:p>
            <w:pPr>
              <w:spacing w:after="0"/>
              <w:rPr>
                <w:sz w:val="1"/>
                <w:szCs w:val="1"/>
                <w:color w:val="auto"/>
              </w:rPr>
            </w:pPr>
          </w:p>
        </w:tc>
      </w:tr>
      <w:tr>
        <w:trPr>
          <w:trHeight w:val="247"/>
        </w:trPr>
        <w:tc>
          <w:tcPr>
            <w:tcW w:w="7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430,622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627,628</w:t>
            </w:r>
          </w:p>
        </w:tc>
        <w:tc>
          <w:tcPr>
            <w:tcW w:w="0" w:type="dxa"/>
            <w:vAlign w:val="bottom"/>
          </w:tcPr>
          <w:p>
            <w:pPr>
              <w:spacing w:after="0"/>
              <w:rPr>
                <w:sz w:val="1"/>
                <w:szCs w:val="1"/>
                <w:color w:val="auto"/>
              </w:rPr>
            </w:pP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6" w:lineRule="exact"/>
        <w:rPr>
          <w:sz w:val="20"/>
          <w:szCs w:val="20"/>
          <w:color w:val="auto"/>
        </w:rPr>
      </w:pPr>
    </w:p>
    <w:p>
      <w:pPr>
        <w:ind w:left="640" w:hanging="310"/>
        <w:spacing w:after="0"/>
        <w:tabs>
          <w:tab w:leader="none" w:pos="640" w:val="left"/>
        </w:tabs>
        <w:numPr>
          <w:ilvl w:val="0"/>
          <w:numId w:val="2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On May 2, 2025, LivaNova made an early repayment of $200 million on principal borrowings under the Term Facilities.</w:t>
      </w:r>
    </w:p>
    <w:p>
      <w:pPr>
        <w:spacing w:after="0" w:line="95"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18"/>
          <w:szCs w:val="18"/>
          <w:color w:val="auto"/>
        </w:rPr>
        <w:t>For information on LivaNova’s debt obligations, refer to “Note 4. Financing Arrangements” in the condensed consolidated financial statements in this Report.</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Cash Flows</w:t>
      </w:r>
    </w:p>
    <w:p>
      <w:pPr>
        <w:spacing w:after="0" w:line="124"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8"/>
          <w:szCs w:val="18"/>
          <w:color w:val="auto"/>
        </w:rPr>
        <w:t>The following table presents net cash, cash equivalents, and restricted cash provided by (used in) operating, investing, and financing activities and the net (decrease) increase in the balance of cash, cash equivalents, and restricted cash (in thousands):</w:t>
      </w:r>
    </w:p>
    <w:tbl>
      <w:tblPr>
        <w:tblLayout w:type="fixed"/>
        <w:tblInd w:w="0" w:type="dxa"/>
        <w:tblCellMar>
          <w:top w:w="0" w:type="dxa"/>
          <w:left w:w="0" w:type="dxa"/>
          <w:bottom w:w="0" w:type="dxa"/>
          <w:right w:w="0" w:type="dxa"/>
        </w:tblCellMar>
      </w:tblPr>
      <w:tr>
        <w:trPr>
          <w:trHeight w:val="237"/>
        </w:trPr>
        <w:tc>
          <w:tcPr>
            <w:tcW w:w="7200" w:type="dxa"/>
            <w:vAlign w:val="bottom"/>
          </w:tcPr>
          <w:p>
            <w:pPr>
              <w:spacing w:after="0"/>
              <w:rPr>
                <w:sz w:val="20"/>
                <w:szCs w:val="20"/>
                <w:color w:val="auto"/>
              </w:rPr>
            </w:pPr>
          </w:p>
        </w:tc>
        <w:tc>
          <w:tcPr>
            <w:tcW w:w="3320" w:type="dxa"/>
            <w:vAlign w:val="bottom"/>
            <w:tcBorders>
              <w:bottom w:val="single" w:sz="8" w:color="auto"/>
            </w:tcBorders>
            <w:gridSpan w:val="4"/>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720" w:type="dxa"/>
            <w:vAlign w:val="bottom"/>
            <w:tcBorders>
              <w:bottom w:val="single" w:sz="8" w:color="auto"/>
            </w:tcBorders>
          </w:tcPr>
          <w:p>
            <w:pPr>
              <w:spacing w:after="0"/>
              <w:rPr>
                <w:sz w:val="20"/>
                <w:szCs w:val="20"/>
                <w:color w:val="auto"/>
              </w:rPr>
            </w:pPr>
          </w:p>
        </w:tc>
      </w:tr>
      <w:tr>
        <w:trPr>
          <w:trHeight w:val="222"/>
        </w:trPr>
        <w:tc>
          <w:tcPr>
            <w:tcW w:w="72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7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720" w:type="dxa"/>
            <w:vAlign w:val="bottom"/>
            <w:tcBorders>
              <w:bottom w:val="single" w:sz="8" w:color="auto"/>
            </w:tcBorders>
          </w:tcPr>
          <w:p>
            <w:pPr>
              <w:spacing w:after="0"/>
              <w:rPr>
                <w:sz w:val="19"/>
                <w:szCs w:val="19"/>
                <w:color w:val="auto"/>
              </w:rPr>
            </w:pPr>
          </w:p>
        </w:tc>
      </w:tr>
      <w:tr>
        <w:trPr>
          <w:trHeight w:val="222"/>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1200" w:type="dxa"/>
            <w:vAlign w:val="bottom"/>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86,886</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53,337</w:t>
            </w:r>
          </w:p>
        </w:tc>
      </w:tr>
      <w:tr>
        <w:trPr>
          <w:trHeight w:val="228"/>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1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(19,596)</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(18,932)</w:t>
            </w:r>
          </w:p>
        </w:tc>
      </w:tr>
      <w:tr>
        <w:trPr>
          <w:trHeight w:val="228"/>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1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(213,403)</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25,277</w:t>
            </w:r>
          </w:p>
        </w:tc>
      </w:tr>
      <w:tr>
        <w:trPr>
          <w:trHeight w:val="228"/>
        </w:trPr>
        <w:tc>
          <w:tcPr>
            <w:tcW w:w="7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1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16,195</w:t>
            </w:r>
          </w:p>
        </w:tc>
        <w:tc>
          <w:tcPr>
            <w:tcW w:w="10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(4,433)</w:t>
            </w:r>
          </w:p>
        </w:tc>
      </w:tr>
      <w:tr>
        <w:trPr>
          <w:trHeight w:val="247"/>
        </w:trPr>
        <w:tc>
          <w:tcPr>
            <w:tcW w:w="7200" w:type="dxa"/>
            <w:vAlign w:val="bottom"/>
            <w:tcBorders>
              <w:bottom w:val="single" w:sz="8" w:color="CCEEFF"/>
            </w:tcBorders>
            <w:shd w:val="clear" w:color="auto" w:fill="CCEEFF"/>
          </w:tcPr>
          <w:p>
            <w:pPr>
              <w:ind w:left="20"/>
              <w:spacing w:after="0" w:line="222" w:lineRule="exact"/>
              <w:rPr>
                <w:sz w:val="20"/>
                <w:szCs w:val="20"/>
                <w:color w:val="auto"/>
              </w:rPr>
            </w:pPr>
            <w:r>
              <w:rPr>
                <w:rFonts w:ascii="Times New Roman" w:cs="Times New Roman" w:eastAsia="Times New Roman" w:hAnsi="Times New Roman"/>
                <w:sz w:val="18"/>
                <w:szCs w:val="18"/>
                <w:color w:val="auto"/>
              </w:rPr>
              <w:t xml:space="preserve">Net (decrease) increase in cash, cash equivalents, and restricted cash </w:t>
            </w:r>
            <w:r>
              <w:rPr>
                <w:rFonts w:ascii="Times New Roman" w:cs="Times New Roman" w:eastAsia="Times New Roman" w:hAnsi="Times New Roman"/>
                <w:sz w:val="23"/>
                <w:szCs w:val="23"/>
                <w:color w:val="auto"/>
                <w:vertAlign w:val="superscript"/>
              </w:rPr>
              <w:t>(1)</w:t>
            </w:r>
          </w:p>
        </w:tc>
        <w:tc>
          <w:tcPr>
            <w:tcW w:w="1200" w:type="dxa"/>
            <w:vAlign w:val="bottom"/>
            <w:tcBorders>
              <w:bottom w:val="single" w:sz="8" w:color="auto"/>
            </w:tcBorders>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(129,918)</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55,249</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ind w:left="660" w:hanging="330"/>
        <w:spacing w:after="0" w:line="241" w:lineRule="auto"/>
        <w:tabs>
          <w:tab w:leader="none" w:pos="648" w:val="left"/>
        </w:tabs>
        <w:numPr>
          <w:ilvl w:val="0"/>
          <w:numId w:val="2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On March 31, 2025, as a result of the decision by the Italian Supreme Court, the SNIA Litigation Guarantee was terminated, and the restriction on the cash deposit held as collateral was released. For additional information, refer to “Note 5. Commitments and Contingencies” in the condensed consolidated financial statements in this Report.</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Operating Activities</w:t>
      </w:r>
    </w:p>
    <w:p>
      <w:pPr>
        <w:spacing w:after="0" w:line="12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8"/>
          <w:szCs w:val="18"/>
          <w:color w:val="auto"/>
        </w:rPr>
        <w:t>Cash provided by operating activities for the six months ended June 30, 2025 increased $33.5 million compared to the same prior year period, primarily due to higher customer collections resulting from an increase in sales and lower payments for restructuring activities, partially offset by an increase in cash outflows for inventories and to vendors, including service providers.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Investing Activities</w:t>
      </w:r>
    </w:p>
    <w:p>
      <w:pPr>
        <w:spacing w:after="0" w:line="11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8"/>
          <w:szCs w:val="18"/>
          <w:color w:val="auto"/>
        </w:rPr>
        <w:t>Cash used in investing activities for the six months ended June 30, 2025 increased $0.7 million compared to the same prior year period, primarily due to an increase in purchases of property, plant, and equipment of $7.4 million, principally related to purchases and development of internal-use software, partially offset by proceeds from the sale of LivaNova’s investment in Ceribell, Inc. of $6.5 million.</w:t>
      </w:r>
    </w:p>
    <w:p>
      <w:pPr>
        <w:spacing w:after="0" w:line="200" w:lineRule="exact"/>
        <w:rPr>
          <w:sz w:val="20"/>
          <w:szCs w:val="20"/>
          <w:color w:val="auto"/>
        </w:rPr>
      </w:pPr>
    </w:p>
    <w:p>
      <w:pPr>
        <w:spacing w:after="0" w:line="30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149225</wp:posOffset>
            </wp:positionV>
            <wp:extent cx="715835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20"/>
          <w:szCs w:val="20"/>
          <w:i w:val="1"/>
          <w:iCs w:val="1"/>
          <w:color w:val="auto"/>
        </w:rPr>
        <w:t>Financing Activities</w:t>
      </w:r>
    </w:p>
    <w:p>
      <w:pPr>
        <w:spacing w:after="0" w:line="114"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Cash used in financing activities for the six months ended June 30, 2025 increased $238.7 million compared to the same prior year period, primarily due to a decrease in proceeds from net debt borrowings and repayments of $253.4 million, partially offset by the payment of the ALung contingent consideration arrangement for the six months ended June 30, 2024 of $13.8 million.</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ITEM 3. QUANTITATIVE AND QUALITATIVE DISCLOSURES ABOUT MARKET RISK</w:t>
      </w:r>
    </w:p>
    <w:p>
      <w:pPr>
        <w:spacing w:after="0" w:line="13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LivaNova is exposed to certain market risks as part of its ongoing business operations, including risks from foreign currency exchange rates, equity price risk, interest rate risks, and concentration of procurement suppliers that could adversely affect LivaNova’s consolidated financial position, results of operations, or cash flows. The Company manages these risks through regular operating and financing activities and, at certain times, derivative financial instruments. Quantitative and qualitative disclosures about these risks are included in this Report in “Part I, Item 1. Financial Statements, Note 2. Derivatives and Risk Management,” “Part I, Item 2. Management’s Discussion and Analysis of Financial Condition and Results of Operations,” and “Part II, Item 1A. Risk Factors” and in LivaNova’s 2024 Form 10-K in “Part II, Item 7. Management’s Discussion and Analysis of Financial Condition and Results of Operations” and “Part I, Item 1A. Risk Factors.”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ITEM 4. CONTROLS AND PROCEDURES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Disclosure Controls and Procedures</w:t>
      </w:r>
    </w:p>
    <w:p>
      <w:pPr>
        <w:spacing w:after="0" w:line="11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LivaNova maintains a system of disclosure controls and procedures, as defined in Rules 13a-15(e) and 15d-15(e) of the Exchange Act. The disclosure controls and procedures are designed to ensure that information required to be disclosed in the Company’s reports filed under the Exchange Act is (i) recorded, processed, summarized, and reported within the time periods specified in the SEC’s rules and forms and (ii) accumulated and communicated to management, including LivaNova’s CEO and CFO, as appropriate, to allow timely decisions regarding required disclosure. Any controls and procedures, no matter how well designed and operated, can provide only reasonable assurance of achieving the desired control objectives.</w:t>
      </w:r>
    </w:p>
    <w:p>
      <w:pPr>
        <w:spacing w:after="0" w:line="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Applicable SEC rules require an evaluation of the effectiveness of the Company’s disclosure controls and procedures. LivaNova’s management, under the supervision and with the participation of the Company’s CEO and CFO, evaluated the effectiveness of the design and operation of the Company’s disclosure controls and procedures as of the end of the period covered by this Report. Based on that evaluation, LivaNova’s CEO and CFO concluded that, as of June 30, 2025, the design and operation of the Company’s disclosure controls and procedures were effective to accomplish their objectives at the reasonable assurance level.</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Changes in Internal Control Over Financial Reporting</w:t>
      </w:r>
    </w:p>
    <w:p>
      <w:pPr>
        <w:spacing w:after="0" w:line="11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8"/>
          <w:szCs w:val="18"/>
          <w:color w:val="auto"/>
        </w:rPr>
        <w:t>There have been no changes in LivaNova’s internal control over financial reporting (as defined in Rules 13a-15(f) and 15d-15(f) under the Exchange Act) during the quarter ended June 30, 2025 that have materially affected, or are reasonably likely to materially affect, LivaNova’s internal control over financial reporting.</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PART II. OTHER INFORMATION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ITEM 1. LEGAL PROCEEDINGS</w:t>
      </w:r>
    </w:p>
    <w:p>
      <w:pPr>
        <w:spacing w:after="0" w:line="134"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8"/>
          <w:szCs w:val="18"/>
          <w:color w:val="auto"/>
        </w:rPr>
        <w:t>For a description of LivaNova’s material pending legal and regulatory proceedings and settlements, refer to “Note 5. Commitments and Contingencies” in the Company’s condensed consolidated financial statements included in this Report.</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ITEM 1A. RISK FACTORS</w:t>
      </w:r>
    </w:p>
    <w:p>
      <w:pPr>
        <w:spacing w:after="0" w:line="134"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8"/>
          <w:szCs w:val="18"/>
          <w:color w:val="auto"/>
        </w:rPr>
        <w:t>There have been no material changes in LivaNova’s risk factors from those disclosed in Part I, Item 1A of the Company’s 2024 Annual Report on Form 10-K, and Part II, Item 1A of the Company’s Quarterly Report on Form 10-Q for the quarter ended March 31, 2025.</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ITEM 2. UNREGISTERED SALES OF EQUITY SECURITIES AND USE OF PROCEEDS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ITEM 3. DEFAULTS UPON SENIOR SECURITIES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ITEM 4. MINE SAFETY DISCLOSURES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5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149225</wp:posOffset>
            </wp:positionV>
            <wp:extent cx="715835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21"/>
          <w:szCs w:val="21"/>
          <w:b w:val="1"/>
          <w:bCs w:val="1"/>
          <w:color w:val="auto"/>
        </w:rPr>
        <w:t>ITEM 5. OTHER INFORMATION</w:t>
      </w:r>
    </w:p>
    <w:p>
      <w:pPr>
        <w:spacing w:after="0" w:line="13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8"/>
          <w:szCs w:val="18"/>
          <w:color w:val="auto"/>
        </w:rPr>
        <w:t>During the quarter ended June 30, 2025, none of the Company’s directors or officers (as defined in Rule 16a-1(f) of the Exchange Act) adopted, terminated, or modified a Rule 10b5-1 trading arrangement or non-Rule 10b5-1 trading arrangement (as such terms are defined in Item 408 of Regulation S-K of the Securities Act).</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Disclosure Pursuant to Section 13(r) of the Exchange Act of 1934</w:t>
      </w:r>
    </w:p>
    <w:p>
      <w:pPr>
        <w:spacing w:after="0" w:line="11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Section 13(r) of the Exchange Act requires issuers to disclose in quarterly reports, among other things, certain types of dealings with Iran and other entities, including transactions or dealings with government-owned entities, even when those activities are lawful and do not involve U.S. persons. Two of LivaNova’s non-U.S. subsidiaries currently sell medical devices, including cardiopulmonary and neuromodulation products, to distributors and a non-governmental organization in Iran to support patient care in that country. LivaNova has limited visibility into the identity of the customers of these distributors and non-governmental organizations in Iran. It is possible that their customers include entities, such as government-owned hospitals or sub-distributors that are owned or controlled directly or indirectly by the Iranian government. However, to the best of its knowledge at this time, LivaNova does not have any contracts or commercial arrangements with the Iranian government or other relevant entities.</w:t>
      </w:r>
    </w:p>
    <w:p>
      <w:pPr>
        <w:spacing w:after="0" w:line="86"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8"/>
          <w:szCs w:val="18"/>
          <w:color w:val="auto"/>
        </w:rPr>
        <w:t>LivaNova’s gross revenue and net profits attributable to the above-mentioned Iranian activities were $3.5 million and $1.7 million, respectively, for the three months ended June 30, 2025, respectively, and $8.8 million and $4.8 million for the six months ended June 30, 2025, respectively.</w:t>
      </w:r>
    </w:p>
    <w:p>
      <w:pPr>
        <w:spacing w:after="0" w:line="42"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8"/>
          <w:szCs w:val="18"/>
          <w:color w:val="auto"/>
        </w:rPr>
        <w:t>LivaNova believes its activities are consistent with applicable law, including U.S., UK, European Union, and other applicable sanctions laws, though such laws are complex and continue to evolve rapidly. The Company intends to continue its business in Iran.</w:t>
      </w:r>
    </w:p>
    <w:p>
      <w:pPr>
        <w:spacing w:after="0" w:line="200" w:lineRule="exact"/>
        <w:rPr>
          <w:sz w:val="20"/>
          <w:szCs w:val="20"/>
          <w:color w:val="auto"/>
        </w:rPr>
      </w:pPr>
    </w:p>
    <w:p>
      <w:pPr>
        <w:spacing w:after="0" w:line="28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149225</wp:posOffset>
            </wp:positionV>
            <wp:extent cx="715835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21"/>
          <w:szCs w:val="21"/>
          <w:b w:val="1"/>
          <w:bCs w:val="1"/>
          <w:color w:val="auto"/>
        </w:rPr>
        <w:t>ITEM 6. EXHIBITS</w:t>
      </w:r>
    </w:p>
    <w:p>
      <w:pPr>
        <w:spacing w:after="0" w:line="134"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18"/>
          <w:szCs w:val="18"/>
          <w:color w:val="auto"/>
        </w:rPr>
        <w:t>The exhibits marked with the asterisk symbol (*) are filed or furnished (for example, in the case of Exhibit 32.1) with this Report. Exhibits marked with the cross symbol (†), if any, are management contracts or compensatory plans or arrangements filed pursuant to Item 601(b)(10)(iii) of Regulation S-K.</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10080" w:type="dxa"/>
            <w:vAlign w:val="bottom"/>
            <w:vMerge w:val="restart"/>
          </w:tcPr>
          <w:p>
            <w:pPr>
              <w:ind w:left="460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37"/>
        </w:trPr>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0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7"/>
        </w:trPr>
        <w:tc>
          <w:tcPr>
            <w:tcW w:w="1060" w:type="dxa"/>
            <w:vAlign w:val="bottom"/>
            <w:tcBorders>
              <w:top w:val="single" w:sz="8" w:color="auto"/>
            </w:tcBorders>
            <w:shd w:val="clear" w:color="auto" w:fill="CCEEFF"/>
          </w:tcPr>
          <w:p>
            <w:pPr>
              <w:jc w:val="center"/>
              <w:spacing w:after="0" w:line="176" w:lineRule="exact"/>
              <w:rPr>
                <w:rFonts w:ascii="Times New Roman" w:cs="Times New Roman" w:eastAsia="Times New Roman" w:hAnsi="Times New Roman"/>
                <w:sz w:val="18"/>
                <w:szCs w:val="18"/>
                <w:color w:val="0000FF"/>
                <w:w w:val="98"/>
              </w:rPr>
            </w:pPr>
            <w:hyperlink r:id="rId65">
              <w:r>
                <w:rPr>
                  <w:rFonts w:ascii="Times New Roman" w:cs="Times New Roman" w:eastAsia="Times New Roman" w:hAnsi="Times New Roman"/>
                  <w:sz w:val="18"/>
                  <w:szCs w:val="18"/>
                  <w:color w:val="0000FF"/>
                  <w:w w:val="98"/>
                </w:rPr>
                <w:t>10.</w:t>
              </w:r>
            </w:hyperlink>
            <w:r>
              <w:rPr>
                <w:rFonts w:ascii="Times New Roman" w:cs="Times New Roman" w:eastAsia="Times New Roman" w:hAnsi="Times New Roman"/>
                <w:sz w:val="18"/>
                <w:szCs w:val="18"/>
                <w:color w:val="0000FF"/>
                <w:w w:val="98"/>
              </w:rPr>
              <w:t>1†</w:t>
            </w:r>
          </w:p>
        </w:tc>
        <w:tc>
          <w:tcPr>
            <w:tcW w:w="100" w:type="dxa"/>
            <w:vAlign w:val="bottom"/>
            <w:tcBorders>
              <w:top w:val="single" w:sz="8" w:color="CCEEFF"/>
            </w:tcBorders>
            <w:shd w:val="clear" w:color="auto" w:fill="CCEEFF"/>
          </w:tcPr>
          <w:p>
            <w:pPr>
              <w:spacing w:after="0"/>
              <w:rPr>
                <w:sz w:val="15"/>
                <w:szCs w:val="15"/>
                <w:color w:val="auto"/>
              </w:rPr>
            </w:pPr>
          </w:p>
        </w:tc>
        <w:tc>
          <w:tcPr>
            <w:tcW w:w="10080" w:type="dxa"/>
            <w:vAlign w:val="bottom"/>
            <w:tcBorders>
              <w:top w:val="single" w:sz="8" w:color="auto"/>
            </w:tcBorders>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Second Amended and Restated LivaNova PLC 2022 Incentive Award Plan, incorporated by reference to Exhibit 10.1 of the Company’s</w:t>
            </w:r>
          </w:p>
        </w:tc>
        <w:tc>
          <w:tcPr>
            <w:tcW w:w="0" w:type="dxa"/>
            <w:vAlign w:val="bottom"/>
          </w:tcPr>
          <w:p>
            <w:pPr>
              <w:spacing w:after="0"/>
              <w:rPr>
                <w:sz w:val="1"/>
                <w:szCs w:val="1"/>
                <w:color w:val="auto"/>
              </w:rPr>
            </w:pPr>
          </w:p>
        </w:tc>
      </w:tr>
      <w:tr>
        <w:trPr>
          <w:trHeight w:val="233"/>
        </w:trPr>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Report on Form 8-K, filed on June 11, 2025</w:t>
            </w:r>
          </w:p>
        </w:tc>
        <w:tc>
          <w:tcPr>
            <w:tcW w:w="0" w:type="dxa"/>
            <w:vAlign w:val="bottom"/>
          </w:tcPr>
          <w:p>
            <w:pPr>
              <w:spacing w:after="0"/>
              <w:rPr>
                <w:sz w:val="1"/>
                <w:szCs w:val="1"/>
                <w:color w:val="auto"/>
              </w:rPr>
            </w:pPr>
          </w:p>
        </w:tc>
      </w:tr>
      <w:tr>
        <w:trPr>
          <w:trHeight w:val="183"/>
        </w:trPr>
        <w:tc>
          <w:tcPr>
            <w:tcW w:w="1160" w:type="dxa"/>
            <w:vAlign w:val="bottom"/>
            <w:gridSpan w:val="2"/>
          </w:tcPr>
          <w:p>
            <w:pPr>
              <w:jc w:val="center"/>
              <w:ind w:right="80"/>
              <w:spacing w:after="0" w:line="183" w:lineRule="exact"/>
              <w:rPr>
                <w:rFonts w:ascii="Times New Roman" w:cs="Times New Roman" w:eastAsia="Times New Roman" w:hAnsi="Times New Roman"/>
                <w:sz w:val="18"/>
                <w:szCs w:val="18"/>
                <w:color w:val="0000FF"/>
                <w:w w:val="98"/>
              </w:rPr>
            </w:pPr>
            <w:hyperlink r:id="rId66">
              <w:r>
                <w:rPr>
                  <w:rFonts w:ascii="Times New Roman" w:cs="Times New Roman" w:eastAsia="Times New Roman" w:hAnsi="Times New Roman"/>
                  <w:sz w:val="18"/>
                  <w:szCs w:val="18"/>
                  <w:color w:val="0000FF"/>
                  <w:w w:val="98"/>
                </w:rPr>
                <w:t>10.</w:t>
              </w:r>
            </w:hyperlink>
            <w:r>
              <w:rPr>
                <w:rFonts w:ascii="Times New Roman" w:cs="Times New Roman" w:eastAsia="Times New Roman" w:hAnsi="Times New Roman"/>
                <w:sz w:val="18"/>
                <w:szCs w:val="18"/>
                <w:color w:val="0000FF"/>
                <w:w w:val="98"/>
              </w:rPr>
              <w:t>2†</w:t>
            </w:r>
          </w:p>
        </w:tc>
        <w:tc>
          <w:tcPr>
            <w:tcW w:w="10080" w:type="dxa"/>
            <w:vAlign w:val="bottom"/>
          </w:tcPr>
          <w:p>
            <w:pPr>
              <w:ind w:left="20"/>
              <w:spacing w:after="0" w:line="183" w:lineRule="exact"/>
              <w:rPr>
                <w:sz w:val="20"/>
                <w:szCs w:val="20"/>
                <w:color w:val="auto"/>
              </w:rPr>
            </w:pPr>
            <w:r>
              <w:rPr>
                <w:rFonts w:ascii="Times New Roman" w:cs="Times New Roman" w:eastAsia="Times New Roman" w:hAnsi="Times New Roman"/>
                <w:sz w:val="18"/>
                <w:szCs w:val="18"/>
                <w:color w:val="auto"/>
                <w:w w:val="99"/>
              </w:rPr>
              <w:t>Form of Second Amended and Restated LivaNova PLC 2022 Incentive Award Plan Stock Appreciation Right Grant Notice and Agreement,</w:t>
            </w:r>
          </w:p>
        </w:tc>
        <w:tc>
          <w:tcPr>
            <w:tcW w:w="0" w:type="dxa"/>
            <w:vAlign w:val="bottom"/>
          </w:tcPr>
          <w:p>
            <w:pPr>
              <w:spacing w:after="0"/>
              <w:rPr>
                <w:sz w:val="1"/>
                <w:szCs w:val="1"/>
                <w:color w:val="auto"/>
              </w:rPr>
            </w:pPr>
          </w:p>
        </w:tc>
      </w:tr>
      <w:tr>
        <w:trPr>
          <w:trHeight w:val="233"/>
        </w:trPr>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incorporated by reference to Exhibit 10.2 of the Company’s Current Report on Form 8-K, filed on June 11, 2025</w:t>
            </w:r>
          </w:p>
        </w:tc>
        <w:tc>
          <w:tcPr>
            <w:tcW w:w="0" w:type="dxa"/>
            <w:vAlign w:val="bottom"/>
          </w:tcPr>
          <w:p>
            <w:pPr>
              <w:spacing w:after="0"/>
              <w:rPr>
                <w:sz w:val="1"/>
                <w:szCs w:val="1"/>
                <w:color w:val="auto"/>
              </w:rPr>
            </w:pPr>
          </w:p>
        </w:tc>
      </w:tr>
      <w:tr>
        <w:trPr>
          <w:trHeight w:val="183"/>
        </w:trPr>
        <w:tc>
          <w:tcPr>
            <w:tcW w:w="1160" w:type="dxa"/>
            <w:vAlign w:val="bottom"/>
            <w:gridSpan w:val="2"/>
            <w:shd w:val="clear" w:color="auto" w:fill="CCEEFF"/>
          </w:tcPr>
          <w:p>
            <w:pPr>
              <w:jc w:val="center"/>
              <w:ind w:right="80"/>
              <w:spacing w:after="0" w:line="183" w:lineRule="exact"/>
              <w:rPr>
                <w:rFonts w:ascii="Times New Roman" w:cs="Times New Roman" w:eastAsia="Times New Roman" w:hAnsi="Times New Roman"/>
                <w:sz w:val="18"/>
                <w:szCs w:val="18"/>
                <w:color w:val="0000FF"/>
                <w:w w:val="98"/>
              </w:rPr>
            </w:pPr>
            <w:hyperlink r:id="rId67">
              <w:r>
                <w:rPr>
                  <w:rFonts w:ascii="Times New Roman" w:cs="Times New Roman" w:eastAsia="Times New Roman" w:hAnsi="Times New Roman"/>
                  <w:sz w:val="18"/>
                  <w:szCs w:val="18"/>
                  <w:color w:val="0000FF"/>
                  <w:w w:val="98"/>
                </w:rPr>
                <w:t>10.</w:t>
              </w:r>
            </w:hyperlink>
            <w:r>
              <w:rPr>
                <w:rFonts w:ascii="Times New Roman" w:cs="Times New Roman" w:eastAsia="Times New Roman" w:hAnsi="Times New Roman"/>
                <w:sz w:val="18"/>
                <w:szCs w:val="18"/>
                <w:color w:val="0000FF"/>
                <w:w w:val="98"/>
              </w:rPr>
              <w:t>3†</w:t>
            </w:r>
          </w:p>
        </w:tc>
        <w:tc>
          <w:tcPr>
            <w:tcW w:w="10080" w:type="dxa"/>
            <w:vAlign w:val="bottom"/>
            <w:shd w:val="clear" w:color="auto" w:fill="CCEEFF"/>
          </w:tcPr>
          <w:p>
            <w:pPr>
              <w:ind w:left="20"/>
              <w:spacing w:after="0" w:line="183" w:lineRule="exact"/>
              <w:rPr>
                <w:sz w:val="20"/>
                <w:szCs w:val="20"/>
                <w:color w:val="auto"/>
              </w:rPr>
            </w:pPr>
            <w:r>
              <w:rPr>
                <w:rFonts w:ascii="Times New Roman" w:cs="Times New Roman" w:eastAsia="Times New Roman" w:hAnsi="Times New Roman"/>
                <w:sz w:val="18"/>
                <w:szCs w:val="18"/>
                <w:color w:val="auto"/>
              </w:rPr>
              <w:t>Form of Second Amended and Restated LivaNova PLC 2022 Incentive Award Plan Restricted Stock Unit Award Grant Notice and</w:t>
            </w:r>
          </w:p>
        </w:tc>
        <w:tc>
          <w:tcPr>
            <w:tcW w:w="0" w:type="dxa"/>
            <w:vAlign w:val="bottom"/>
          </w:tcPr>
          <w:p>
            <w:pPr>
              <w:spacing w:after="0"/>
              <w:rPr>
                <w:sz w:val="1"/>
                <w:szCs w:val="1"/>
                <w:color w:val="auto"/>
              </w:rPr>
            </w:pPr>
          </w:p>
        </w:tc>
      </w:tr>
      <w:tr>
        <w:trPr>
          <w:trHeight w:val="233"/>
        </w:trPr>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Agreement, incorporated by reference to Exhibit 10.3 of the Company’s Current Report on Form 8-K, filed on June 11, 2025</w:t>
            </w:r>
          </w:p>
        </w:tc>
        <w:tc>
          <w:tcPr>
            <w:tcW w:w="0" w:type="dxa"/>
            <w:vAlign w:val="bottom"/>
          </w:tcPr>
          <w:p>
            <w:pPr>
              <w:spacing w:after="0"/>
              <w:rPr>
                <w:sz w:val="1"/>
                <w:szCs w:val="1"/>
                <w:color w:val="auto"/>
              </w:rPr>
            </w:pPr>
          </w:p>
        </w:tc>
      </w:tr>
      <w:tr>
        <w:trPr>
          <w:trHeight w:val="183"/>
        </w:trPr>
        <w:tc>
          <w:tcPr>
            <w:tcW w:w="1160" w:type="dxa"/>
            <w:vAlign w:val="bottom"/>
            <w:gridSpan w:val="2"/>
          </w:tcPr>
          <w:p>
            <w:pPr>
              <w:jc w:val="center"/>
              <w:ind w:right="80"/>
              <w:spacing w:after="0" w:line="183" w:lineRule="exact"/>
              <w:rPr>
                <w:rFonts w:ascii="Times New Roman" w:cs="Times New Roman" w:eastAsia="Times New Roman" w:hAnsi="Times New Roman"/>
                <w:sz w:val="18"/>
                <w:szCs w:val="18"/>
                <w:color w:val="0000FF"/>
                <w:w w:val="98"/>
              </w:rPr>
            </w:pPr>
            <w:hyperlink r:id="rId68">
              <w:r>
                <w:rPr>
                  <w:rFonts w:ascii="Times New Roman" w:cs="Times New Roman" w:eastAsia="Times New Roman" w:hAnsi="Times New Roman"/>
                  <w:sz w:val="18"/>
                  <w:szCs w:val="18"/>
                  <w:color w:val="0000FF"/>
                  <w:w w:val="98"/>
                </w:rPr>
                <w:t>10.</w:t>
              </w:r>
            </w:hyperlink>
            <w:r>
              <w:rPr>
                <w:rFonts w:ascii="Times New Roman" w:cs="Times New Roman" w:eastAsia="Times New Roman" w:hAnsi="Times New Roman"/>
                <w:sz w:val="18"/>
                <w:szCs w:val="18"/>
                <w:color w:val="0000FF"/>
                <w:w w:val="98"/>
              </w:rPr>
              <w:t>4†</w:t>
            </w:r>
          </w:p>
        </w:tc>
        <w:tc>
          <w:tcPr>
            <w:tcW w:w="10080" w:type="dxa"/>
            <w:vAlign w:val="bottom"/>
          </w:tcPr>
          <w:p>
            <w:pPr>
              <w:ind w:left="20"/>
              <w:spacing w:after="0" w:line="183" w:lineRule="exact"/>
              <w:rPr>
                <w:sz w:val="20"/>
                <w:szCs w:val="20"/>
                <w:color w:val="auto"/>
              </w:rPr>
            </w:pPr>
            <w:r>
              <w:rPr>
                <w:rFonts w:ascii="Times New Roman" w:cs="Times New Roman" w:eastAsia="Times New Roman" w:hAnsi="Times New Roman"/>
                <w:sz w:val="18"/>
                <w:szCs w:val="18"/>
                <w:color w:val="auto"/>
              </w:rPr>
              <w:t>Form of Second Amended and Restated LivaNova PLC 2022 Incentive Award Plan Performance Stock Unit Award Grant Notice and</w:t>
            </w:r>
          </w:p>
        </w:tc>
        <w:tc>
          <w:tcPr>
            <w:tcW w:w="0" w:type="dxa"/>
            <w:vAlign w:val="bottom"/>
          </w:tcPr>
          <w:p>
            <w:pPr>
              <w:spacing w:after="0"/>
              <w:rPr>
                <w:sz w:val="1"/>
                <w:szCs w:val="1"/>
                <w:color w:val="auto"/>
              </w:rPr>
            </w:pPr>
          </w:p>
        </w:tc>
      </w:tr>
      <w:tr>
        <w:trPr>
          <w:trHeight w:val="233"/>
        </w:trPr>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Agreement, incorporated by reference to Exhibit 10.4 of the Company’s Current Report on Form 8-K, filed on June 11, 2025</w:t>
            </w:r>
          </w:p>
        </w:tc>
        <w:tc>
          <w:tcPr>
            <w:tcW w:w="0" w:type="dxa"/>
            <w:vAlign w:val="bottom"/>
          </w:tcPr>
          <w:p>
            <w:pPr>
              <w:spacing w:after="0"/>
              <w:rPr>
                <w:sz w:val="1"/>
                <w:szCs w:val="1"/>
                <w:color w:val="auto"/>
              </w:rPr>
            </w:pPr>
          </w:p>
        </w:tc>
      </w:tr>
      <w:tr>
        <w:trPr>
          <w:trHeight w:val="183"/>
        </w:trPr>
        <w:tc>
          <w:tcPr>
            <w:tcW w:w="1160" w:type="dxa"/>
            <w:vAlign w:val="bottom"/>
            <w:gridSpan w:val="2"/>
            <w:shd w:val="clear" w:color="auto" w:fill="CCEEFF"/>
          </w:tcPr>
          <w:p>
            <w:pPr>
              <w:jc w:val="center"/>
              <w:ind w:right="80"/>
              <w:spacing w:after="0" w:line="183" w:lineRule="exact"/>
              <w:rPr>
                <w:rFonts w:ascii="Times New Roman" w:cs="Times New Roman" w:eastAsia="Times New Roman" w:hAnsi="Times New Roman"/>
                <w:sz w:val="18"/>
                <w:szCs w:val="18"/>
                <w:color w:val="0000FF"/>
                <w:w w:val="98"/>
              </w:rPr>
            </w:pPr>
            <w:hyperlink r:id="rId69">
              <w:r>
                <w:rPr>
                  <w:rFonts w:ascii="Times New Roman" w:cs="Times New Roman" w:eastAsia="Times New Roman" w:hAnsi="Times New Roman"/>
                  <w:sz w:val="18"/>
                  <w:szCs w:val="18"/>
                  <w:color w:val="0000FF"/>
                  <w:w w:val="98"/>
                </w:rPr>
                <w:t>10.</w:t>
              </w:r>
            </w:hyperlink>
            <w:r>
              <w:rPr>
                <w:rFonts w:ascii="Times New Roman" w:cs="Times New Roman" w:eastAsia="Times New Roman" w:hAnsi="Times New Roman"/>
                <w:sz w:val="18"/>
                <w:szCs w:val="18"/>
                <w:color w:val="0000FF"/>
                <w:w w:val="98"/>
              </w:rPr>
              <w:t>5†</w:t>
            </w:r>
          </w:p>
        </w:tc>
        <w:tc>
          <w:tcPr>
            <w:tcW w:w="10080" w:type="dxa"/>
            <w:vAlign w:val="bottom"/>
            <w:shd w:val="clear" w:color="auto" w:fill="CCEEFF"/>
          </w:tcPr>
          <w:p>
            <w:pPr>
              <w:ind w:left="20"/>
              <w:spacing w:after="0" w:line="183" w:lineRule="exact"/>
              <w:rPr>
                <w:sz w:val="20"/>
                <w:szCs w:val="20"/>
                <w:color w:val="auto"/>
              </w:rPr>
            </w:pPr>
            <w:r>
              <w:rPr>
                <w:rFonts w:ascii="Times New Roman" w:cs="Times New Roman" w:eastAsia="Times New Roman" w:hAnsi="Times New Roman"/>
                <w:sz w:val="18"/>
                <w:szCs w:val="18"/>
                <w:color w:val="auto"/>
              </w:rPr>
              <w:t>LivaNova PLC 2025 Director Incentive Award Plan, incorporated by reference to Exhibit 10.5 of the Company’s Current Report on Form</w:t>
            </w:r>
          </w:p>
        </w:tc>
        <w:tc>
          <w:tcPr>
            <w:tcW w:w="0" w:type="dxa"/>
            <w:vAlign w:val="bottom"/>
          </w:tcPr>
          <w:p>
            <w:pPr>
              <w:spacing w:after="0"/>
              <w:rPr>
                <w:sz w:val="1"/>
                <w:szCs w:val="1"/>
                <w:color w:val="auto"/>
              </w:rPr>
            </w:pPr>
          </w:p>
        </w:tc>
      </w:tr>
      <w:tr>
        <w:trPr>
          <w:trHeight w:val="233"/>
        </w:trPr>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8-K, filed on June 11, 2025</w:t>
            </w:r>
          </w:p>
        </w:tc>
        <w:tc>
          <w:tcPr>
            <w:tcW w:w="0" w:type="dxa"/>
            <w:vAlign w:val="bottom"/>
          </w:tcPr>
          <w:p>
            <w:pPr>
              <w:spacing w:after="0"/>
              <w:rPr>
                <w:sz w:val="1"/>
                <w:szCs w:val="1"/>
                <w:color w:val="auto"/>
              </w:rPr>
            </w:pPr>
          </w:p>
        </w:tc>
      </w:tr>
      <w:tr>
        <w:trPr>
          <w:trHeight w:val="183"/>
        </w:trPr>
        <w:tc>
          <w:tcPr>
            <w:tcW w:w="1160" w:type="dxa"/>
            <w:vAlign w:val="bottom"/>
            <w:gridSpan w:val="2"/>
          </w:tcPr>
          <w:p>
            <w:pPr>
              <w:jc w:val="center"/>
              <w:ind w:right="80"/>
              <w:spacing w:after="0" w:line="183" w:lineRule="exact"/>
              <w:rPr>
                <w:rFonts w:ascii="Times New Roman" w:cs="Times New Roman" w:eastAsia="Times New Roman" w:hAnsi="Times New Roman"/>
                <w:sz w:val="18"/>
                <w:szCs w:val="18"/>
                <w:color w:val="0000FF"/>
                <w:w w:val="98"/>
              </w:rPr>
            </w:pPr>
            <w:hyperlink r:id="rId70">
              <w:r>
                <w:rPr>
                  <w:rFonts w:ascii="Times New Roman" w:cs="Times New Roman" w:eastAsia="Times New Roman" w:hAnsi="Times New Roman"/>
                  <w:sz w:val="18"/>
                  <w:szCs w:val="18"/>
                  <w:color w:val="0000FF"/>
                  <w:w w:val="98"/>
                </w:rPr>
                <w:t>10.</w:t>
              </w:r>
            </w:hyperlink>
            <w:r>
              <w:rPr>
                <w:rFonts w:ascii="Times New Roman" w:cs="Times New Roman" w:eastAsia="Times New Roman" w:hAnsi="Times New Roman"/>
                <w:sz w:val="18"/>
                <w:szCs w:val="18"/>
                <w:color w:val="0000FF"/>
                <w:w w:val="98"/>
              </w:rPr>
              <w:t>6†</w:t>
            </w:r>
          </w:p>
        </w:tc>
        <w:tc>
          <w:tcPr>
            <w:tcW w:w="10080" w:type="dxa"/>
            <w:vAlign w:val="bottom"/>
          </w:tcPr>
          <w:p>
            <w:pPr>
              <w:ind w:left="20"/>
              <w:spacing w:after="0" w:line="183" w:lineRule="exact"/>
              <w:rPr>
                <w:sz w:val="20"/>
                <w:szCs w:val="20"/>
                <w:color w:val="auto"/>
              </w:rPr>
            </w:pPr>
            <w:r>
              <w:rPr>
                <w:rFonts w:ascii="Times New Roman" w:cs="Times New Roman" w:eastAsia="Times New Roman" w:hAnsi="Times New Roman"/>
                <w:sz w:val="18"/>
                <w:szCs w:val="18"/>
                <w:color w:val="auto"/>
              </w:rPr>
              <w:t>Form of LivaNova PLC 2025 Director Incentive Award Plan Restricted Stock Unit Award Grant Notice and Agreement, incorporated by</w:t>
            </w:r>
          </w:p>
        </w:tc>
        <w:tc>
          <w:tcPr>
            <w:tcW w:w="0" w:type="dxa"/>
            <w:vAlign w:val="bottom"/>
          </w:tcPr>
          <w:p>
            <w:pPr>
              <w:spacing w:after="0"/>
              <w:rPr>
                <w:sz w:val="1"/>
                <w:szCs w:val="1"/>
                <w:color w:val="auto"/>
              </w:rPr>
            </w:pPr>
          </w:p>
        </w:tc>
      </w:tr>
      <w:tr>
        <w:trPr>
          <w:trHeight w:val="233"/>
        </w:trPr>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reference to Exhibit 10.6 of the Company’s Current Report on Form 8-K, filed on June 11, 2025</w:t>
            </w:r>
          </w:p>
        </w:tc>
        <w:tc>
          <w:tcPr>
            <w:tcW w:w="0" w:type="dxa"/>
            <w:vAlign w:val="bottom"/>
          </w:tcPr>
          <w:p>
            <w:pPr>
              <w:spacing w:after="0"/>
              <w:rPr>
                <w:sz w:val="1"/>
                <w:szCs w:val="1"/>
                <w:color w:val="auto"/>
              </w:rPr>
            </w:pPr>
          </w:p>
        </w:tc>
      </w:tr>
      <w:tr>
        <w:trPr>
          <w:trHeight w:val="228"/>
        </w:trPr>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0000FF"/>
                <w:w w:val="98"/>
              </w:rPr>
              <w:t>31.1*</w:t>
            </w:r>
          </w:p>
        </w:tc>
        <w:tc>
          <w:tcPr>
            <w:tcW w:w="100" w:type="dxa"/>
            <w:vAlign w:val="bottom"/>
            <w:shd w:val="clear" w:color="auto" w:fill="CCEEFF"/>
          </w:tcPr>
          <w:p>
            <w:pPr>
              <w:spacing w:after="0"/>
              <w:rPr>
                <w:sz w:val="19"/>
                <w:szCs w:val="19"/>
                <w:color w:val="auto"/>
              </w:rPr>
            </w:pPr>
          </w:p>
        </w:tc>
        <w:tc>
          <w:tcPr>
            <w:tcW w:w="10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Certification of the Chief Executive Officer of LivaNova PLC pursuant to Section 302 of the Sarbanes-Oxley Act of 2002</w:t>
            </w:r>
          </w:p>
        </w:tc>
        <w:tc>
          <w:tcPr>
            <w:tcW w:w="0" w:type="dxa"/>
            <w:vAlign w:val="bottom"/>
          </w:tcPr>
          <w:p>
            <w:pPr>
              <w:spacing w:after="0"/>
              <w:rPr>
                <w:sz w:val="1"/>
                <w:szCs w:val="1"/>
                <w:color w:val="auto"/>
              </w:rPr>
            </w:pPr>
          </w:p>
        </w:tc>
      </w:tr>
      <w:tr>
        <w:trPr>
          <w:trHeight w:val="228"/>
        </w:trPr>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8"/>
              </w:rPr>
              <w:t>31.2*</w:t>
            </w:r>
          </w:p>
        </w:tc>
        <w:tc>
          <w:tcPr>
            <w:tcW w:w="100" w:type="dxa"/>
            <w:vAlign w:val="bottom"/>
          </w:tcPr>
          <w:p>
            <w:pPr>
              <w:spacing w:after="0"/>
              <w:rPr>
                <w:sz w:val="19"/>
                <w:szCs w:val="19"/>
                <w:color w:val="auto"/>
              </w:rPr>
            </w:pPr>
          </w:p>
        </w:tc>
        <w:tc>
          <w:tcPr>
            <w:tcW w:w="10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Certification of the Chief Financial Officer of LivaNova PLC pursuant to Section 302 of the Sarbanes-Oxley Act of 2002</w:t>
            </w:r>
          </w:p>
        </w:tc>
        <w:tc>
          <w:tcPr>
            <w:tcW w:w="0" w:type="dxa"/>
            <w:vAlign w:val="bottom"/>
          </w:tcPr>
          <w:p>
            <w:pPr>
              <w:spacing w:after="0"/>
              <w:rPr>
                <w:sz w:val="1"/>
                <w:szCs w:val="1"/>
                <w:color w:val="auto"/>
              </w:rPr>
            </w:pPr>
          </w:p>
        </w:tc>
      </w:tr>
      <w:tr>
        <w:trPr>
          <w:trHeight w:val="183"/>
        </w:trPr>
        <w:tc>
          <w:tcPr>
            <w:tcW w:w="1060" w:type="dxa"/>
            <w:vAlign w:val="bottom"/>
            <w:shd w:val="clear" w:color="auto" w:fill="CCEEFF"/>
          </w:tcPr>
          <w:p>
            <w:pPr>
              <w:jc w:val="center"/>
              <w:spacing w:after="0" w:line="183" w:lineRule="exact"/>
              <w:rPr>
                <w:sz w:val="20"/>
                <w:szCs w:val="20"/>
                <w:color w:val="auto"/>
              </w:rPr>
            </w:pPr>
            <w:r>
              <w:rPr>
                <w:rFonts w:ascii="Times New Roman" w:cs="Times New Roman" w:eastAsia="Times New Roman" w:hAnsi="Times New Roman"/>
                <w:sz w:val="18"/>
                <w:szCs w:val="18"/>
                <w:color w:val="0000FF"/>
                <w:w w:val="98"/>
              </w:rPr>
              <w:t>32.1*</w:t>
            </w:r>
          </w:p>
        </w:tc>
        <w:tc>
          <w:tcPr>
            <w:tcW w:w="100" w:type="dxa"/>
            <w:vAlign w:val="bottom"/>
            <w:shd w:val="clear" w:color="auto" w:fill="CCEEFF"/>
          </w:tcPr>
          <w:p>
            <w:pPr>
              <w:spacing w:after="0"/>
              <w:rPr>
                <w:sz w:val="15"/>
                <w:szCs w:val="15"/>
                <w:color w:val="auto"/>
              </w:rPr>
            </w:pPr>
          </w:p>
        </w:tc>
        <w:tc>
          <w:tcPr>
            <w:tcW w:w="10080" w:type="dxa"/>
            <w:vAlign w:val="bottom"/>
            <w:shd w:val="clear" w:color="auto" w:fill="CCEEFF"/>
          </w:tcPr>
          <w:p>
            <w:pPr>
              <w:ind w:left="20"/>
              <w:spacing w:after="0" w:line="183" w:lineRule="exact"/>
              <w:rPr>
                <w:sz w:val="20"/>
                <w:szCs w:val="20"/>
                <w:color w:val="auto"/>
              </w:rPr>
            </w:pPr>
            <w:r>
              <w:rPr>
                <w:rFonts w:ascii="Times New Roman" w:cs="Times New Roman" w:eastAsia="Times New Roman" w:hAnsi="Times New Roman"/>
                <w:sz w:val="18"/>
                <w:szCs w:val="18"/>
                <w:color w:val="auto"/>
              </w:rPr>
              <w:t>Certification of the Chief Executive Officer and Chief Financial Officer of LivaNova PLC pursuant to Section 906 of the Sarbanes-Oxley</w:t>
            </w:r>
          </w:p>
        </w:tc>
        <w:tc>
          <w:tcPr>
            <w:tcW w:w="0" w:type="dxa"/>
            <w:vAlign w:val="bottom"/>
          </w:tcPr>
          <w:p>
            <w:pPr>
              <w:spacing w:after="0"/>
              <w:rPr>
                <w:sz w:val="1"/>
                <w:szCs w:val="1"/>
                <w:color w:val="auto"/>
              </w:rPr>
            </w:pPr>
          </w:p>
        </w:tc>
      </w:tr>
      <w:tr>
        <w:trPr>
          <w:trHeight w:val="233"/>
        </w:trPr>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 of 2002</w:t>
            </w:r>
          </w:p>
        </w:tc>
        <w:tc>
          <w:tcPr>
            <w:tcW w:w="0" w:type="dxa"/>
            <w:vAlign w:val="bottom"/>
          </w:tcPr>
          <w:p>
            <w:pPr>
              <w:spacing w:after="0"/>
              <w:rPr>
                <w:sz w:val="1"/>
                <w:szCs w:val="1"/>
                <w:color w:val="auto"/>
              </w:rPr>
            </w:pPr>
          </w:p>
        </w:tc>
      </w:tr>
      <w:tr>
        <w:trPr>
          <w:trHeight w:val="183"/>
        </w:trPr>
        <w:tc>
          <w:tcPr>
            <w:tcW w:w="1060" w:type="dxa"/>
            <w:vAlign w:val="bottom"/>
          </w:tcPr>
          <w:p>
            <w:pPr>
              <w:jc w:val="center"/>
              <w:spacing w:after="0" w:line="183" w:lineRule="exact"/>
              <w:rPr>
                <w:sz w:val="20"/>
                <w:szCs w:val="20"/>
                <w:color w:val="auto"/>
              </w:rPr>
            </w:pPr>
            <w:r>
              <w:rPr>
                <w:rFonts w:ascii="Times New Roman" w:cs="Times New Roman" w:eastAsia="Times New Roman" w:hAnsi="Times New Roman"/>
                <w:sz w:val="18"/>
                <w:szCs w:val="18"/>
                <w:color w:val="auto"/>
                <w:w w:val="99"/>
              </w:rPr>
              <w:t>101*</w:t>
            </w:r>
          </w:p>
        </w:tc>
        <w:tc>
          <w:tcPr>
            <w:tcW w:w="100" w:type="dxa"/>
            <w:vAlign w:val="bottom"/>
          </w:tcPr>
          <w:p>
            <w:pPr>
              <w:spacing w:after="0"/>
              <w:rPr>
                <w:sz w:val="15"/>
                <w:szCs w:val="15"/>
                <w:color w:val="auto"/>
              </w:rPr>
            </w:pPr>
          </w:p>
        </w:tc>
        <w:tc>
          <w:tcPr>
            <w:tcW w:w="10080" w:type="dxa"/>
            <w:vAlign w:val="bottom"/>
          </w:tcPr>
          <w:p>
            <w:pPr>
              <w:ind w:left="20"/>
              <w:spacing w:after="0" w:line="183" w:lineRule="exact"/>
              <w:rPr>
                <w:sz w:val="20"/>
                <w:szCs w:val="20"/>
                <w:color w:val="auto"/>
              </w:rPr>
            </w:pPr>
            <w:r>
              <w:rPr>
                <w:rFonts w:ascii="Times New Roman" w:cs="Times New Roman" w:eastAsia="Times New Roman" w:hAnsi="Times New Roman"/>
                <w:sz w:val="18"/>
                <w:szCs w:val="18"/>
                <w:color w:val="auto"/>
              </w:rPr>
              <w:t>Interactive Data Files Pursuant to Rule 405 of Regulation S-T formatted in Inline XBRL: (i) the Condensed Consolidated Statements of</w:t>
            </w: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80" w:type="dxa"/>
            <w:vAlign w:val="bottom"/>
          </w:tcPr>
          <w:p>
            <w:pPr>
              <w:ind w:left="20"/>
              <w:spacing w:after="0" w:line="180" w:lineRule="exact"/>
              <w:rPr>
                <w:sz w:val="20"/>
                <w:szCs w:val="20"/>
                <w:color w:val="auto"/>
              </w:rPr>
            </w:pPr>
            <w:r>
              <w:rPr>
                <w:rFonts w:ascii="Times New Roman" w:cs="Times New Roman" w:eastAsia="Times New Roman" w:hAnsi="Times New Roman"/>
                <w:sz w:val="18"/>
                <w:szCs w:val="18"/>
                <w:color w:val="auto"/>
              </w:rPr>
              <w:t>Income (Loss) for the three and six months ended June 30, 2025 and 2024, (ii) the Condensed Consolidated Statements of Comprehensive</w:t>
            </w:r>
          </w:p>
        </w:tc>
        <w:tc>
          <w:tcPr>
            <w:tcW w:w="0" w:type="dxa"/>
            <w:vAlign w:val="bottom"/>
          </w:tcPr>
          <w:p>
            <w:pPr>
              <w:spacing w:after="0"/>
              <w:rPr>
                <w:sz w:val="1"/>
                <w:szCs w:val="1"/>
                <w:color w:val="auto"/>
              </w:rPr>
            </w:pPr>
          </w:p>
        </w:tc>
      </w:tr>
      <w:tr>
        <w:trPr>
          <w:trHeight w:val="175"/>
        </w:trPr>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80" w:type="dxa"/>
            <w:vAlign w:val="bottom"/>
          </w:tcPr>
          <w:p>
            <w:pPr>
              <w:ind w:left="20"/>
              <w:spacing w:after="0" w:line="175" w:lineRule="exact"/>
              <w:rPr>
                <w:sz w:val="20"/>
                <w:szCs w:val="20"/>
                <w:color w:val="auto"/>
              </w:rPr>
            </w:pPr>
            <w:r>
              <w:rPr>
                <w:rFonts w:ascii="Times New Roman" w:cs="Times New Roman" w:eastAsia="Times New Roman" w:hAnsi="Times New Roman"/>
                <w:sz w:val="18"/>
                <w:szCs w:val="18"/>
                <w:color w:val="auto"/>
              </w:rPr>
              <w:t>Income (Loss) for the three and six months ended June 30, 2025 and 2024, (iii) the Condensed Consolidated Balance Sheets as of June 30,</w:t>
            </w:r>
          </w:p>
        </w:tc>
        <w:tc>
          <w:tcPr>
            <w:tcW w:w="0" w:type="dxa"/>
            <w:vAlign w:val="bottom"/>
          </w:tcPr>
          <w:p>
            <w:pPr>
              <w:spacing w:after="0"/>
              <w:rPr>
                <w:sz w:val="1"/>
                <w:szCs w:val="1"/>
                <w:color w:val="auto"/>
              </w:rPr>
            </w:pPr>
          </w:p>
        </w:tc>
      </w:tr>
      <w:tr>
        <w:trPr>
          <w:trHeight w:val="183"/>
        </w:trPr>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80" w:type="dxa"/>
            <w:vAlign w:val="bottom"/>
          </w:tcPr>
          <w:p>
            <w:pPr>
              <w:ind w:left="20"/>
              <w:spacing w:after="0" w:line="183" w:lineRule="exact"/>
              <w:rPr>
                <w:sz w:val="20"/>
                <w:szCs w:val="20"/>
                <w:color w:val="auto"/>
              </w:rPr>
            </w:pPr>
            <w:r>
              <w:rPr>
                <w:rFonts w:ascii="Times New Roman" w:cs="Times New Roman" w:eastAsia="Times New Roman" w:hAnsi="Times New Roman"/>
                <w:sz w:val="18"/>
                <w:szCs w:val="18"/>
                <w:color w:val="auto"/>
              </w:rPr>
              <w:t>2025 and December 31, 2024, (iv) the Condensed Consolidated Statements of Cash Flows for the six months ended June 30, 2025 and</w:t>
            </w:r>
          </w:p>
        </w:tc>
        <w:tc>
          <w:tcPr>
            <w:tcW w:w="0" w:type="dxa"/>
            <w:vAlign w:val="bottom"/>
          </w:tcPr>
          <w:p>
            <w:pPr>
              <w:spacing w:after="0"/>
              <w:rPr>
                <w:sz w:val="1"/>
                <w:szCs w:val="1"/>
                <w:color w:val="auto"/>
              </w:rPr>
            </w:pPr>
          </w:p>
        </w:tc>
      </w:tr>
      <w:tr>
        <w:trPr>
          <w:trHeight w:val="233"/>
        </w:trPr>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 and (v) the Notes to the Condensed Consolidated Financial Statements</w:t>
            </w:r>
          </w:p>
        </w:tc>
        <w:tc>
          <w:tcPr>
            <w:tcW w:w="0" w:type="dxa"/>
            <w:vAlign w:val="bottom"/>
          </w:tcPr>
          <w:p>
            <w:pPr>
              <w:spacing w:after="0"/>
              <w:rPr>
                <w:sz w:val="1"/>
                <w:szCs w:val="1"/>
                <w:color w:val="auto"/>
              </w:rPr>
            </w:pPr>
          </w:p>
        </w:tc>
      </w:tr>
      <w:tr>
        <w:trPr>
          <w:trHeight w:val="228"/>
        </w:trPr>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104*</w:t>
            </w:r>
          </w:p>
        </w:tc>
        <w:tc>
          <w:tcPr>
            <w:tcW w:w="100" w:type="dxa"/>
            <w:vAlign w:val="bottom"/>
            <w:shd w:val="clear" w:color="auto" w:fill="CCEEFF"/>
          </w:tcPr>
          <w:p>
            <w:pPr>
              <w:spacing w:after="0"/>
              <w:rPr>
                <w:sz w:val="19"/>
                <w:szCs w:val="19"/>
                <w:color w:val="auto"/>
              </w:rPr>
            </w:pPr>
          </w:p>
        </w:tc>
        <w:tc>
          <w:tcPr>
            <w:tcW w:w="10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c>
          <w:tcPr>
            <w:tcW w:w="0" w:type="dxa"/>
            <w:vAlign w:val="bottom"/>
          </w:tcPr>
          <w:p>
            <w:pPr>
              <w:spacing w:after="0"/>
              <w:rPr>
                <w:sz w:val="1"/>
                <w:szCs w:val="1"/>
                <w:color w:val="auto"/>
              </w:rPr>
            </w:pPr>
          </w:p>
        </w:tc>
      </w:tr>
      <w:tr>
        <w:trPr>
          <w:trHeight w:val="833"/>
        </w:trPr>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80" w:type="dxa"/>
            <w:vAlign w:val="bottom"/>
          </w:tcPr>
          <w:p>
            <w:pPr>
              <w:ind w:left="446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35"/>
        </w:trPr>
        <w:tc>
          <w:tcPr>
            <w:tcW w:w="1060" w:type="dxa"/>
            <w:vAlign w:val="bottom"/>
            <w:tcBorders>
              <w:bottom w:val="single" w:sz="8" w:color="9A9A9A"/>
            </w:tcBorders>
          </w:tcPr>
          <w:p>
            <w:pPr>
              <w:spacing w:after="0"/>
              <w:rPr>
                <w:sz w:val="20"/>
                <w:szCs w:val="20"/>
                <w:color w:val="auto"/>
              </w:rPr>
            </w:pPr>
          </w:p>
        </w:tc>
        <w:tc>
          <w:tcPr>
            <w:tcW w:w="100" w:type="dxa"/>
            <w:vAlign w:val="bottom"/>
            <w:tcBorders>
              <w:bottom w:val="single" w:sz="8" w:color="9A9A9A"/>
            </w:tcBorders>
          </w:tcPr>
          <w:p>
            <w:pPr>
              <w:spacing w:after="0"/>
              <w:rPr>
                <w:sz w:val="20"/>
                <w:szCs w:val="20"/>
                <w:color w:val="auto"/>
              </w:rPr>
            </w:pPr>
          </w:p>
        </w:tc>
        <w:tc>
          <w:tcPr>
            <w:tcW w:w="10080" w:type="dxa"/>
            <w:vAlign w:val="bottom"/>
            <w:tcBorders>
              <w:bottom w:val="single" w:sz="8" w:color="9A9A9A"/>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0" w:name="page41"/>
    <w:bookmarkEnd w:id="40"/>
    <w:p>
      <w:pPr>
        <w:jc w:val="center"/>
        <w:ind w:right="-159"/>
        <w:spacing w:after="0"/>
        <w:rPr>
          <w:sz w:val="20"/>
          <w:szCs w:val="20"/>
          <w:color w:val="auto"/>
        </w:rPr>
      </w:pPr>
      <w:r>
        <w:rPr>
          <w:rFonts w:ascii="Times New Roman" w:cs="Times New Roman" w:eastAsia="Times New Roman" w:hAnsi="Times New Roman"/>
          <w:sz w:val="21"/>
          <w:szCs w:val="21"/>
          <w:b w:val="1"/>
          <w:bCs w:val="1"/>
          <w:color w:val="auto"/>
        </w:rPr>
        <w:t>SIGNATURES</w:t>
      </w:r>
    </w:p>
    <w:p>
      <w:pPr>
        <w:spacing w:after="0" w:line="134"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96"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color w:val="auto"/>
        </w:rPr>
        <w:t>LIVANOVA PLC</w:t>
      </w:r>
    </w:p>
    <w:p>
      <w:pPr>
        <w:spacing w:after="0" w:line="200" w:lineRule="exact"/>
        <w:rPr>
          <w:sz w:val="20"/>
          <w:szCs w:val="20"/>
          <w:color w:val="auto"/>
        </w:rPr>
      </w:pPr>
    </w:p>
    <w:p>
      <w:pPr>
        <w:spacing w:after="0" w:line="386" w:lineRule="exact"/>
        <w:rPr>
          <w:sz w:val="20"/>
          <w:szCs w:val="20"/>
          <w:color w:val="auto"/>
        </w:rPr>
      </w:pPr>
    </w:p>
    <w:p>
      <w:pPr>
        <w:ind w:left="20"/>
        <w:spacing w:after="0"/>
        <w:tabs>
          <w:tab w:leader="none" w:pos="2000" w:val="left"/>
          <w:tab w:leader="none" w:pos="2720" w:val="left"/>
        </w:tabs>
        <w:rPr>
          <w:sz w:val="20"/>
          <w:szCs w:val="20"/>
          <w:color w:val="auto"/>
        </w:rPr>
      </w:pPr>
      <w:r>
        <w:rPr>
          <w:rFonts w:ascii="Times New Roman" w:cs="Times New Roman" w:eastAsia="Times New Roman" w:hAnsi="Times New Roman"/>
          <w:sz w:val="18"/>
          <w:szCs w:val="18"/>
          <w:color w:val="auto"/>
        </w:rPr>
        <w:t>Date: August 6,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VLADIMIR MAKATSARIA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1728470</wp:posOffset>
            </wp:positionH>
            <wp:positionV relativeFrom="paragraph">
              <wp:posOffset>33655</wp:posOffset>
            </wp:positionV>
            <wp:extent cx="421513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3">
                      <a:extLst>
                        <a:ext uri="{28A0092B-C50C-407E-A947-70E740481C1C}"/>
                      </a:extLst>
                    </a:blip>
                    <a:srcRect/>
                    <a:stretch>
                      <a:fillRect/>
                    </a:stretch>
                  </pic:blipFill>
                  <pic:spPr bwMode="auto">
                    <a:xfrm>
                      <a:off x="0" y="0"/>
                      <a:ext cx="4215130" cy="8255"/>
                    </a:xfrm>
                    <a:prstGeom prst="rect">
                      <a:avLst/>
                    </a:prstGeom>
                    <a:noFill/>
                  </pic:spPr>
                </pic:pic>
              </a:graphicData>
            </a:graphic>
          </wp:anchor>
        </w:drawing>
      </w:r>
    </w:p>
    <w:p>
      <w:pPr>
        <w:spacing w:after="0" w:line="42"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color w:val="auto"/>
        </w:rPr>
        <w:t>Vladimir Makatsaria</w:t>
      </w:r>
    </w:p>
    <w:p>
      <w:pPr>
        <w:spacing w:after="0" w:line="35"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46"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198"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color w:val="auto"/>
        </w:rPr>
        <w:t>LIVANOVA PLC</w:t>
      </w:r>
    </w:p>
    <w:p>
      <w:pPr>
        <w:spacing w:after="0" w:line="200" w:lineRule="exact"/>
        <w:rPr>
          <w:sz w:val="20"/>
          <w:szCs w:val="20"/>
          <w:color w:val="auto"/>
        </w:rPr>
      </w:pPr>
    </w:p>
    <w:p>
      <w:pPr>
        <w:spacing w:after="0" w:line="386" w:lineRule="exact"/>
        <w:rPr>
          <w:sz w:val="20"/>
          <w:szCs w:val="20"/>
          <w:color w:val="auto"/>
        </w:rPr>
      </w:pPr>
    </w:p>
    <w:p>
      <w:pPr>
        <w:ind w:left="20"/>
        <w:spacing w:after="0"/>
        <w:tabs>
          <w:tab w:leader="none" w:pos="2000" w:val="left"/>
          <w:tab w:leader="none" w:pos="2720" w:val="left"/>
        </w:tabs>
        <w:rPr>
          <w:sz w:val="20"/>
          <w:szCs w:val="20"/>
          <w:color w:val="auto"/>
        </w:rPr>
      </w:pPr>
      <w:r>
        <w:rPr>
          <w:rFonts w:ascii="Times New Roman" w:cs="Times New Roman" w:eastAsia="Times New Roman" w:hAnsi="Times New Roman"/>
          <w:sz w:val="18"/>
          <w:szCs w:val="18"/>
          <w:color w:val="auto"/>
        </w:rPr>
        <w:t>Date: August 6,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ALEX SHVARTSBURG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1728470</wp:posOffset>
            </wp:positionH>
            <wp:positionV relativeFrom="paragraph">
              <wp:posOffset>33655</wp:posOffset>
            </wp:positionV>
            <wp:extent cx="421513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4">
                      <a:extLst>
                        <a:ext uri="{28A0092B-C50C-407E-A947-70E740481C1C}"/>
                      </a:extLst>
                    </a:blip>
                    <a:srcRect/>
                    <a:stretch>
                      <a:fillRect/>
                    </a:stretch>
                  </pic:blipFill>
                  <pic:spPr bwMode="auto">
                    <a:xfrm>
                      <a:off x="0" y="0"/>
                      <a:ext cx="4215130" cy="8255"/>
                    </a:xfrm>
                    <a:prstGeom prst="rect">
                      <a:avLst/>
                    </a:prstGeom>
                    <a:noFill/>
                  </pic:spPr>
                </pic:pic>
              </a:graphicData>
            </a:graphic>
          </wp:anchor>
        </w:drawing>
      </w:r>
    </w:p>
    <w:p>
      <w:pPr>
        <w:spacing w:after="0" w:line="42"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color w:val="auto"/>
        </w:rPr>
        <w:t>Alex Shvartsburg</w:t>
      </w:r>
    </w:p>
    <w:p>
      <w:pPr>
        <w:spacing w:after="0" w:line="35"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46"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i w:val="1"/>
          <w:iCs w:val="1"/>
          <w:color w:val="auto"/>
        </w:rPr>
        <w:t>(Principal Accounting and Financial Officer)</w:t>
      </w:r>
    </w:p>
    <w:p>
      <w:pPr>
        <w:spacing w:after="0" w:line="200" w:lineRule="exact"/>
        <w:rPr>
          <w:sz w:val="20"/>
          <w:szCs w:val="20"/>
          <w:color w:val="auto"/>
        </w:rPr>
      </w:pPr>
    </w:p>
    <w:p>
      <w:pPr>
        <w:spacing w:after="0" w:line="37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240"/>
          </w:cols>
          <w:pgMar w:left="320" w:top="887"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1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210"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0" w:lineRule="exact"/>
        <w:rPr>
          <w:sz w:val="20"/>
          <w:szCs w:val="20"/>
          <w:color w:val="auto"/>
        </w:rPr>
      </w:pPr>
    </w:p>
    <w:p>
      <w:pPr>
        <w:spacing w:after="0" w:line="3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 Vladimir Makatsaria, certify that:</w:t>
      </w:r>
    </w:p>
    <w:p>
      <w:pPr>
        <w:spacing w:after="0" w:line="115" w:lineRule="exact"/>
        <w:rPr>
          <w:sz w:val="20"/>
          <w:szCs w:val="20"/>
          <w:color w:val="auto"/>
        </w:rPr>
      </w:pPr>
    </w:p>
    <w:p>
      <w:pPr>
        <w:ind w:right="20" w:firstLine="330"/>
        <w:spacing w:after="0" w:line="280" w:lineRule="auto"/>
        <w:tabs>
          <w:tab w:leader="none" w:pos="61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quarterly period ended June 30, 2025 of LivaNova PLC and its consolidated subsidiaries;</w:t>
      </w:r>
    </w:p>
    <w:p>
      <w:pPr>
        <w:spacing w:after="0" w:line="54" w:lineRule="exact"/>
        <w:rPr>
          <w:rFonts w:ascii="Times New Roman" w:cs="Times New Roman" w:eastAsia="Times New Roman" w:hAnsi="Times New Roman"/>
          <w:sz w:val="18"/>
          <w:szCs w:val="18"/>
          <w:color w:val="auto"/>
        </w:rPr>
      </w:pPr>
    </w:p>
    <w:p>
      <w:pPr>
        <w:ind w:right="20" w:firstLine="330"/>
        <w:spacing w:after="0" w:line="280" w:lineRule="auto"/>
        <w:tabs>
          <w:tab w:leader="none" w:pos="56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Times New Roman" w:cs="Times New Roman" w:eastAsia="Times New Roman" w:hAnsi="Times New Roman"/>
          <w:sz w:val="18"/>
          <w:szCs w:val="18"/>
          <w:color w:val="auto"/>
        </w:rPr>
      </w:pPr>
    </w:p>
    <w:p>
      <w:pPr>
        <w:ind w:firstLine="330"/>
        <w:spacing w:after="0" w:line="280" w:lineRule="auto"/>
        <w:tabs>
          <w:tab w:leader="none" w:pos="56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4" w:lineRule="exact"/>
        <w:rPr>
          <w:rFonts w:ascii="Times New Roman" w:cs="Times New Roman" w:eastAsia="Times New Roman" w:hAnsi="Times New Roman"/>
          <w:sz w:val="18"/>
          <w:szCs w:val="18"/>
          <w:color w:val="auto"/>
        </w:rPr>
      </w:pPr>
    </w:p>
    <w:p>
      <w:pPr>
        <w:jc w:val="both"/>
        <w:ind w:firstLine="330"/>
        <w:spacing w:after="0" w:line="264" w:lineRule="auto"/>
        <w:tabs>
          <w:tab w:leader="none" w:pos="587"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9" w:lineRule="exact"/>
        <w:rPr>
          <w:sz w:val="20"/>
          <w:szCs w:val="20"/>
          <w:color w:val="auto"/>
        </w:rPr>
      </w:pPr>
    </w:p>
    <w:p>
      <w:pPr>
        <w:jc w:val="both"/>
        <w:ind w:firstLine="330"/>
        <w:spacing w:after="0" w:line="264" w:lineRule="auto"/>
        <w:tabs>
          <w:tab w:leader="none" w:pos="65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9" w:lineRule="exact"/>
        <w:rPr>
          <w:rFonts w:ascii="Times New Roman" w:cs="Times New Roman" w:eastAsia="Times New Roman" w:hAnsi="Times New Roman"/>
          <w:sz w:val="18"/>
          <w:szCs w:val="18"/>
          <w:color w:val="auto"/>
        </w:rPr>
      </w:pPr>
    </w:p>
    <w:p>
      <w:pPr>
        <w:jc w:val="both"/>
        <w:ind w:firstLine="330"/>
        <w:spacing w:after="0" w:line="264" w:lineRule="auto"/>
        <w:tabs>
          <w:tab w:leader="none" w:pos="7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9" w:lineRule="exact"/>
        <w:rPr>
          <w:rFonts w:ascii="Times New Roman" w:cs="Times New Roman" w:eastAsia="Times New Roman" w:hAnsi="Times New Roman"/>
          <w:sz w:val="18"/>
          <w:szCs w:val="18"/>
          <w:color w:val="auto"/>
        </w:rPr>
      </w:pPr>
    </w:p>
    <w:p>
      <w:pPr>
        <w:ind w:firstLine="330"/>
        <w:spacing w:after="0" w:line="280" w:lineRule="auto"/>
        <w:tabs>
          <w:tab w:leader="none" w:pos="70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4" w:lineRule="exact"/>
        <w:rPr>
          <w:rFonts w:ascii="Times New Roman" w:cs="Times New Roman" w:eastAsia="Times New Roman" w:hAnsi="Times New Roman"/>
          <w:sz w:val="18"/>
          <w:szCs w:val="18"/>
          <w:color w:val="auto"/>
        </w:rPr>
      </w:pPr>
    </w:p>
    <w:p>
      <w:pPr>
        <w:jc w:val="both"/>
        <w:ind w:firstLine="330"/>
        <w:spacing w:after="0" w:line="264" w:lineRule="auto"/>
        <w:tabs>
          <w:tab w:leader="none" w:pos="62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9" w:lineRule="exact"/>
        <w:rPr>
          <w:sz w:val="20"/>
          <w:szCs w:val="20"/>
          <w:color w:val="auto"/>
        </w:rPr>
      </w:pPr>
    </w:p>
    <w:p>
      <w:pPr>
        <w:ind w:right="20" w:firstLine="330"/>
        <w:spacing w:after="0" w:line="280" w:lineRule="auto"/>
        <w:tabs>
          <w:tab w:leader="none" w:pos="55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5" w:lineRule="exact"/>
        <w:rPr>
          <w:sz w:val="20"/>
          <w:szCs w:val="20"/>
          <w:color w:val="auto"/>
        </w:rPr>
      </w:pPr>
    </w:p>
    <w:p>
      <w:pPr>
        <w:ind w:firstLine="330"/>
        <w:spacing w:after="0" w:line="280" w:lineRule="auto"/>
        <w:tabs>
          <w:tab w:leader="none" w:pos="63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firstLine="330"/>
        <w:spacing w:after="0" w:line="280" w:lineRule="auto"/>
        <w:tabs>
          <w:tab w:leader="none" w:pos="639"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Date: August 6, 2025</w:t>
      </w:r>
    </w:p>
    <w:p>
      <w:pPr>
        <w:spacing w:after="0" w:line="196"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/s/ VLADIMIR MAKATSARIA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3451860</wp:posOffset>
            </wp:positionH>
            <wp:positionV relativeFrom="paragraph">
              <wp:posOffset>16510</wp:posOffset>
            </wp:positionV>
            <wp:extent cx="336994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5">
                      <a:extLst>
                        <a:ext uri="{28A0092B-C50C-407E-A947-70E740481C1C}"/>
                      </a:extLst>
                    </a:blip>
                    <a:srcRect/>
                    <a:stretch>
                      <a:fillRect/>
                    </a:stretch>
                  </pic:blipFill>
                  <pic:spPr bwMode="auto">
                    <a:xfrm>
                      <a:off x="0" y="0"/>
                      <a:ext cx="3369945" cy="8255"/>
                    </a:xfrm>
                    <a:prstGeom prst="rect">
                      <a:avLst/>
                    </a:prstGeom>
                    <a:noFill/>
                  </pic:spPr>
                </pic:pic>
              </a:graphicData>
            </a:graphic>
          </wp:anchor>
        </w:drawing>
      </w:r>
    </w:p>
    <w:p>
      <w:pPr>
        <w:spacing w:after="0" w:line="15"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Vladimir Makatsaria</w:t>
      </w:r>
    </w:p>
    <w:p>
      <w:pPr>
        <w:spacing w:after="0" w:line="2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1"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937"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0" w:lineRule="exact"/>
        <w:rPr>
          <w:sz w:val="20"/>
          <w:szCs w:val="20"/>
          <w:color w:val="auto"/>
        </w:rPr>
      </w:pPr>
    </w:p>
    <w:p>
      <w:pPr>
        <w:spacing w:after="0" w:line="3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 Alex Shvartsburg, certify that:</w:t>
      </w:r>
    </w:p>
    <w:p>
      <w:pPr>
        <w:spacing w:after="0" w:line="115" w:lineRule="exact"/>
        <w:rPr>
          <w:sz w:val="20"/>
          <w:szCs w:val="20"/>
          <w:color w:val="auto"/>
        </w:rPr>
      </w:pPr>
    </w:p>
    <w:p>
      <w:pPr>
        <w:ind w:right="20" w:firstLine="330"/>
        <w:spacing w:after="0" w:line="280" w:lineRule="auto"/>
        <w:tabs>
          <w:tab w:leader="none" w:pos="619"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quarterly period ended June 30, 2025 of LivaNova PLC and its consolidated subsidiaries;</w:t>
      </w:r>
    </w:p>
    <w:p>
      <w:pPr>
        <w:spacing w:after="0" w:line="54" w:lineRule="exact"/>
        <w:rPr>
          <w:rFonts w:ascii="Times New Roman" w:cs="Times New Roman" w:eastAsia="Times New Roman" w:hAnsi="Times New Roman"/>
          <w:sz w:val="18"/>
          <w:szCs w:val="18"/>
          <w:color w:val="auto"/>
        </w:rPr>
      </w:pPr>
    </w:p>
    <w:p>
      <w:pPr>
        <w:ind w:right="20" w:firstLine="330"/>
        <w:spacing w:after="0" w:line="280" w:lineRule="auto"/>
        <w:tabs>
          <w:tab w:leader="none" w:pos="56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Times New Roman" w:cs="Times New Roman" w:eastAsia="Times New Roman" w:hAnsi="Times New Roman"/>
          <w:sz w:val="18"/>
          <w:szCs w:val="18"/>
          <w:color w:val="auto"/>
        </w:rPr>
      </w:pPr>
    </w:p>
    <w:p>
      <w:pPr>
        <w:ind w:firstLine="330"/>
        <w:spacing w:after="0" w:line="280" w:lineRule="auto"/>
        <w:tabs>
          <w:tab w:leader="none" w:pos="56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4" w:lineRule="exact"/>
        <w:rPr>
          <w:rFonts w:ascii="Times New Roman" w:cs="Times New Roman" w:eastAsia="Times New Roman" w:hAnsi="Times New Roman"/>
          <w:sz w:val="18"/>
          <w:szCs w:val="18"/>
          <w:color w:val="auto"/>
        </w:rPr>
      </w:pPr>
    </w:p>
    <w:p>
      <w:pPr>
        <w:jc w:val="both"/>
        <w:ind w:firstLine="330"/>
        <w:spacing w:after="0" w:line="264" w:lineRule="auto"/>
        <w:tabs>
          <w:tab w:leader="none" w:pos="569"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9" w:lineRule="exact"/>
        <w:rPr>
          <w:sz w:val="20"/>
          <w:szCs w:val="20"/>
          <w:color w:val="auto"/>
        </w:rPr>
      </w:pPr>
    </w:p>
    <w:p>
      <w:pPr>
        <w:jc w:val="both"/>
        <w:ind w:firstLine="330"/>
        <w:spacing w:after="0" w:line="264" w:lineRule="auto"/>
        <w:tabs>
          <w:tab w:leader="none" w:pos="65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9" w:lineRule="exact"/>
        <w:rPr>
          <w:rFonts w:ascii="Times New Roman" w:cs="Times New Roman" w:eastAsia="Times New Roman" w:hAnsi="Times New Roman"/>
          <w:sz w:val="18"/>
          <w:szCs w:val="18"/>
          <w:color w:val="auto"/>
        </w:rPr>
      </w:pPr>
    </w:p>
    <w:p>
      <w:pPr>
        <w:jc w:val="both"/>
        <w:ind w:firstLine="330"/>
        <w:spacing w:after="0" w:line="264" w:lineRule="auto"/>
        <w:tabs>
          <w:tab w:leader="none" w:pos="7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9" w:lineRule="exact"/>
        <w:rPr>
          <w:rFonts w:ascii="Times New Roman" w:cs="Times New Roman" w:eastAsia="Times New Roman" w:hAnsi="Times New Roman"/>
          <w:sz w:val="18"/>
          <w:szCs w:val="18"/>
          <w:color w:val="auto"/>
        </w:rPr>
      </w:pPr>
    </w:p>
    <w:p>
      <w:pPr>
        <w:ind w:firstLine="330"/>
        <w:spacing w:after="0" w:line="280" w:lineRule="auto"/>
        <w:tabs>
          <w:tab w:leader="none" w:pos="70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4" w:lineRule="exact"/>
        <w:rPr>
          <w:rFonts w:ascii="Times New Roman" w:cs="Times New Roman" w:eastAsia="Times New Roman" w:hAnsi="Times New Roman"/>
          <w:sz w:val="18"/>
          <w:szCs w:val="18"/>
          <w:color w:val="auto"/>
        </w:rPr>
      </w:pPr>
    </w:p>
    <w:p>
      <w:pPr>
        <w:jc w:val="both"/>
        <w:ind w:firstLine="330"/>
        <w:spacing w:after="0" w:line="264" w:lineRule="auto"/>
        <w:tabs>
          <w:tab w:leader="none" w:pos="622"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9" w:lineRule="exact"/>
        <w:rPr>
          <w:sz w:val="20"/>
          <w:szCs w:val="20"/>
          <w:color w:val="auto"/>
        </w:rPr>
      </w:pPr>
    </w:p>
    <w:p>
      <w:pPr>
        <w:ind w:right="20" w:firstLine="330"/>
        <w:spacing w:after="0" w:line="280" w:lineRule="auto"/>
        <w:tabs>
          <w:tab w:leader="none" w:pos="55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5" w:lineRule="exact"/>
        <w:rPr>
          <w:sz w:val="20"/>
          <w:szCs w:val="20"/>
          <w:color w:val="auto"/>
        </w:rPr>
      </w:pPr>
    </w:p>
    <w:p>
      <w:pPr>
        <w:ind w:firstLine="330"/>
        <w:spacing w:after="0" w:line="280" w:lineRule="auto"/>
        <w:tabs>
          <w:tab w:leader="none" w:pos="63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firstLine="330"/>
        <w:spacing w:after="0" w:line="280" w:lineRule="auto"/>
        <w:tabs>
          <w:tab w:leader="none" w:pos="639"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Date: August 6, 2025</w:t>
      </w:r>
    </w:p>
    <w:p>
      <w:pPr>
        <w:spacing w:after="0" w:line="19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ALEX SHVARTSBURG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16510</wp:posOffset>
            </wp:positionV>
            <wp:extent cx="336994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6">
                      <a:extLst>
                        <a:ext uri="{28A0092B-C50C-407E-A947-70E740481C1C}"/>
                      </a:extLst>
                    </a:blip>
                    <a:srcRect/>
                    <a:stretch>
                      <a:fillRect/>
                    </a:stretch>
                  </pic:blipFill>
                  <pic:spPr bwMode="auto">
                    <a:xfrm>
                      <a:off x="0" y="0"/>
                      <a:ext cx="3369945" cy="8255"/>
                    </a:xfrm>
                    <a:prstGeom prst="rect">
                      <a:avLst/>
                    </a:prstGeom>
                    <a:noFill/>
                  </pic:spPr>
                </pic:pic>
              </a:graphicData>
            </a:graphic>
          </wp:anchor>
        </w:drawing>
      </w:r>
    </w:p>
    <w:p>
      <w:pPr>
        <w:spacing w:after="0" w:line="1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Alex Shvartsburg</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(Principal Accounting and Financial Officer)</w:t>
      </w:r>
    </w:p>
    <w:p>
      <w:pPr>
        <w:sectPr>
          <w:pgSz w:w="11900" w:h="16838" w:orient="portrait"/>
          <w:cols w:equalWidth="0" w:num="1">
            <w:col w:w="11240"/>
          </w:cols>
          <w:pgMar w:left="320" w:top="1044"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 AND</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LIVANOVA PLC</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firstLine="323"/>
        <w:spacing w:after="0" w:line="373" w:lineRule="auto"/>
        <w:rPr>
          <w:sz w:val="20"/>
          <w:szCs w:val="20"/>
          <w:color w:val="auto"/>
        </w:rPr>
      </w:pPr>
      <w:r>
        <w:rPr>
          <w:rFonts w:ascii="Times New Roman" w:cs="Times New Roman" w:eastAsia="Times New Roman" w:hAnsi="Times New Roman"/>
          <w:sz w:val="18"/>
          <w:szCs w:val="18"/>
          <w:color w:val="auto"/>
        </w:rPr>
        <w:t>Each of Vladimir Makatsaria, Chief Executive Officer of LivaNova PLC (the “Company”), and Alex Shvartsburg, Chief Financial Officer of the Company, each hereby certifies pursuant to 18 U.S.C. Section 1350, as adopted pursuant to Section 906 of the Sarbanes-Oxley Act of 2002, that to the best of his knowledge:</w:t>
      </w:r>
    </w:p>
    <w:p>
      <w:pPr>
        <w:spacing w:after="0" w:line="200" w:lineRule="exact"/>
        <w:rPr>
          <w:sz w:val="20"/>
          <w:szCs w:val="20"/>
          <w:color w:val="auto"/>
        </w:rPr>
      </w:pPr>
    </w:p>
    <w:p>
      <w:pPr>
        <w:spacing w:after="0" w:line="232" w:lineRule="exact"/>
        <w:rPr>
          <w:sz w:val="20"/>
          <w:szCs w:val="20"/>
          <w:color w:val="auto"/>
        </w:rPr>
      </w:pPr>
    </w:p>
    <w:p>
      <w:pPr>
        <w:jc w:val="both"/>
        <w:ind w:firstLine="532"/>
        <w:spacing w:after="0" w:line="373" w:lineRule="auto"/>
        <w:tabs>
          <w:tab w:leader="none" w:pos="821"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and its consolidated subsidiaries for the quarterly period ended June 30, 2025, as filed with the Securities and Exchange Commission on the date hereof (the “Report”) fully complies with the requirements of Section 13(a) or 15(d) of the Securities Exchange Act of 1934, as amended; and</w:t>
      </w:r>
    </w:p>
    <w:p>
      <w:pPr>
        <w:spacing w:after="0" w:line="200" w:lineRule="exact"/>
        <w:rPr>
          <w:rFonts w:ascii="Times New Roman" w:cs="Times New Roman" w:eastAsia="Times New Roman" w:hAnsi="Times New Roman"/>
          <w:sz w:val="18"/>
          <w:szCs w:val="18"/>
          <w:color w:val="auto"/>
        </w:rPr>
      </w:pPr>
    </w:p>
    <w:p>
      <w:pPr>
        <w:spacing w:after="0" w:line="218" w:lineRule="exact"/>
        <w:rPr>
          <w:rFonts w:ascii="Times New Roman" w:cs="Times New Roman" w:eastAsia="Times New Roman" w:hAnsi="Times New Roman"/>
          <w:sz w:val="18"/>
          <w:szCs w:val="18"/>
          <w:color w:val="auto"/>
        </w:rPr>
      </w:pPr>
    </w:p>
    <w:p>
      <w:pPr>
        <w:ind w:left="820" w:hanging="288"/>
        <w:spacing w:after="0"/>
        <w:tabs>
          <w:tab w:leader="none" w:pos="8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0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Date: August 6, 2025</w:t>
      </w:r>
    </w:p>
    <w:p>
      <w:pPr>
        <w:spacing w:after="0" w:line="29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VLADIMIR MAKATSARIA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16510</wp:posOffset>
            </wp:positionV>
            <wp:extent cx="336994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7">
                      <a:extLst>
                        <a:ext uri="{28A0092B-C50C-407E-A947-70E740481C1C}"/>
                      </a:extLst>
                    </a:blip>
                    <a:srcRect/>
                    <a:stretch>
                      <a:fillRect/>
                    </a:stretch>
                  </pic:blipFill>
                  <pic:spPr bwMode="auto">
                    <a:xfrm>
                      <a:off x="0" y="0"/>
                      <a:ext cx="3369945" cy="8255"/>
                    </a:xfrm>
                    <a:prstGeom prst="rect">
                      <a:avLst/>
                    </a:prstGeom>
                    <a:noFill/>
                  </pic:spPr>
                </pic:pic>
              </a:graphicData>
            </a:graphic>
          </wp:anchor>
        </w:drawing>
      </w:r>
    </w:p>
    <w:p>
      <w:pPr>
        <w:spacing w:after="0" w:line="1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Vladimir Makatsaria</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/s/ ALEX SHVARTSBURG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3451860</wp:posOffset>
            </wp:positionH>
            <wp:positionV relativeFrom="paragraph">
              <wp:posOffset>16510</wp:posOffset>
            </wp:positionV>
            <wp:extent cx="336994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8">
                      <a:extLst>
                        <a:ext uri="{28A0092B-C50C-407E-A947-70E740481C1C}"/>
                      </a:extLst>
                    </a:blip>
                    <a:srcRect/>
                    <a:stretch>
                      <a:fillRect/>
                    </a:stretch>
                  </pic:blipFill>
                  <pic:spPr bwMode="auto">
                    <a:xfrm>
                      <a:off x="0" y="0"/>
                      <a:ext cx="3369945" cy="8255"/>
                    </a:xfrm>
                    <a:prstGeom prst="rect">
                      <a:avLst/>
                    </a:prstGeom>
                    <a:noFill/>
                  </pic:spPr>
                </pic:pic>
              </a:graphicData>
            </a:graphic>
          </wp:anchor>
        </w:drawing>
      </w:r>
    </w:p>
    <w:p>
      <w:pPr>
        <w:spacing w:after="0" w:line="15"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Alex Shvartsburg</w:t>
      </w:r>
    </w:p>
    <w:p>
      <w:pPr>
        <w:spacing w:after="0" w:line="2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1"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i w:val="1"/>
          <w:iCs w:val="1"/>
          <w:color w:val="auto"/>
        </w:rPr>
        <w:t>(Principal Accounting and Financial Officer)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firstLine="323"/>
        <w:spacing w:after="0" w:line="280"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68" w:lineRule="exact"/>
        <w:rPr>
          <w:sz w:val="20"/>
          <w:szCs w:val="20"/>
          <w:color w:val="auto"/>
        </w:rPr>
      </w:pPr>
    </w:p>
    <w:p>
      <w:pPr>
        <w:ind w:firstLine="323"/>
        <w:spacing w:after="0" w:line="295"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Section 1350 and is not being filed as a part of this report or on a separate disclosure document.</w:t>
      </w:r>
    </w:p>
    <w:sectPr>
      <w:pgSz w:w="11900" w:h="16838" w:orient="portrait"/>
      <w:cols w:equalWidth="0" w:num="1">
        <w:col w:w="11240"/>
      </w:cols>
      <w:pgMar w:left="320" w:top="9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lvl w:ilvl="1">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1)"/>
      <w:numFmt w:val="decimal"/>
      <w:start w:val="1"/>
    </w:lvl>
  </w:abstractNum>
  <w:abstractNum w:abstractNumId="3">
    <w:nsid w:val="25E45D32"/>
    <w:multiLevelType w:val="hybridMultilevel"/>
    <w:lvl w:ilvl="0">
      <w:lvlJc w:val="left"/>
      <w:lvlText w:val="(%1)"/>
      <w:numFmt w:val="decimal"/>
      <w:start w:val="1"/>
    </w:lvl>
  </w:abstractNum>
  <w:abstractNum w:abstractNumId="4">
    <w:nsid w:val="519B500D"/>
    <w:multiLevelType w:val="hybridMultilevel"/>
    <w:lvl w:ilvl="0">
      <w:lvlJc w:val="left"/>
      <w:lvlText w:val="(%1)"/>
      <w:numFmt w:val="decimal"/>
      <w:start w:val="1"/>
    </w:lvl>
  </w:abstractNum>
  <w:abstractNum w:abstractNumId="5">
    <w:nsid w:val="431BD7B7"/>
    <w:multiLevelType w:val="hybridMultilevel"/>
    <w:lvl w:ilvl="0">
      <w:lvlJc w:val="left"/>
      <w:lvlText w:val="(%1)"/>
      <w:numFmt w:val="decimal"/>
      <w:start w:val="1"/>
    </w:lvl>
  </w:abstractNum>
  <w:abstractNum w:abstractNumId="6">
    <w:nsid w:val="3F2DBA31"/>
    <w:multiLevelType w:val="hybridMultilevel"/>
    <w:lvl w:ilvl="0">
      <w:lvlJc w:val="left"/>
      <w:lvlText w:val="(%1)"/>
      <w:numFmt w:val="decimal"/>
      <w:start w:val="1"/>
    </w:lvl>
  </w:abstractNum>
  <w:abstractNum w:abstractNumId="7">
    <w:nsid w:val="7C83E458"/>
    <w:multiLevelType w:val="hybridMultilevel"/>
    <w:lvl w:ilvl="0">
      <w:lvlJc w:val="left"/>
      <w:lvlText w:val="(%1)"/>
      <w:numFmt w:val="decimal"/>
      <w:start w:val="1"/>
    </w:lvl>
  </w:abstractNum>
  <w:abstractNum w:abstractNumId="8">
    <w:nsid w:val="257130A3"/>
    <w:multiLevelType w:val="hybridMultilevel"/>
    <w:lvl w:ilvl="0">
      <w:lvlJc w:val="left"/>
      <w:lvlText w:val="(%1)"/>
      <w:numFmt w:val="decimal"/>
      <w:start w:val="1"/>
    </w:lvl>
  </w:abstractNum>
  <w:abstractNum w:abstractNumId="9">
    <w:nsid w:val="62BBD95A"/>
    <w:multiLevelType w:val="hybridMultilevel"/>
    <w:lvl w:ilvl="0">
      <w:lvlJc w:val="left"/>
      <w:lvlText w:val="(%1)"/>
      <w:numFmt w:val="decimal"/>
      <w:start w:val="1"/>
    </w:lvl>
  </w:abstractNum>
  <w:abstractNum w:abstractNumId="10">
    <w:nsid w:val="436C6125"/>
    <w:multiLevelType w:val="hybridMultilevel"/>
    <w:lvl w:ilvl="0">
      <w:lvlJc w:val="left"/>
      <w:lvlText w:val="(%1)"/>
      <w:numFmt w:val="decimal"/>
      <w:start w:val="1"/>
    </w:lvl>
  </w:abstractNum>
  <w:abstractNum w:abstractNumId="11">
    <w:nsid w:val="628C895D"/>
    <w:multiLevelType w:val="hybridMultilevel"/>
    <w:lvl w:ilvl="0">
      <w:lvlJc w:val="left"/>
      <w:lvlText w:val="(%1)"/>
      <w:numFmt w:val="decimal"/>
      <w:start w:val="1"/>
    </w:lvl>
  </w:abstractNum>
  <w:abstractNum w:abstractNumId="12">
    <w:nsid w:val="333AB105"/>
    <w:multiLevelType w:val="hybridMultilevel"/>
    <w:lvl w:ilvl="0">
      <w:lvlJc w:val="left"/>
      <w:lvlText w:val="(%1)"/>
      <w:numFmt w:val="decimal"/>
      <w:start w:val="1"/>
    </w:lvl>
  </w:abstractNum>
  <w:abstractNum w:abstractNumId="13">
    <w:nsid w:val="721DA317"/>
    <w:multiLevelType w:val="hybridMultilevel"/>
    <w:lvl w:ilvl="0">
      <w:lvlJc w:val="left"/>
      <w:lvlText w:val="(%1)"/>
      <w:numFmt w:val="decimal"/>
      <w:start w:val="1"/>
    </w:lvl>
  </w:abstractNum>
  <w:abstractNum w:abstractNumId="14">
    <w:nsid w:val="2443A858"/>
    <w:multiLevelType w:val="hybridMultilevel"/>
    <w:lvl w:ilvl="0">
      <w:lvlJc w:val="left"/>
      <w:lvlText w:val="(%1)"/>
      <w:numFmt w:val="decimal"/>
      <w:start w:val="1"/>
    </w:lvl>
  </w:abstractNum>
  <w:abstractNum w:abstractNumId="15">
    <w:nsid w:val="2D1D5AE9"/>
    <w:multiLevelType w:val="hybridMultilevel"/>
    <w:lvl w:ilvl="0">
      <w:lvlJc w:val="left"/>
      <w:lvlText w:val="(%1)"/>
      <w:numFmt w:val="decimal"/>
      <w:start w:val="1"/>
    </w:lvl>
  </w:abstractNum>
  <w:abstractNum w:abstractNumId="16">
    <w:nsid w:val="6763845E"/>
    <w:multiLevelType w:val="hybridMultilevel"/>
    <w:lvl w:ilvl="0">
      <w:lvlJc w:val="left"/>
      <w:lvlText w:val="(%1)"/>
      <w:numFmt w:val="decimal"/>
      <w:start w:val="1"/>
    </w:lvl>
  </w:abstractNum>
  <w:abstractNum w:abstractNumId="17">
    <w:nsid w:val="75A2A8D4"/>
    <w:multiLevelType w:val="hybridMultilevel"/>
    <w:lvl w:ilvl="0">
      <w:lvlJc w:val="left"/>
      <w:lvlText w:val="(%1)"/>
      <w:numFmt w:val="decimal"/>
      <w:start w:val="1"/>
    </w:lvl>
  </w:abstractNum>
  <w:abstractNum w:abstractNumId="18">
    <w:nsid w:val="8EDBDAB"/>
    <w:multiLevelType w:val="hybridMultilevel"/>
    <w:lvl w:ilvl="0">
      <w:lvlJc w:val="left"/>
      <w:lvlText w:val="(%1)"/>
      <w:numFmt w:val="decimal"/>
      <w:start w:val="1"/>
    </w:lvl>
  </w:abstractNum>
  <w:abstractNum w:abstractNumId="19">
    <w:nsid w:val="79838CB2"/>
    <w:multiLevelType w:val="hybridMultilevel"/>
    <w:lvl w:ilvl="0">
      <w:lvlJc w:val="left"/>
      <w:lvlText w:val="(%1)"/>
      <w:numFmt w:val="decimal"/>
      <w:start w:val="1"/>
    </w:lvl>
  </w:abstractNum>
  <w:abstractNum w:abstractNumId="20">
    <w:nsid w:val="4353D0CD"/>
    <w:multiLevelType w:val="hybridMultilevel"/>
    <w:lvl w:ilvl="0">
      <w:lvlJc w:val="left"/>
      <w:lvlText w:val="(%1)"/>
      <w:numFmt w:val="decimal"/>
      <w:start w:val="1"/>
    </w:lvl>
  </w:abstractNum>
  <w:abstractNum w:abstractNumId="21">
    <w:nsid w:val="B03E0C6"/>
    <w:multiLevelType w:val="hybridMultilevel"/>
    <w:lvl w:ilvl="0">
      <w:lvlJc w:val="left"/>
      <w:lvlText w:val="%1."/>
      <w:numFmt w:val="decimal"/>
      <w:start w:val="1"/>
    </w:lvl>
  </w:abstractNum>
  <w:abstractNum w:abstractNumId="22">
    <w:nsid w:val="189A769B"/>
    <w:multiLevelType w:val="hybridMultilevel"/>
    <w:lvl w:ilvl="0">
      <w:lvlJc w:val="left"/>
      <w:lvlText w:val="(%1)"/>
      <w:numFmt w:val="lowerLetter"/>
      <w:start w:val="1"/>
    </w:lvl>
  </w:abstractNum>
  <w:abstractNum w:abstractNumId="23">
    <w:nsid w:val="54E49EB4"/>
    <w:multiLevelType w:val="hybridMultilevel"/>
    <w:lvl w:ilvl="0">
      <w:lvlJc w:val="left"/>
      <w:lvlText w:val="%1."/>
      <w:numFmt w:val="decimal"/>
      <w:start w:val="5"/>
    </w:lvl>
  </w:abstractNum>
  <w:abstractNum w:abstractNumId="24">
    <w:nsid w:val="71F32454"/>
    <w:multiLevelType w:val="hybridMultilevel"/>
    <w:lvl w:ilvl="0">
      <w:lvlJc w:val="left"/>
      <w:lvlText w:val="(%1)"/>
      <w:numFmt w:val="lowerLetter"/>
      <w:start w:val="1"/>
    </w:lvl>
  </w:abstractNum>
  <w:abstractNum w:abstractNumId="25">
    <w:nsid w:val="2CA88611"/>
    <w:multiLevelType w:val="hybridMultilevel"/>
    <w:lvl w:ilvl="0">
      <w:lvlJc w:val="left"/>
      <w:lvlText w:val="%1."/>
      <w:numFmt w:val="decimal"/>
      <w:start w:val="1"/>
    </w:lvl>
  </w:abstractNum>
  <w:abstractNum w:abstractNumId="26">
    <w:nsid w:val="836C40E"/>
    <w:multiLevelType w:val="hybridMultilevel"/>
    <w:lvl w:ilvl="0">
      <w:lvlJc w:val="left"/>
      <w:lvlText w:val="(%1)"/>
      <w:numFmt w:val="lowerLetter"/>
      <w:start w:val="1"/>
    </w:lvl>
  </w:abstractNum>
  <w:abstractNum w:abstractNumId="27">
    <w:nsid w:val="2901D82"/>
    <w:multiLevelType w:val="hybridMultilevel"/>
    <w:lvl w:ilvl="0">
      <w:lvlJc w:val="left"/>
      <w:lvlText w:val="%1."/>
      <w:numFmt w:val="decimal"/>
      <w:start w:val="5"/>
    </w:lvl>
  </w:abstractNum>
  <w:abstractNum w:abstractNumId="28">
    <w:nsid w:val="3A95F874"/>
    <w:multiLevelType w:val="hybridMultilevel"/>
    <w:lvl w:ilvl="0">
      <w:lvlJc w:val="left"/>
      <w:lvlText w:val="(%1)"/>
      <w:numFmt w:val="lowerLetter"/>
      <w:start w:val="1"/>
    </w:lvl>
  </w:abstractNum>
  <w:abstractNum w:abstractNumId="29">
    <w:nsid w:val="8138641"/>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71" Type="http://schemas.openxmlformats.org/officeDocument/2006/relationships/image" Target="media/image58.png"/><Relationship Id="rId72" Type="http://schemas.openxmlformats.org/officeDocument/2006/relationships/image" Target="media/image59.png"/><Relationship Id="rId73" Type="http://schemas.openxmlformats.org/officeDocument/2006/relationships/image" Target="media/image60.png"/><Relationship Id="rId74" Type="http://schemas.openxmlformats.org/officeDocument/2006/relationships/image" Target="media/image61.png"/><Relationship Id="rId75" Type="http://schemas.openxmlformats.org/officeDocument/2006/relationships/image" Target="media/image62.png"/><Relationship Id="rId76" Type="http://schemas.openxmlformats.org/officeDocument/2006/relationships/image" Target="media/image63.png"/><Relationship Id="rId77" Type="http://schemas.openxmlformats.org/officeDocument/2006/relationships/image" Target="media/image64.png"/><Relationship Id="rId78" Type="http://schemas.openxmlformats.org/officeDocument/2006/relationships/image" Target="media/image65.png"/><Relationship Id="rId65" Type="http://schemas.openxmlformats.org/officeDocument/2006/relationships/hyperlink" Target="https://www.sec.gov/Archives/edgar/data/1639691/000163969125000052/finalsecondamendedandres.htm" TargetMode="External"/><Relationship Id="rId66" Type="http://schemas.openxmlformats.org/officeDocument/2006/relationships/hyperlink" Target="https://www.sec.gov/Archives/edgar/data/1639691/000163969125000052/a02-finalsecondarsaragre.htm" TargetMode="External"/><Relationship Id="rId67" Type="http://schemas.openxmlformats.org/officeDocument/2006/relationships/hyperlink" Target="https://www.sec.gov/Archives/edgar/data/1639691/000163969125000052/a03-finalsecondarrsuagre.htm" TargetMode="External"/><Relationship Id="rId68" Type="http://schemas.openxmlformats.org/officeDocument/2006/relationships/hyperlink" Target="https://www.sec.gov/Archives/edgar/data/1639691/000163969125000052/a04-finalsecondarpsuagre.htm" TargetMode="External"/><Relationship Id="rId69" Type="http://schemas.openxmlformats.org/officeDocument/2006/relationships/hyperlink" Target="https://www.sec.gov/Archives/edgar/data/1639691/000163969125000052/final2025directorincenti.htm" TargetMode="External"/><Relationship Id="rId70" Type="http://schemas.openxmlformats.org/officeDocument/2006/relationships/hyperlink" Target="https://www.sec.gov/Archives/edgar/data/1639691/000163969125000052/a06-finalformofdirectorr.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2025-08-06T05:19:51Z</dcterms:created>
  <dcterms:modified xsi:type="dcterms:W3CDTF">2025-08-06T05:19:51Z</dcterms:modified>
</cp:coreProperties>
</file>