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January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2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England and Wales</w:t>
            </w:r>
          </w:p>
        </w:tc>
        <w:tc>
          <w:tcPr>
            <w:tcW w:w="4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68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40" w:type="dxa"/>
            <w:vAlign w:val="bottom"/>
          </w:tcPr>
          <w:p>
            <w:pPr>
              <w:jc w:val="center"/>
              <w:ind w:right="90"/>
              <w:spacing w:after="0"/>
              <w:rPr>
                <w:sz w:val="20"/>
                <w:szCs w:val="20"/>
                <w:color w:val="auto"/>
              </w:rPr>
            </w:pPr>
            <w:r>
              <w:rPr>
                <w:rFonts w:ascii="Arial" w:cs="Arial" w:eastAsia="Arial" w:hAnsi="Arial"/>
                <w:sz w:val="18"/>
                <w:szCs w:val="18"/>
                <w:color w:val="auto"/>
                <w:w w:val="91"/>
              </w:rPr>
              <w:t>(State or Other Jurisdiction</w:t>
            </w:r>
          </w:p>
        </w:tc>
        <w:tc>
          <w:tcPr>
            <w:tcW w:w="454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ind w:right="50"/>
              <w:spacing w:after="0"/>
              <w:rPr>
                <w:sz w:val="20"/>
                <w:szCs w:val="20"/>
                <w:color w:val="auto"/>
              </w:rPr>
            </w:pPr>
            <w:r>
              <w:rPr>
                <w:rFonts w:ascii="Arial" w:cs="Arial" w:eastAsia="Arial" w:hAnsi="Arial"/>
                <w:sz w:val="18"/>
                <w:szCs w:val="18"/>
                <w:color w:val="auto"/>
                <w:w w:val="94"/>
              </w:rPr>
              <w:t>of Incorporation)</w:t>
            </w:r>
          </w:p>
        </w:tc>
        <w:tc>
          <w:tcPr>
            <w:tcW w:w="454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140" w:type="dxa"/>
            <w:vAlign w:val="bottom"/>
          </w:tcPr>
          <w:p>
            <w:pPr>
              <w:spacing w:after="0"/>
              <w:rPr>
                <w:sz w:val="24"/>
                <w:szCs w:val="24"/>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8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80" w:type="dxa"/>
            <w:vAlign w:val="bottom"/>
          </w:tcPr>
          <w:p>
            <w:pPr>
              <w:spacing w:after="0"/>
              <w:rPr>
                <w:sz w:val="18"/>
                <w:szCs w:val="18"/>
                <w:color w:val="auto"/>
              </w:rPr>
            </w:pPr>
          </w:p>
        </w:tc>
      </w:tr>
      <w:tr>
        <w:trPr>
          <w:trHeight w:val="220"/>
        </w:trPr>
        <w:tc>
          <w:tcPr>
            <w:tcW w:w="2140" w:type="dxa"/>
            <w:vAlign w:val="bottom"/>
          </w:tcPr>
          <w:p>
            <w:pPr>
              <w:spacing w:after="0"/>
              <w:rPr>
                <w:sz w:val="19"/>
                <w:szCs w:val="19"/>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8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454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spacing w:after="0"/>
              <w:rPr>
                <w:sz w:val="20"/>
                <w:szCs w:val="20"/>
                <w:color w:val="auto"/>
              </w:rPr>
            </w:pPr>
          </w:p>
        </w:tc>
      </w:tr>
      <w:tr>
        <w:trPr>
          <w:trHeight w:val="418"/>
        </w:trPr>
        <w:tc>
          <w:tcPr>
            <w:tcW w:w="2140" w:type="dxa"/>
            <w:vAlign w:val="bottom"/>
          </w:tcPr>
          <w:p>
            <w:pPr>
              <w:spacing w:after="0"/>
              <w:rPr>
                <w:sz w:val="24"/>
                <w:szCs w:val="24"/>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80" w:type="dxa"/>
            <w:vAlign w:val="bottom"/>
          </w:tcPr>
          <w:p>
            <w:pPr>
              <w:spacing w:after="0"/>
              <w:rPr>
                <w:sz w:val="24"/>
                <w:szCs w:val="24"/>
                <w:color w:val="auto"/>
              </w:rPr>
            </w:pPr>
          </w:p>
        </w:tc>
      </w:tr>
      <w:tr>
        <w:trPr>
          <w:trHeight w:val="230"/>
        </w:trPr>
        <w:tc>
          <w:tcPr>
            <w:tcW w:w="2140" w:type="dxa"/>
            <w:vAlign w:val="bottom"/>
          </w:tcPr>
          <w:p>
            <w:pPr>
              <w:spacing w:after="0"/>
              <w:rPr>
                <w:sz w:val="20"/>
                <w:szCs w:val="20"/>
                <w:color w:val="auto"/>
              </w:rPr>
            </w:pPr>
          </w:p>
        </w:tc>
        <w:tc>
          <w:tcPr>
            <w:tcW w:w="454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8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58" w:lineRule="exact"/>
        <w:rPr>
          <w:rFonts w:ascii="MS PGothic" w:cs="MS PGothic" w:eastAsia="MS PGothic" w:hAnsi="MS PGothic"/>
          <w:sz w:val="22"/>
          <w:szCs w:val="22"/>
          <w:color w:val="auto"/>
        </w:rPr>
      </w:pPr>
    </w:p>
    <w:p>
      <w:pPr>
        <w:ind w:right="3120" w:firstLine="8"/>
        <w:spacing w:after="0" w:line="520"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66"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92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900"/>
        <w:spacing w:after="0" w:line="301" w:lineRule="exact"/>
        <w:tabs>
          <w:tab w:leader="none" w:pos="109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30"/>
          <w:szCs w:val="30"/>
          <w:color w:val="auto"/>
          <w:vertAlign w:val="subscript"/>
        </w:rPr>
        <w:t>☐</w:t>
      </w:r>
    </w:p>
    <w:p>
      <w:pPr>
        <w:spacing w:after="0" w:line="3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p>
      <w:pPr>
        <w:ind w:left="1094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5.05 Amendments to Registrant's Code of Ethics, or Waiver of a Provision of the Code of Ethics</w:t>
      </w:r>
    </w:p>
    <w:p>
      <w:pPr>
        <w:spacing w:after="0" w:line="39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On January 13, 2020, LivaNova PLC (the “Company”), with approval from the Board of Directors, published a revised Code of Conduct (the “Code”) which applies to all directors, officers and employees of the Company. The existing code was refreshed to reflect current best practices and create a more functional and all-inclusive document. The adoption of the Code did not relate to or result in any waiver, whether explicit or implicit, of any provision of the existing code.</w:t>
      </w:r>
    </w:p>
    <w:p>
      <w:pPr>
        <w:spacing w:after="0" w:line="205"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In addition to conforming the Code to enhance Company personnel’s understanding of the Company’s standards of ethical business practices, the updates include an introduction to the Company’s values; improve clarity as to how to address ethical issues that may arise; guide interactions with patients and healthcare professionals; and provide information surrounding our marketing and promotional practices.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 copy of the new Code is posted on the Company's website at </w:t>
      </w:r>
      <w:r>
        <w:rPr>
          <w:rFonts w:ascii="Arial" w:cs="Arial" w:eastAsia="Arial" w:hAnsi="Arial"/>
          <w:sz w:val="20"/>
          <w:szCs w:val="20"/>
          <w:u w:val="single" w:color="auto"/>
          <w:color w:val="0563C1"/>
        </w:rPr>
        <w:t>www.livanova.com</w:t>
      </w:r>
      <w:r>
        <w:rPr>
          <w:rFonts w:ascii="Arial" w:cs="Arial" w:eastAsia="Arial" w:hAnsi="Arial"/>
          <w:sz w:val="20"/>
          <w:szCs w:val="20"/>
          <w:color w:val="auto"/>
        </w:rPr>
        <w:t xml:space="preserve"> in the Investor section.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auto"/>
        </w:rPr>
        <w:t>The contents of the Company’s website are not incorporated by reference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80"/>
          </w:cols>
          <w:pgMar w:left="240" w:top="387"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January 17, 2020</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Keyna Skeffington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SVP &amp; General Counsel</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3</w:t>
      </w:r>
    </w:p>
    <w:sectPr>
      <w:pgSz w:w="11900" w:h="16838" w:orient="portrait"/>
      <w:cols w:equalWidth="0" w:num="1">
        <w:col w:w="11000"/>
      </w:cols>
      <w:pgMar w:left="240" w:top="337"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2020-01-17T13:37:28Z</dcterms:created>
  <dcterms:modified xsi:type="dcterms:W3CDTF">2020-01-17T13:37:28Z</dcterms:modified>
</cp:coreProperties>
</file>