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Bianchi Francesco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0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8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1,048</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06/15/2018</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1,048</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2,763</w:t>
            </w:r>
          </w:p>
        </w:tc>
        <w:tc>
          <w:tcPr>
            <w:tcW w:w="7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40" w:right="5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was granted RSUs that vest and all forfeiture restrictions thereon shall lapse on June 15, 2019. The RSUs are subject to forfeiture prior to vesting in accordance with the terms of the LivaNova PLC 2015 Incentive Award Plan and the award agreement.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Sarah K. Mohr POA</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06/19/2018</w:t>
            </w:r>
          </w:p>
        </w:tc>
      </w:tr>
      <w:tr>
        <w:trPr>
          <w:trHeight w:val="20"/>
        </w:trPr>
        <w:tc>
          <w:tcPr>
            <w:tcW w:w="1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60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2019-12-08T13:17:01Z</dcterms:created>
  <dcterms:modified xsi:type="dcterms:W3CDTF">2019-12-08T13:17:01Z</dcterms:modified>
</cp:coreProperties>
</file>