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November 1, 2023 </w:t>
      </w:r>
    </w:p>
    <w:p>
      <w:pPr>
        <w:pStyle w:val="TextBody"/>
        <w:bidi w:val="0"/>
        <w:spacing w:before="0" w:after="0"/>
        <w:jc w:val="center"/>
        <w:rPr/>
      </w:pPr>
      <w:r>
        <w:rPr/>
      </w:r>
    </w:p>
    <w:p>
      <w:pPr>
        <w:pStyle w:val="TextBody"/>
        <w:bidi w:val="0"/>
        <w:spacing w:before="0" w:after="0"/>
        <w:jc w:val="center"/>
        <w:rPr/>
      </w:pPr>
      <w:r>
        <w:rPr/>
        <w:drawing>
          <wp:inline distT="0" distB="0" distL="0" distR="0">
            <wp:extent cx="16383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5143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LivaNova PLC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827" w:type="dxa"/>
        <w:jc w:val="center"/>
        <w:tblInd w:w="0" w:type="dxa"/>
        <w:tblLayout w:type="fixed"/>
        <w:tblCellMar>
          <w:top w:w="28" w:type="dxa"/>
          <w:left w:w="28" w:type="dxa"/>
          <w:bottom w:w="28" w:type="dxa"/>
          <w:right w:w="28" w:type="dxa"/>
        </w:tblCellMar>
      </w:tblPr>
      <w:tblGrid>
        <w:gridCol w:w="830"/>
        <w:gridCol w:w="731"/>
        <w:gridCol w:w="734"/>
        <w:gridCol w:w="109"/>
        <w:gridCol w:w="109"/>
        <w:gridCol w:w="109"/>
        <w:gridCol w:w="408"/>
        <w:gridCol w:w="408"/>
        <w:gridCol w:w="413"/>
        <w:gridCol w:w="109"/>
        <w:gridCol w:w="109"/>
        <w:gridCol w:w="109"/>
        <w:gridCol w:w="481"/>
        <w:gridCol w:w="481"/>
        <w:gridCol w:w="687"/>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England and Wales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001-37599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98-1268150</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w:t>
              <w:br/>
              <w:t>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20 Eastbourne Terrace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London, W2 6LG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Kingdom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+44 20 33250660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is intended to simultaneously satisfy the filing obligation of the registrant under any of the following provisions (see General Instructions A.2. below):</w:t>
      </w:r>
    </w:p>
    <w:p>
      <w:pPr>
        <w:pStyle w:val="TextBody"/>
        <w:bidi w:val="0"/>
        <w:spacing w:before="0" w:after="0"/>
        <w:jc w:val="left"/>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53" w:type="dxa"/>
        <w:jc w:val="left"/>
        <w:tblInd w:w="0" w:type="dxa"/>
        <w:tblLayout w:type="fixed"/>
        <w:tblCellMar>
          <w:top w:w="28" w:type="dxa"/>
          <w:left w:w="28" w:type="dxa"/>
          <w:bottom w:w="28" w:type="dxa"/>
          <w:right w:w="28" w:type="dxa"/>
        </w:tblCellMar>
      </w:tblPr>
      <w:tblGrid>
        <w:gridCol w:w="1298"/>
        <w:gridCol w:w="1136"/>
        <w:gridCol w:w="1150"/>
        <w:gridCol w:w="539"/>
        <w:gridCol w:w="539"/>
        <w:gridCol w:w="541"/>
        <w:gridCol w:w="1098"/>
        <w:gridCol w:w="1098"/>
        <w:gridCol w:w="1554"/>
      </w:tblGrid>
      <w:tr>
        <w:trPr/>
        <w:tc>
          <w:tcPr>
            <w:tcW w:w="129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on each exchange on which registered</w:t>
            </w:r>
          </w:p>
        </w:tc>
      </w:tr>
      <w:tr>
        <w:trPr/>
        <w:tc>
          <w:tcPr>
            <w:tcW w:w="358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Ordinary Shares - £1.00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LIVN</w:t>
            </w:r>
          </w:p>
        </w:tc>
        <w:tc>
          <w:tcPr>
            <w:tcW w:w="375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3024" w:type="dxa"/>
        <w:jc w:val="left"/>
        <w:tblInd w:w="0" w:type="dxa"/>
        <w:tblLayout w:type="fixed"/>
        <w:tblCellMar>
          <w:top w:w="28" w:type="dxa"/>
          <w:left w:w="28" w:type="dxa"/>
          <w:bottom w:w="28" w:type="dxa"/>
          <w:right w:w="28" w:type="dxa"/>
        </w:tblCellMar>
      </w:tblPr>
      <w:tblGrid>
        <w:gridCol w:w="124"/>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On November 1, 2023, LivaNova PLC (the “Company”) issued a press release announcing financial results for the third quarter ended September 30, 2023. The Company will host a business update conference call and webcast today, November 1, 2023, at 12 p.m. London time (8 a.m. Eastern Time), during which the Company will discuss the financial results. The conference call will be available through the LivaNova website at </w:t>
      </w:r>
      <w:r>
        <w:rPr>
          <w:rFonts w:ascii="Times New Roman;sans-serif" w:hAnsi="Times New Roman;sans-serif"/>
          <w:b w:val="false"/>
          <w:color w:val="3051F2"/>
          <w:sz w:val="20"/>
        </w:rPr>
        <w:t>www.livanova.com/events</w:t>
      </w:r>
      <w:r>
        <w:rPr>
          <w:rFonts w:ascii="Times New Roman;sans-serif" w:hAnsi="Times New Roman;sans-serif"/>
          <w:b w:val="false"/>
          <w:color w:val="000000"/>
          <w:sz w:val="2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bidi w:val="0"/>
        <w:spacing w:before="0" w:after="0"/>
        <w:jc w:val="left"/>
        <w:rPr/>
      </w:pPr>
      <w:r>
        <w:rPr/>
      </w:r>
    </w:p>
    <w:tbl>
      <w:tblPr>
        <w:tblW w:w="767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023earningspressrelease.htm">
              <w:r>
                <w:rPr>
                  <w:rStyle w:val="InternetLink"/>
                  <w:rFonts w:ascii="Times New Roman;sans-serif" w:hAnsi="Times New Roman;sans-serif"/>
                  <w:b w:val="false"/>
                  <w:color w:val="0000FF"/>
                  <w:sz w:val="20"/>
                  <w:u w:val="single"/>
                </w:rPr>
                <w:t>Press Release of LivaNova PLC dated November 1, 2023</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569" w:type="dxa"/>
        <w:jc w:val="left"/>
        <w:tblInd w:w="0" w:type="dxa"/>
        <w:tblLayout w:type="fixed"/>
        <w:tblCellMar>
          <w:top w:w="28" w:type="dxa"/>
          <w:left w:w="28" w:type="dxa"/>
          <w:bottom w:w="28" w:type="dxa"/>
          <w:right w:w="28" w:type="dxa"/>
        </w:tblCellMar>
      </w:tblPr>
      <w:tblGrid>
        <w:gridCol w:w="759"/>
        <w:gridCol w:w="668"/>
        <w:gridCol w:w="672"/>
        <w:gridCol w:w="1306"/>
        <w:gridCol w:w="1306"/>
        <w:gridCol w:w="185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 PLC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November 1, 2023</w:t>
            </w:r>
          </w:p>
        </w:tc>
        <w:tc>
          <w:tcPr>
            <w:tcW w:w="447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Michael Hutchinson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 Michael Hutchinson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Title: SVP, Company Secretary &amp; Chief Legal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Franklin Gothic Demi;sans-serif" w:hAnsi="Franklin Gothic Demi;sans-serif"/>
          <w:b/>
          <w:color w:val="000000"/>
          <w:sz w:val="22"/>
          <w:u w:val="single"/>
        </w:rPr>
      </w:pPr>
      <w:r>
        <w:rPr>
          <w:rFonts w:ascii="Franklin Gothic Demi;sans-serif" w:hAnsi="Franklin Gothic Demi;sans-serif"/>
          <w:b/>
          <w:color w:val="000000"/>
          <w:sz w:val="22"/>
          <w:u w:val="single"/>
        </w:rPr>
        <w:t>EXHIBIT 99.1</w:t>
      </w:r>
    </w:p>
    <w:p>
      <w:pPr>
        <w:pStyle w:val="TextBody"/>
        <w:bidi w:val="0"/>
        <w:spacing w:before="0" w:after="0"/>
        <w:jc w:val="right"/>
        <w:rPr/>
      </w:pPr>
      <w:r>
        <w:rPr/>
      </w:r>
    </w:p>
    <w:p>
      <w:pPr>
        <w:pStyle w:val="TextBody"/>
        <w:bidi w:val="0"/>
        <w:spacing w:lineRule="auto" w:line="288" w:before="0" w:after="0"/>
        <w:jc w:val="left"/>
        <w:rPr/>
      </w:pPr>
      <w:r>
        <w:rPr/>
        <w:drawing>
          <wp:inline distT="0" distB="0" distL="0" distR="0">
            <wp:extent cx="1866900" cy="533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866900" cy="5334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Franklin Gothic Demi;sans-serif" w:hAnsi="Franklin Gothic Demi;sans-serif"/>
          <w:b w:val="false"/>
          <w:color w:val="6D2077"/>
          <w:sz w:val="22"/>
        </w:rPr>
      </w:pPr>
      <w:r>
        <w:rPr>
          <w:rFonts w:ascii="Franklin Gothic Demi;sans-serif" w:hAnsi="Franklin Gothic Demi;sans-serif"/>
          <w:b w:val="false"/>
          <w:color w:val="6D2077"/>
          <w:sz w:val="22"/>
        </w:rPr>
        <w:t>NEWS RELEASE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240"/>
        <w:jc w:val="center"/>
        <w:rPr>
          <w:rFonts w:ascii="Franklin Gothic Demi;sans-serif" w:hAnsi="Franklin Gothic Demi;sans-serif"/>
          <w:b w:val="false"/>
          <w:color w:val="6D2077"/>
          <w:sz w:val="32"/>
        </w:rPr>
      </w:pPr>
      <w:r>
        <w:rPr>
          <w:rFonts w:ascii="Franklin Gothic Demi;sans-serif" w:hAnsi="Franklin Gothic Demi;sans-serif"/>
          <w:b w:val="false"/>
          <w:color w:val="6D2077"/>
          <w:sz w:val="32"/>
        </w:rPr>
        <w:t>LivaNova Reports Third-Quarter 2023 Results</w:t>
      </w:r>
    </w:p>
    <w:p>
      <w:pPr>
        <w:pStyle w:val="TextBody"/>
        <w:bidi w:val="0"/>
        <w:spacing w:before="0" w:after="0"/>
        <w:jc w:val="center"/>
        <w:rPr/>
      </w:pPr>
      <w:r>
        <w:rPr/>
      </w:r>
    </w:p>
    <w:p>
      <w:pPr>
        <w:pStyle w:val="TextBody"/>
        <w:bidi w:val="0"/>
        <w:spacing w:lineRule="auto" w:line="417" w:before="120" w:after="240"/>
        <w:jc w:val="both"/>
        <w:rPr/>
      </w:pPr>
      <w:r>
        <w:rPr>
          <w:rFonts w:ascii="Franklin Gothic Book;sans-serif" w:hAnsi="Franklin Gothic Book;sans-serif"/>
          <w:b/>
          <w:color w:val="000000"/>
          <w:sz w:val="22"/>
        </w:rPr>
        <w:t>London, November 1, 2023 –</w:t>
      </w:r>
      <w:r>
        <w:rPr>
          <w:color w:val="000000"/>
        </w:rPr>
        <w:t xml:space="preserve"> </w:t>
      </w:r>
      <w:r>
        <w:rPr>
          <w:rFonts w:ascii="Franklin Gothic Book;sans-serif" w:hAnsi="Franklin Gothic Book;sans-serif"/>
          <w:b w:val="false"/>
          <w:color w:val="000000"/>
          <w:sz w:val="22"/>
        </w:rPr>
        <w:t xml:space="preserve">LivaNova PLC (Nasdaq: LIVN), a market-leading medical technology company, today reported results for the quarter ended September 30, 2023 and raised full-year 2023 revenue and adjusted diluted earnings per share guidance. </w:t>
      </w:r>
    </w:p>
    <w:p>
      <w:pPr>
        <w:pStyle w:val="TextBody"/>
        <w:bidi w:val="0"/>
        <w:spacing w:lineRule="auto" w:line="288" w:before="120" w:after="240"/>
        <w:jc w:val="both"/>
        <w:rPr/>
      </w:pPr>
      <w:r>
        <w:rPr>
          <w:rFonts w:ascii="Franklin Gothic Book;sans-serif" w:hAnsi="Franklin Gothic Book;sans-serif"/>
          <w:b/>
          <w:color w:val="000000"/>
          <w:sz w:val="22"/>
          <w:u w:val="single"/>
        </w:rPr>
        <w:t>Financial Summary and Highlights</w:t>
      </w:r>
      <w:r>
        <w:rPr>
          <w:rFonts w:ascii="Franklin Gothic Book;sans-serif" w:hAnsi="Franklin Gothic Book;sans-serif"/>
          <w:b/>
          <w:color w:val="000000"/>
          <w:sz w:val="14"/>
        </w:rPr>
        <w:t>1</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Third-quarter revenue of $286.1 million increased 13.3% on a reported basis and increased 12.1% on a constant-currency basis, as compared to the prior-year period</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Third-quarter U.S. GAAP diluted loss per share was $0.14 and adjusted diluted earnings per share was $0.73</w:t>
      </w:r>
    </w:p>
    <w:p>
      <w:pPr>
        <w:pStyle w:val="TextBody"/>
        <w:bidi w:val="0"/>
        <w:spacing w:lineRule="auto" w:line="312" w:before="140" w:after="120"/>
        <w:ind w:left="0" w:right="0" w:hanging="270"/>
        <w:jc w:val="both"/>
        <w:rPr/>
      </w:pPr>
      <w:r>
        <w:rPr>
          <w:color w:val="000000"/>
        </w:rPr>
        <w:t>•</w:t>
      </w:r>
      <w:r>
        <w:rPr>
          <w:rFonts w:ascii="Franklin Gothic Book;sans-serif" w:hAnsi="Franklin Gothic Book;sans-serif"/>
          <w:b w:val="false"/>
          <w:color w:val="000000"/>
          <w:sz w:val="22"/>
        </w:rPr>
        <w:t>Received U.S. FDA 510(k) clearance and CE Mark for its Essenz</w:t>
      </w:r>
      <w:r>
        <w:rPr>
          <w:rFonts w:ascii="Franklin Gothic Book;sans-serif" w:hAnsi="Franklin Gothic Book;sans-serif"/>
          <w:b w:val="false"/>
          <w:color w:val="000000"/>
          <w:sz w:val="14"/>
        </w:rPr>
        <w:t>TM</w:t>
      </w:r>
      <w:r>
        <w:rPr>
          <w:color w:val="000000"/>
        </w:rPr>
        <w:t xml:space="preserve"> </w:t>
      </w:r>
      <w:r>
        <w:rPr>
          <w:rFonts w:ascii="Franklin Gothic Book;sans-serif" w:hAnsi="Franklin Gothic Book;sans-serif"/>
          <w:b w:val="false"/>
          <w:color w:val="000000"/>
          <w:sz w:val="22"/>
        </w:rPr>
        <w:t xml:space="preserve">In-Line Blood Monitor </w:t>
      </w:r>
    </w:p>
    <w:p>
      <w:pPr>
        <w:pStyle w:val="TextBody"/>
        <w:bidi w:val="0"/>
        <w:spacing w:lineRule="auto" w:line="417" w:before="420" w:after="240"/>
        <w:jc w:val="both"/>
        <w:rPr>
          <w:color w:val="000000"/>
        </w:rPr>
      </w:pPr>
      <w:r>
        <w:rPr>
          <w:color w:val="000000"/>
        </w:rPr>
        <w:t>“</w:t>
      </w:r>
      <w:r>
        <w:rPr>
          <w:rFonts w:ascii="Franklin Gothic Book;sans-serif" w:hAnsi="Franklin Gothic Book;sans-serif"/>
          <w:b w:val="false"/>
          <w:color w:val="000000"/>
          <w:sz w:val="22"/>
        </w:rPr>
        <w:t>LivaNova delivered double-digit revenue growth across all regions, improved profitability and achieved important clearances for the Essenz In-Line Blood Monitor in the third quarter,” said Bill Kozy, Interim Chief Executive Officer and Board Chair of LivaNova. "Our performance reflects strong execution throughout the organization as demonstrated in all three Business Units. We look forward to building on these results with a firm focus on patients and performance in the fourth quarter and in 2024."</w:t>
      </w:r>
    </w:p>
    <w:p>
      <w:pPr>
        <w:pStyle w:val="TextBody"/>
        <w:bidi w:val="0"/>
        <w:spacing w:before="420" w:after="240"/>
        <w:jc w:val="both"/>
        <w:rPr/>
      </w:pPr>
      <w:r>
        <w:rPr/>
      </w:r>
    </w:p>
    <w:p>
      <w:pPr>
        <w:pStyle w:val="TextBody"/>
        <w:bidi w:val="0"/>
        <w:spacing w:before="420" w:after="240"/>
        <w:jc w:val="both"/>
        <w:rPr/>
      </w:pPr>
      <w:r>
        <w:rPr/>
      </w:r>
    </w:p>
    <w:p>
      <w:pPr>
        <w:pStyle w:val="TextBody"/>
        <w:bidi w:val="0"/>
        <w:spacing w:before="420" w:after="240"/>
        <w:jc w:val="both"/>
        <w:rPr/>
      </w:pPr>
      <w:r>
        <w:rPr/>
      </w:r>
    </w:p>
    <w:p>
      <w:pPr>
        <w:pStyle w:val="TextBody"/>
        <w:bidi w:val="0"/>
        <w:spacing w:lineRule="auto" w:line="288"/>
        <w:jc w:val="left"/>
        <w:rPr/>
      </w:pPr>
      <w:r>
        <w:rPr>
          <w:rFonts w:ascii="Franklin Gothic Book;sans-serif" w:hAnsi="Franklin Gothic Book;sans-serif"/>
          <w:b w:val="false"/>
          <w:color w:val="000000"/>
          <w:sz w:val="8"/>
        </w:rPr>
        <w:t>1</w:t>
      </w:r>
      <w:r>
        <w:rPr>
          <w:color w:val="000000"/>
        </w:rPr>
        <w:t xml:space="preserve"> </w:t>
      </w:r>
      <w:r>
        <w:rPr>
          <w:rFonts w:ascii="Franklin Gothic Book;sans-serif" w:hAnsi="Franklin Gothic Book;sans-serif"/>
          <w:b w:val="false"/>
          <w:color w:val="000000"/>
          <w:sz w:val="12"/>
        </w:rPr>
        <w:t>Constant-currency percent change, adjusted operating income, adjusted diluted earnings per share and adjusted free cash flow are non-GAAP measures. For an explanation of these and other non-GAAP measures used in this release, see the section entitled "Use of Non-GAAP Financial Measures." For reconciliations of certain non-GAAP measures, see the tables that accompany this press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60705"/>
                <wp:effectExtent l="0" t="0" r="0" b="0"/>
                <wp:wrapNone/>
                <wp:docPr id="6" name="Frame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420" w:after="240"/>
        <w:jc w:val="both"/>
        <w:rPr>
          <w:rFonts w:ascii="Franklin Gothic Book;sans-serif" w:hAnsi="Franklin Gothic Book;sans-serif"/>
          <w:b/>
          <w:color w:val="000000"/>
          <w:sz w:val="22"/>
          <w:u w:val="single"/>
        </w:rPr>
      </w:pPr>
      <w:r>
        <w:rPr>
          <w:rFonts w:ascii="Franklin Gothic Book;sans-serif" w:hAnsi="Franklin Gothic Book;sans-serif"/>
          <w:b/>
          <w:color w:val="000000"/>
          <w:sz w:val="22"/>
          <w:u w:val="single"/>
        </w:rPr>
        <w:t>Third-Quarter 2023 Results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The following table summarizes revenue for the third quarter of 2023 by segment (in millions):</w:t>
      </w:r>
    </w:p>
    <w:tbl>
      <w:tblPr>
        <w:tblW w:w="10205" w:type="dxa"/>
        <w:jc w:val="left"/>
        <w:tblInd w:w="0" w:type="dxa"/>
        <w:tblLayout w:type="fixed"/>
        <w:tblCellMar>
          <w:top w:w="28" w:type="dxa"/>
          <w:left w:w="28" w:type="dxa"/>
          <w:bottom w:w="28" w:type="dxa"/>
          <w:right w:w="28" w:type="dxa"/>
        </w:tblCellMar>
      </w:tblPr>
      <w:tblGrid>
        <w:gridCol w:w="961"/>
        <w:gridCol w:w="845"/>
        <w:gridCol w:w="850"/>
        <w:gridCol w:w="109"/>
        <w:gridCol w:w="109"/>
        <w:gridCol w:w="109"/>
        <w:gridCol w:w="353"/>
        <w:gridCol w:w="353"/>
        <w:gridCol w:w="257"/>
        <w:gridCol w:w="233"/>
        <w:gridCol w:w="233"/>
        <w:gridCol w:w="233"/>
        <w:gridCol w:w="353"/>
        <w:gridCol w:w="353"/>
        <w:gridCol w:w="258"/>
        <w:gridCol w:w="109"/>
        <w:gridCol w:w="109"/>
        <w:gridCol w:w="109"/>
        <w:gridCol w:w="295"/>
        <w:gridCol w:w="295"/>
        <w:gridCol w:w="776"/>
        <w:gridCol w:w="109"/>
        <w:gridCol w:w="109"/>
        <w:gridCol w:w="109"/>
        <w:gridCol w:w="509"/>
        <w:gridCol w:w="509"/>
        <w:gridCol w:w="1558"/>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2"/>
              </w:rPr>
            </w:pPr>
            <w:r>
              <w:rPr>
                <w:rFonts w:ascii="Franklin Gothic Book;sans-serif" w:hAnsi="Franklin Gothic Book;sans-serif"/>
                <w:b/>
                <w:color w:val="000000"/>
                <w:sz w:val="22"/>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Franklin Gothic Book;sans-serif" w:hAnsi="Franklin Gothic Book;sans-serif"/>
                <w:b/>
                <w:color w:val="000000"/>
                <w:sz w:val="22"/>
              </w:rPr>
            </w:pPr>
            <w:r>
              <w:rPr>
                <w:rFonts w:ascii="Franklin Gothic Book;sans-serif" w:hAnsi="Franklin Gothic Book;sans-serif"/>
                <w:b/>
                <w:color w:val="000000"/>
                <w:sz w:val="22"/>
              </w:rPr>
              <w:t xml:space="preserve">Constant-Currency </w:t>
            </w:r>
          </w:p>
          <w:p>
            <w:pPr>
              <w:pStyle w:val="TableContents"/>
              <w:bidi w:val="0"/>
              <w:spacing w:lineRule="auto" w:line="240" w:before="0" w:after="0"/>
              <w:jc w:val="center"/>
              <w:rPr/>
            </w:pPr>
            <w:r>
              <w:rPr>
                <w:rFonts w:ascii="Franklin Gothic Book;sans-serif" w:hAnsi="Franklin Gothic Book;sans-serif"/>
                <w:b/>
                <w:color w:val="000000"/>
                <w:sz w:val="22"/>
              </w:rPr>
              <w:t>% Change</w:t>
            </w:r>
            <w:r>
              <w:rPr>
                <w:rFonts w:ascii="Franklin Gothic Book;sans-serif" w:hAnsi="Franklin Gothic Book;sans-serif"/>
                <w:b/>
                <w:color w:val="000000"/>
                <w:sz w:val="14"/>
              </w:rPr>
              <w:t>2</w:t>
            </w:r>
          </w:p>
        </w:tc>
      </w:tr>
      <w:tr>
        <w:trPr/>
        <w:tc>
          <w:tcPr>
            <w:tcW w:w="2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$144.8</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19.7 </w:t>
            </w:r>
          </w:p>
        </w:tc>
        <w:tc>
          <w:tcPr>
            <w:tcW w:w="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18.1 </w:t>
            </w:r>
          </w:p>
        </w:tc>
        <w:tc>
          <w:tcPr>
            <w:tcW w:w="1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128.9 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121.8 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5.8 </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5.2 </w:t>
            </w:r>
          </w:p>
        </w:tc>
        <w:tc>
          <w:tcPr>
            <w:tcW w:w="155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Advanced Circulatory Support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8.6 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26.8 </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26.6 </w:t>
            </w:r>
          </w:p>
        </w:tc>
        <w:tc>
          <w:tcPr>
            <w:tcW w:w="155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23.7 </w:t>
            </w:r>
          </w:p>
        </w:tc>
        <w:tc>
          <w:tcPr>
            <w:tcW w:w="7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14.4 </w:t>
            </w:r>
          </w:p>
        </w:tc>
        <w:tc>
          <w:tcPr>
            <w:tcW w:w="155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65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Net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$286.1</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13.3 </w:t>
            </w:r>
          </w:p>
        </w:tc>
        <w:tc>
          <w:tcPr>
            <w:tcW w:w="7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12.1 </w:t>
            </w:r>
          </w:p>
        </w:tc>
        <w:tc>
          <w:tcPr>
            <w:tcW w:w="15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bl>
    <w:p>
      <w:pPr>
        <w:pStyle w:val="TextBody"/>
        <w:bidi w:val="0"/>
        <w:spacing w:lineRule="auto" w:line="288" w:before="60" w:after="283"/>
        <w:ind w:left="0" w:right="0" w:hanging="270"/>
        <w:jc w:val="both"/>
        <w:rPr/>
      </w:pPr>
      <w:r>
        <w:rPr>
          <w:color w:val="000000"/>
        </w:rPr>
        <w:t>•</w:t>
      </w:r>
      <w:r>
        <w:rPr>
          <w:rFonts w:ascii="Franklin Gothic Book;sans-serif" w:hAnsi="Franklin Gothic Book;sans-serif"/>
          <w:b w:val="false"/>
          <w:color w:val="000000"/>
          <w:sz w:val="18"/>
        </w:rPr>
        <w:t>Numbers may not add precisely due to rounding.</w:t>
      </w:r>
    </w:p>
    <w:p>
      <w:pPr>
        <w:pStyle w:val="TextBody"/>
        <w:bidi w:val="0"/>
        <w:spacing w:before="60" w:after="283"/>
        <w:jc w:val="both"/>
        <w:rPr/>
      </w:pPr>
      <w:r>
        <w:rPr/>
      </w:r>
    </w:p>
    <w:p>
      <w:pPr>
        <w:pStyle w:val="TextBody"/>
        <w:bidi w:val="0"/>
        <w:spacing w:lineRule="auto" w:line="417" w:before="120" w:after="240"/>
        <w:jc w:val="both"/>
        <w:rPr/>
      </w:pPr>
      <w:r>
        <w:rPr>
          <w:rFonts w:ascii="Franklin Gothic Book;sans-serif" w:hAnsi="Franklin Gothic Book;sans-serif"/>
          <w:b/>
          <w:color w:val="000000"/>
          <w:sz w:val="22"/>
        </w:rPr>
        <w:t>Cardiopulmonary</w:t>
      </w:r>
      <w:r>
        <w:rPr>
          <w:color w:val="000000"/>
        </w:rPr>
        <w:t xml:space="preserve"> </w:t>
      </w:r>
      <w:r>
        <w:rPr>
          <w:rFonts w:ascii="Franklin Gothic Book;sans-serif" w:hAnsi="Franklin Gothic Book;sans-serif"/>
          <w:b w:val="false"/>
          <w:color w:val="000000"/>
          <w:sz w:val="22"/>
        </w:rPr>
        <w:t>revenue increased 19.7% on a reported basis and increased 18.1%</w:t>
      </w:r>
      <w:r>
        <w:rPr>
          <w:rFonts w:ascii="Franklin Gothic Book;sans-serif" w:hAnsi="Franklin Gothic Book;sans-serif"/>
          <w:b w:val="false"/>
          <w:color w:val="000000"/>
          <w:sz w:val="14"/>
        </w:rPr>
        <w:t>2</w:t>
      </w:r>
      <w:r>
        <w:rPr>
          <w:color w:val="000000"/>
        </w:rPr>
        <w:t xml:space="preserve"> </w:t>
      </w:r>
      <w:r>
        <w:rPr>
          <w:rFonts w:ascii="Franklin Gothic Book;sans-serif" w:hAnsi="Franklin Gothic Book;sans-serif"/>
          <w:b w:val="false"/>
          <w:color w:val="000000"/>
          <w:sz w:val="22"/>
        </w:rPr>
        <w:t>on a constant-currency basis versus the third quarter of 2022 with growth across all regions, driven by increased heart-lung machine placements, including Essenz</w:t>
      </w:r>
      <w:r>
        <w:rPr>
          <w:rFonts w:ascii="Franklin Gothic Book;sans-serif" w:hAnsi="Franklin Gothic Book;sans-serif"/>
          <w:b w:val="false"/>
          <w:color w:val="000000"/>
          <w:sz w:val="14"/>
        </w:rPr>
        <w:t xml:space="preserve">TM </w:t>
      </w:r>
      <w:r>
        <w:rPr>
          <w:rFonts w:ascii="Franklin Gothic Book;sans-serif" w:hAnsi="Franklin Gothic Book;sans-serif"/>
          <w:b w:val="false"/>
          <w:color w:val="000000"/>
          <w:sz w:val="22"/>
        </w:rPr>
        <w:t>Perfusion System installations in the U.S. and Europe, and strong oxygenator demand.</w:t>
      </w:r>
    </w:p>
    <w:p>
      <w:pPr>
        <w:pStyle w:val="TextBody"/>
        <w:bidi w:val="0"/>
        <w:spacing w:lineRule="auto" w:line="417" w:before="120" w:after="240"/>
        <w:jc w:val="both"/>
        <w:rPr/>
      </w:pPr>
      <w:r>
        <w:rPr>
          <w:rFonts w:ascii="Franklin Gothic Book;sans-serif" w:hAnsi="Franklin Gothic Book;sans-serif"/>
          <w:b/>
          <w:color w:val="000000"/>
          <w:sz w:val="22"/>
        </w:rPr>
        <w:t>Neuromodulation</w:t>
      </w:r>
      <w:r>
        <w:rPr>
          <w:color w:val="000000"/>
        </w:rPr>
        <w:t xml:space="preserve"> </w:t>
      </w:r>
      <w:r>
        <w:rPr>
          <w:rFonts w:ascii="Franklin Gothic Book;sans-serif" w:hAnsi="Franklin Gothic Book;sans-serif"/>
          <w:b w:val="false"/>
          <w:color w:val="000000"/>
          <w:sz w:val="22"/>
        </w:rPr>
        <w:t>revenue increased 5.8% on a reported basis and increased 5.2%</w:t>
      </w:r>
      <w:r>
        <w:rPr>
          <w:rFonts w:ascii="Franklin Gothic Book;sans-serif" w:hAnsi="Franklin Gothic Book;sans-serif"/>
          <w:b w:val="false"/>
          <w:color w:val="000000"/>
          <w:sz w:val="14"/>
        </w:rPr>
        <w:t>2</w:t>
      </w:r>
      <w:r>
        <w:rPr>
          <w:color w:val="000000"/>
        </w:rPr>
        <w:t xml:space="preserve"> </w:t>
      </w:r>
      <w:r>
        <w:rPr>
          <w:rFonts w:ascii="Franklin Gothic Book;sans-serif" w:hAnsi="Franklin Gothic Book;sans-serif"/>
          <w:b w:val="false"/>
          <w:color w:val="000000"/>
          <w:sz w:val="22"/>
        </w:rPr>
        <w:t>on a constant-currency basis versus the third quarter of 2022 with growth in the U.S. and Europe regions.</w:t>
      </w:r>
    </w:p>
    <w:p>
      <w:pPr>
        <w:pStyle w:val="TextBody"/>
        <w:bidi w:val="0"/>
        <w:spacing w:lineRule="auto" w:line="417" w:before="120" w:after="240"/>
        <w:jc w:val="both"/>
        <w:rPr/>
      </w:pPr>
      <w:r>
        <w:rPr>
          <w:rFonts w:ascii="Franklin Gothic Book;sans-serif" w:hAnsi="Franklin Gothic Book;sans-serif"/>
          <w:b/>
          <w:color w:val="000000"/>
          <w:sz w:val="22"/>
        </w:rPr>
        <w:t>Advanced Circulatory Support (ACS)</w:t>
      </w:r>
      <w:r>
        <w:rPr>
          <w:color w:val="000000"/>
        </w:rPr>
        <w:t xml:space="preserve"> </w:t>
      </w:r>
      <w:r>
        <w:rPr>
          <w:rFonts w:ascii="Franklin Gothic Book;sans-serif" w:hAnsi="Franklin Gothic Book;sans-serif"/>
          <w:b w:val="false"/>
          <w:color w:val="000000"/>
          <w:sz w:val="22"/>
        </w:rPr>
        <w:t>revenue increased 26.8% on a reported basis and increased 26.6%</w:t>
      </w:r>
      <w:r>
        <w:rPr>
          <w:rFonts w:ascii="Franklin Gothic Book;sans-serif" w:hAnsi="Franklin Gothic Book;sans-serif"/>
          <w:b w:val="false"/>
          <w:color w:val="000000"/>
          <w:sz w:val="14"/>
        </w:rPr>
        <w:t xml:space="preserve">2 </w:t>
      </w:r>
      <w:r>
        <w:rPr>
          <w:rFonts w:ascii="Franklin Gothic Book;sans-serif" w:hAnsi="Franklin Gothic Book;sans-serif"/>
          <w:b w:val="false"/>
          <w:color w:val="000000"/>
          <w:sz w:val="22"/>
        </w:rPr>
        <w:t>on a constant-currency basis versus the third quarter of 2022, driven by an increase in case volumes.</w:t>
      </w:r>
    </w:p>
    <w:p>
      <w:pPr>
        <w:pStyle w:val="TextBody"/>
        <w:bidi w:val="0"/>
        <w:spacing w:lineRule="auto" w:line="417" w:before="120" w:after="240"/>
        <w:jc w:val="both"/>
        <w:rPr>
          <w:rFonts w:ascii="Franklin Gothic Book;sans-serif" w:hAnsi="Franklin Gothic Book;sans-serif"/>
          <w:b/>
          <w:i/>
          <w:color w:val="000000"/>
          <w:sz w:val="22"/>
        </w:rPr>
      </w:pPr>
      <w:r>
        <w:rPr>
          <w:rFonts w:ascii="Franklin Gothic Book;sans-serif" w:hAnsi="Franklin Gothic Book;sans-serif"/>
          <w:b/>
          <w:i/>
          <w:color w:val="000000"/>
          <w:sz w:val="22"/>
        </w:rPr>
        <w:t>Earnings Analysis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On a U.S. GAAP basis, third-quarter 2023 operating income was $4.5 million, as compared to an operating loss of $132.0 million for the third quarter of 2022. Adjusted operating income for the third quarter of 2023 was $45.0 million, as compared to adjusted operating income of $36.6 million for the third quarter of 2022.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On a U.S. GAAP basis, third-quarter 2023 diluted loss per share was $0.14, as compared to diluted loss per share of $2.01 in the third quarter of 2022. Third-quarter 2023 adjusted diluted earnings per share was $0.73, as compared to adjusted diluted earnings per share of $0.58 in the third quarter of 2022.</w:t>
      </w:r>
    </w:p>
    <w:p>
      <w:pPr>
        <w:pStyle w:val="TextBody"/>
        <w:bidi w:val="0"/>
        <w:spacing w:before="120" w:after="240"/>
        <w:jc w:val="both"/>
        <w:rPr/>
      </w:pPr>
      <w:r>
        <w:rPr/>
      </w:r>
    </w:p>
    <w:p>
      <w:pPr>
        <w:pStyle w:val="TextBody"/>
        <w:bidi w:val="0"/>
        <w:spacing w:before="120" w:after="240"/>
        <w:jc w:val="both"/>
        <w:rPr/>
      </w:pPr>
      <w:r>
        <w:rPr/>
      </w:r>
    </w:p>
    <w:p>
      <w:pPr>
        <w:pStyle w:val="TextBody"/>
        <w:bidi w:val="0"/>
        <w:spacing w:lineRule="auto" w:line="288"/>
        <w:jc w:val="left"/>
        <w:rPr/>
      </w:pPr>
      <w:r>
        <w:rPr>
          <w:rFonts w:ascii="Franklin Gothic Book;sans-serif" w:hAnsi="Franklin Gothic Book;sans-serif"/>
          <w:b w:val="false"/>
          <w:color w:val="000000"/>
          <w:sz w:val="8"/>
        </w:rPr>
        <w:t>2</w:t>
      </w:r>
      <w:r>
        <w:rPr>
          <w:color w:val="000000"/>
        </w:rPr>
        <w:t xml:space="preserve"> </w:t>
      </w:r>
      <w:r>
        <w:rPr>
          <w:rFonts w:ascii="Franklin Gothic Book;sans-serif" w:hAnsi="Franklin Gothic Book;sans-serif"/>
          <w:b w:val="false"/>
          <w:color w:val="000000"/>
          <w:sz w:val="12"/>
        </w:rPr>
        <w:t>Constant-currency percent change excludes the impact from fluctuations in the various currencies in which the Company operates as compared to reported percent change. Constant-currency percent change is a non-GAAP metric. For an explanation of this and other non-GAAP metrics used in this release, see the section entitled "Use of Non-GAAP Financial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39140"/>
                <wp:effectExtent l="0" t="0" r="0" b="0"/>
                <wp:wrapNone/>
                <wp:docPr id="7" name="Frame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pPr>
      <w:r>
        <w:rPr>
          <w:rFonts w:ascii="Franklin Gothic Book;sans-serif" w:hAnsi="Franklin Gothic Book;sans-serif"/>
          <w:b/>
          <w:color w:val="000000"/>
          <w:sz w:val="22"/>
          <w:u w:val="single"/>
        </w:rPr>
        <w:t>Full-Year 2023 Guidance</w:t>
      </w:r>
      <w:r>
        <w:rPr>
          <w:color w:val="000000"/>
        </w:rPr>
        <w:t xml:space="preserve">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LivaNova now expects revenue for full-year 2023 to grow between 9% and 11% on a constant-currency basis. Foreign currency is expected to be a 1% tailwind based on current rates.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Adjusted diluted earnings per share for 2023 is now expected to be in the range of $2.60 to $2.80, assuming a fully diluted share count of 54 million for full-year 2023. The Company now estimates that adjusted free cash flow will be in the range of $85 to $95 million.</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As discussed further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pStyle w:val="TextBody"/>
        <w:bidi w:val="0"/>
        <w:spacing w:lineRule="auto" w:line="417" w:before="120" w:after="240"/>
        <w:jc w:val="both"/>
        <w:rPr>
          <w:rFonts w:ascii="Franklin Gothic Book;sans-serif" w:hAnsi="Franklin Gothic Book;sans-serif"/>
          <w:b/>
          <w:color w:val="000000"/>
          <w:sz w:val="22"/>
          <w:u w:val="single"/>
        </w:rPr>
      </w:pPr>
      <w:r>
        <w:rPr>
          <w:rFonts w:ascii="Franklin Gothic Book;sans-serif" w:hAnsi="Franklin Gothic Book;sans-serif"/>
          <w:b/>
          <w:color w:val="000000"/>
          <w:sz w:val="22"/>
          <w:u w:val="single"/>
        </w:rPr>
        <w:t>Webcast and Conference Call Instructions</w:t>
      </w:r>
    </w:p>
    <w:p>
      <w:pPr>
        <w:pStyle w:val="TextBody"/>
        <w:bidi w:val="0"/>
        <w:spacing w:lineRule="auto" w:line="417" w:before="120" w:after="240"/>
        <w:jc w:val="both"/>
        <w:rPr/>
      </w:pPr>
      <w:r>
        <w:rPr>
          <w:rFonts w:ascii="Franklin Gothic Book;sans-serif" w:hAnsi="Franklin Gothic Book;sans-serif"/>
          <w:b w:val="false"/>
          <w:color w:val="000000"/>
          <w:sz w:val="22"/>
        </w:rPr>
        <w:t>The Company will host a live audiocast at 12 p.m. London time (8 a.m. Eastern Time) on Wednesday, November 1, 2023 that will be accessible at</w:t>
      </w:r>
      <w:r>
        <w:rPr>
          <w:color w:val="000000"/>
        </w:rPr>
        <w:t xml:space="preserve">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00000"/>
          <w:sz w:val="22"/>
        </w:rPr>
        <w:t xml:space="preserve">. Listeners should register in advance and log on approximately 10 minutes early to ensure proper setup. To listen to the conference call by telephone, dial +1 833 470 1428 (if dialing from within the U.S.) or +1 929 526 1599 (if dialing from outside the U.S.). The conference call access code is 951660. Within 24 hours of the audiocast, a replay will be available at </w:t>
      </w:r>
      <w:r>
        <w:rPr>
          <w:rFonts w:ascii="Franklin Gothic Book;sans-serif" w:hAnsi="Franklin Gothic Book;sans-serif"/>
          <w:b w:val="false"/>
          <w:color w:val="0E32E1"/>
          <w:sz w:val="22"/>
          <w:u w:val="single"/>
        </w:rPr>
        <w:t>www.livanova.com/events</w:t>
      </w:r>
      <w:r>
        <w:rPr>
          <w:rFonts w:ascii="Franklin Gothic Book;sans-serif" w:hAnsi="Franklin Gothic Book;sans-serif"/>
          <w:b w:val="false"/>
          <w:color w:val="000000"/>
          <w:sz w:val="22"/>
        </w:rPr>
        <w:t>, where it will be archived and accessible for approximately 90 days.</w:t>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About LivaNova</w:t>
      </w:r>
    </w:p>
    <w:p>
      <w:pPr>
        <w:pStyle w:val="TextBody"/>
        <w:bidi w:val="0"/>
        <w:spacing w:lineRule="auto" w:line="417" w:before="120" w:after="240"/>
        <w:jc w:val="both"/>
        <w:rPr/>
      </w:pPr>
      <w:r>
        <w:rPr>
          <w:rFonts w:ascii="Franklin Gothic Book;sans-serif" w:hAnsi="Franklin Gothic Book;sans-serif"/>
          <w:b w:val="false"/>
          <w:color w:val="000000"/>
          <w:sz w:val="22"/>
        </w:rPr>
        <w:t>LivaNova PLC is a global medical technology company built on nearly five decades of experience and a relentless commitment to provide hope for patients and their families through medical technologies, delivering life-changing improvements for both the Head and Heart. Headquartered in London, LivaNova employs approximately 2,900 employees and has a presence in more than 100 countries for the benefit of patients, healthcare professionals and healthcare systems worldwide. For more information, please visit</w:t>
      </w:r>
      <w:r>
        <w:rPr>
          <w:color w:val="0E32E1"/>
        </w:rPr>
        <w:t xml:space="preserve"> </w:t>
      </w:r>
      <w:r>
        <w:rPr>
          <w:rFonts w:ascii="Franklin Gothic Book;sans-serif" w:hAnsi="Franklin Gothic Book;sans-serif"/>
          <w:b w:val="false"/>
          <w:color w:val="0E32E1"/>
          <w:sz w:val="22"/>
          <w:u w:val="single"/>
        </w:rPr>
        <w:t>www.livanova.com</w:t>
      </w:r>
      <w:r>
        <w:rPr>
          <w:rFonts w:ascii="Franklin Gothic Book;sans-serif" w:hAnsi="Franklin Gothic Book;sans-serif"/>
          <w:b w:val="false"/>
          <w:color w:val="000000"/>
          <w:sz w:val="22"/>
        </w:rPr>
        <w:t>.</w:t>
      </w:r>
    </w:p>
    <w:p>
      <w:pPr>
        <w:pStyle w:val="TextBody"/>
        <w:bidi w:val="0"/>
        <w:spacing w:before="120" w:after="240"/>
        <w:jc w:val="both"/>
        <w:rPr/>
      </w:pPr>
      <w:r>
        <w:rPr/>
      </w:r>
    </w:p>
    <w:p>
      <w:pPr>
        <w:pStyle w:val="TextBody"/>
        <w:bidi w:val="0"/>
        <w:spacing w:before="120" w:after="240"/>
        <w:jc w:val="both"/>
        <w:rPr/>
      </w:pPr>
      <w:r>
        <w:rPr/>
      </w:r>
    </w:p>
    <w:p>
      <w:pPr>
        <w:pStyle w:val="TextBody"/>
        <w:bidi w:val="0"/>
        <w:spacing w:before="12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39140"/>
                <wp:effectExtent l="0" t="0" r="0" b="0"/>
                <wp:wrapNone/>
                <wp:docPr id="8" name="Frame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Use of Non-GAAP Financial Measures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In this press release, management has disclosed financial measurements that present financial information not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operating performance measures as prescribed by GAAP.</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Unless otherwise noted, all revenue growth rates in this release reflect comparable, constant-currency percent change. Management believes that referring to comparable, constant-currency percent change is the most useful way to evaluate the revenue performance of LivaNova and to compare the revenue performance of current periods to prior periods on a consistent basis. Constant-currency percent change, a non-GAAP financial measure, measures the change in revenue between current and prior-year periods using average exchange rates in effect during the applicable prior-year period.</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 other items such as, but not limited to, changes in fair value of derivatives and contingent consideration arrangements and asset impairment charges that would be included in comparable GAAP financial measures. The most directly comparable GAAP measure for constant-currency net revenue, non-GAAP adjusted tax rate and adjusted diluted earnings per share are net revenue, the effective tax rate and earnings per share, respectively. The most directly comparable GAAP measure for adjusted free cash flow is net cash provided by operating activities.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forward-looking GAAP financial measures and reconciliations to the most directly comparable forward-looking GAAP financial measures are not available without unreasonable effort.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9140"/>
                <wp:effectExtent l="0" t="0" r="0" b="0"/>
                <wp:wrapNone/>
                <wp:docPr id="9" name="Frame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The Company also believes adjusted financial measures such as adjusted gross profit percentage, adjusted selling, general and administrative expense, adjusted research and development expense, adjusted other operating expense, adjusted operating income, adjusted income tax expense, adjusted net income and adjusted diluted earnings per share, are measures by which LivaNova generally uses to facilitate management review of the operational performance of the company, to serve as a basis for strategic planning and to assist in the design of compensation incentive plans. Additionally, the Company also uses the non-GAAP liquidity measure adjusted free cash flow.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pStyle w:val="TextBody"/>
        <w:bidi w:val="0"/>
        <w:spacing w:lineRule="auto" w:line="417" w:before="120" w:after="240"/>
        <w:jc w:val="both"/>
        <w:rPr>
          <w:rFonts w:ascii="Franklin Gothic Demi;sans-serif" w:hAnsi="Franklin Gothic Demi;sans-serif"/>
          <w:b w:val="false"/>
          <w:color w:val="6D2077"/>
          <w:sz w:val="22"/>
        </w:rPr>
      </w:pPr>
      <w:r>
        <w:rPr>
          <w:rFonts w:ascii="Franklin Gothic Demi;sans-serif" w:hAnsi="Franklin Gothic Demi;sans-serif"/>
          <w:b w:val="false"/>
          <w:color w:val="6D2077"/>
          <w:sz w:val="22"/>
        </w:rPr>
        <w:t xml:space="preserve">Safe Harbor Statement </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Certain statements in this press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Quarterly Report on Form 10-Q, and include, but are not limited to, the following risks and uncertainties: volatility in the global market and worldwide economic conditions, including as caused by the invasion of Ukraine, the evolving instability in the Middle East, inflation, foreign exchange fluctuations, changes to existing trade agreements and relationships between the U.S. and other countries including the implementation of sanctions; cyber-attacks or other disruptions to the Company’s information technology systems or those of third parties with which the Company interacts; costs of complying with privacy and security of personal information requirements and laws;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39140"/>
                <wp:effectExtent l="0" t="0" r="0" b="0"/>
                <wp:wrapNone/>
                <wp:docPr id="10" name="Frame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losses or costs from pending or future lawsuits and governmental investigations, including in the case of the Company’s 3T Heater-Cooler and SNIA litigations; risks related to reductions, interruptions or increasing costs related to the supply of raw materials and components and the distribution of finished products, including as a result of inflation, war and extreme weather;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failure to comply with anti-bribery laws; risks relating to recalls, enforcement actions or product liability claims; risks associated with environmental laws and regulations as well as environmental liabilities, violations, protest voting and litigation;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the impact of climate change and the risk of environmental, social and governance pressures from internal and external stakeholders; the risk of quality concerns and the impacts thereof; failure to protect the Company’s proprietary intellectual property; the potential loss of funds resulting from recent and potential future bank failures; failure of new acquisitions to further the Company’s strategic objectives or strengthen the Company’s existing businesses; the potential for impairments of intangible assets and goodwill; risks relating to the Company’s indebtedness including under the exchangeable senior notes, the Company’s revolving credit facility and the Company’s 2022 Term Facilities, as defined herein;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 xml:space="preserve">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39140"/>
                <wp:effectExtent l="0" t="0" r="0" b="0"/>
                <wp:wrapNone/>
                <wp:docPr id="11" name="Frame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other documents filed from time to time with the United States Securities and Exchange Commission by LivaNova.</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lineRule="auto" w:line="417" w:before="120" w:after="24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Essenz is a trademark of LivaNova USA, Inc.</w:t>
      </w:r>
    </w:p>
    <w:p>
      <w:pPr>
        <w:pStyle w:val="TextBody"/>
        <w:bidi w:val="0"/>
        <w:spacing w:before="0" w:after="0"/>
        <w:jc w:val="both"/>
        <w:rPr/>
      </w:pPr>
      <w:r>
        <w:rPr/>
      </w:r>
    </w:p>
    <w:p>
      <w:pPr>
        <w:pStyle w:val="TextBody"/>
        <w:bidi w:val="0"/>
        <w:spacing w:lineRule="auto" w:line="288" w:before="0" w:after="0"/>
        <w:jc w:val="both"/>
        <w:rPr>
          <w:rFonts w:ascii="Franklin Gothic Medium;sans-serif" w:hAnsi="Franklin Gothic Medium;sans-serif"/>
          <w:b w:val="false"/>
          <w:color w:val="000000"/>
          <w:sz w:val="24"/>
        </w:rPr>
      </w:pPr>
      <w:r>
        <w:rPr>
          <w:rFonts w:ascii="Franklin Gothic Medium;sans-serif" w:hAnsi="Franklin Gothic Medium;sans-serif"/>
          <w:b w:val="false"/>
          <w:color w:val="000000"/>
          <w:sz w:val="24"/>
        </w:rPr>
        <w:t>Briana Gotlin</w:t>
      </w:r>
    </w:p>
    <w:p>
      <w:pPr>
        <w:pStyle w:val="TextBody"/>
        <w:bidi w:val="0"/>
        <w:spacing w:lineRule="auto" w:line="288"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Director, Investor Relations</w:t>
      </w:r>
    </w:p>
    <w:p>
      <w:pPr>
        <w:pStyle w:val="TextBody"/>
        <w:bidi w:val="0"/>
        <w:spacing w:lineRule="auto" w:line="288"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Phone: +1 281 895 2382</w:t>
      </w:r>
    </w:p>
    <w:p>
      <w:pPr>
        <w:pStyle w:val="TextBody"/>
        <w:bidi w:val="0"/>
        <w:spacing w:lineRule="auto" w:line="288" w:before="0" w:after="0"/>
        <w:jc w:val="both"/>
        <w:rPr>
          <w:rFonts w:ascii="Franklin Gothic Book;sans-serif" w:hAnsi="Franklin Gothic Book;sans-serif"/>
          <w:b w:val="false"/>
          <w:color w:val="000000"/>
          <w:sz w:val="22"/>
        </w:rPr>
      </w:pPr>
      <w:r>
        <w:rPr>
          <w:rFonts w:ascii="Franklin Gothic Book;sans-serif" w:hAnsi="Franklin Gothic Book;sans-serif"/>
          <w:b w:val="false"/>
          <w:color w:val="000000"/>
          <w:sz w:val="22"/>
        </w:rPr>
        <w:t>e-mail: InvestorRelations@livanova.com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9140"/>
                <wp:effectExtent l="0" t="0" r="0" b="0"/>
                <wp:wrapNone/>
                <wp:docPr id="12" name="Frame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99"/>
        <w:gridCol w:w="350"/>
        <w:gridCol w:w="350"/>
        <w:gridCol w:w="401"/>
        <w:gridCol w:w="401"/>
        <w:gridCol w:w="412"/>
        <w:gridCol w:w="119"/>
        <w:gridCol w:w="119"/>
        <w:gridCol w:w="119"/>
        <w:gridCol w:w="451"/>
        <w:gridCol w:w="451"/>
        <w:gridCol w:w="236"/>
        <w:gridCol w:w="130"/>
        <w:gridCol w:w="130"/>
        <w:gridCol w:w="130"/>
        <w:gridCol w:w="451"/>
        <w:gridCol w:w="451"/>
        <w:gridCol w:w="236"/>
        <w:gridCol w:w="130"/>
        <w:gridCol w:w="130"/>
        <w:gridCol w:w="130"/>
        <w:gridCol w:w="320"/>
        <w:gridCol w:w="320"/>
        <w:gridCol w:w="746"/>
        <w:gridCol w:w="130"/>
        <w:gridCol w:w="130"/>
        <w:gridCol w:w="130"/>
        <w:gridCol w:w="534"/>
        <w:gridCol w:w="534"/>
        <w:gridCol w:w="1635"/>
      </w:tblGrid>
      <w:tr>
        <w:trPr/>
        <w:tc>
          <w:tcPr>
            <w:tcW w:w="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REVENUE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September 30,</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2022</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Change</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20"/>
              </w:rPr>
              <w:t xml:space="preserve">Constant-Currency % Change </w:t>
            </w:r>
            <w:r>
              <w:rPr>
                <w:rFonts w:ascii="Franklin Gothic Book;sans-serif" w:hAnsi="Franklin Gothic Book;sans-serif"/>
                <w:b/>
                <w:color w:val="000000"/>
                <w:sz w:val="13"/>
              </w:rPr>
              <w:t>(1)</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Cardiopulmonary</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26.2 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26.2 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28.8 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22.4 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13.2 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 of World</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61.1 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14.9 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144.8 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121.0 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19.7 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18.1 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Neuromodulation</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102.5 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96.5 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6.2 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6.2 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6.7 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 of World</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13.7 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128.9 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121.8 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5.8 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5.2 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Advanced Circulatory Support</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25.3 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25.3 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NM</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NM</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 of World</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NM</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NM</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8.6 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26.8 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26.6 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color w:val="000000"/>
                <w:sz w:val="20"/>
              </w:rPr>
              <w:t xml:space="preserve">Other Revenue </w:t>
            </w:r>
            <w:r>
              <w:rPr>
                <w:rFonts w:ascii="Franklin Gothic Book;sans-serif" w:hAnsi="Franklin Gothic Book;sans-serif"/>
                <w:b/>
                <w:color w:val="000000"/>
                <w:sz w:val="13"/>
              </w:rPr>
              <w:t>(3)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23.7 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14.4 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Totals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161.6 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143.4 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12.7 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12.7 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(2)</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48.1 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20.3 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11.7 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 of World</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76.4 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69.2 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10.4 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11.3 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$286.1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$252.6 </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13.3 </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12.1 </w:t>
            </w:r>
          </w:p>
        </w:tc>
        <w:tc>
          <w:tcPr>
            <w:tcW w:w="16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9106"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Constant-currency growth, a non-GAAP financial measure, measures the change in revenue between current and prior-year periods using average exchange rates in effect during the applicable prior-year period.</w:t>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(2)</w:t>
            </w:r>
          </w:p>
        </w:tc>
        <w:tc>
          <w:tcPr>
            <w:tcW w:w="9106"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Includes countries in Europe where the Company has a direct sales presence. Countries where sales are made through distributors are included in “Rest of World.”</w:t>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(3)</w:t>
            </w:r>
          </w:p>
        </w:tc>
        <w:tc>
          <w:tcPr>
            <w:tcW w:w="9106"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revenue primarily includes rental income not allocated to segments.</w:t>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NM</w:t>
            </w:r>
          </w:p>
        </w:tc>
        <w:tc>
          <w:tcPr>
            <w:tcW w:w="9106"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Indicates that variance as a percentage is not meaningful.</w:t>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06"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The revenue results presented are unaudited. Numbers may not add precisely due to rounding.</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9140"/>
                <wp:effectExtent l="0" t="0" r="0" b="0"/>
                <wp:wrapNone/>
                <wp:docPr id="13" name="Frame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399"/>
        <w:gridCol w:w="350"/>
        <w:gridCol w:w="350"/>
        <w:gridCol w:w="400"/>
        <w:gridCol w:w="400"/>
        <w:gridCol w:w="411"/>
        <w:gridCol w:w="118"/>
        <w:gridCol w:w="118"/>
        <w:gridCol w:w="118"/>
        <w:gridCol w:w="450"/>
        <w:gridCol w:w="450"/>
        <w:gridCol w:w="235"/>
        <w:gridCol w:w="129"/>
        <w:gridCol w:w="129"/>
        <w:gridCol w:w="129"/>
        <w:gridCol w:w="450"/>
        <w:gridCol w:w="450"/>
        <w:gridCol w:w="235"/>
        <w:gridCol w:w="129"/>
        <w:gridCol w:w="129"/>
        <w:gridCol w:w="129"/>
        <w:gridCol w:w="334"/>
        <w:gridCol w:w="335"/>
        <w:gridCol w:w="745"/>
        <w:gridCol w:w="129"/>
        <w:gridCol w:w="129"/>
        <w:gridCol w:w="129"/>
        <w:gridCol w:w="532"/>
        <w:gridCol w:w="532"/>
        <w:gridCol w:w="1632"/>
      </w:tblGrid>
      <w:tr>
        <w:trPr/>
        <w:tc>
          <w:tcPr>
            <w:tcW w:w="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REVENUE</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Nine Months Ended September 30,</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2022</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Change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20"/>
              </w:rPr>
              <w:t xml:space="preserve">Constant-Currency % Change </w:t>
            </w:r>
            <w:r>
              <w:rPr>
                <w:rFonts w:ascii="Franklin Gothic Book;sans-serif" w:hAnsi="Franklin Gothic Book;sans-serif"/>
                <w:b/>
                <w:color w:val="000000"/>
                <w:sz w:val="13"/>
              </w:rPr>
              <w:t>(1)</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Cardiopulmonary</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$131.4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$114.4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14.8 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14.8 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110.6 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94.0 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17.7 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16.1 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 of World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185.5 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155.4 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19.3 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23.5 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427.5 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363.9 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17.5 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18.9 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Neuromodulation</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301.0 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275.1 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9.4 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9.4 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41.1 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10.1 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10.5 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 of World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40.7 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37.4 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8.7 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12.3 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382.8 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349.9 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9.4 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9.8 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Advanced Circulatory Support</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29.4 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28.2 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0.5 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NM</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NM</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 of World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0.3 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NM</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NM</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30.2 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29.7 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color w:val="000000"/>
                <w:sz w:val="20"/>
              </w:rPr>
              <w:t xml:space="preserve">Other Revenue </w:t>
            </w:r>
            <w:r>
              <w:rPr>
                <w:rFonts w:ascii="Franklin Gothic Book;sans-serif" w:hAnsi="Franklin Gothic Book;sans-serif"/>
                <w:b/>
                <w:color w:val="000000"/>
                <w:sz w:val="13"/>
              </w:rPr>
              <w:t>(3)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(17.8)</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(20.3)</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Totals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US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461.8 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417.8 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10.5 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10.5 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Europe </w:t>
            </w:r>
            <w:r>
              <w:rPr>
                <w:rFonts w:ascii="Franklin Gothic Book;sans-serif" w:hAnsi="Franklin Gothic Book;sans-serif"/>
                <w:b w:val="false"/>
                <w:color w:val="000000"/>
                <w:sz w:val="13"/>
              </w:rPr>
              <w:t>(2)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152.2 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132.5 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14.9 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 of World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229.4 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196.7 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16.6 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20.6 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$843.4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$746.9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12.9 </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13.8 </w:t>
            </w:r>
          </w:p>
        </w:tc>
        <w:tc>
          <w:tcPr>
            <w:tcW w:w="163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9106"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Constant-currency growth, a non-GAAP financial measure, measures the change in revenue between current and prior-year periods using average exchange rates in effect during the applicable prior-year period.</w:t>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(2)</w:t>
            </w:r>
          </w:p>
        </w:tc>
        <w:tc>
          <w:tcPr>
            <w:tcW w:w="9106"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Includes countries in Europe where the Company has a direct sales presence. Countries where sales are made through distributors are included in “Rest of World.”</w:t>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(3)</w:t>
            </w:r>
          </w:p>
        </w:tc>
        <w:tc>
          <w:tcPr>
            <w:tcW w:w="9106"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Other revenue primarily includes rental income not allocated to segments.</w:t>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NM</w:t>
            </w:r>
          </w:p>
        </w:tc>
        <w:tc>
          <w:tcPr>
            <w:tcW w:w="9106"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Indicates that variance as a percentage is not meaningful.</w:t>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06"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The revenue results presented are unaudited. Numbers may not add precisely due to rounding.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39140"/>
                <wp:effectExtent l="0" t="0" r="0" b="0"/>
                <wp:wrapNone/>
                <wp:docPr id="14" name="Frame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03"/>
        <w:gridCol w:w="1061"/>
        <w:gridCol w:w="889"/>
        <w:gridCol w:w="465"/>
        <w:gridCol w:w="465"/>
        <w:gridCol w:w="465"/>
        <w:gridCol w:w="775"/>
        <w:gridCol w:w="555"/>
        <w:gridCol w:w="564"/>
        <w:gridCol w:w="171"/>
        <w:gridCol w:w="171"/>
        <w:gridCol w:w="171"/>
        <w:gridCol w:w="439"/>
        <w:gridCol w:w="440"/>
        <w:gridCol w:w="209"/>
        <w:gridCol w:w="109"/>
        <w:gridCol w:w="109"/>
        <w:gridCol w:w="109"/>
        <w:gridCol w:w="379"/>
        <w:gridCol w:w="380"/>
        <w:gridCol w:w="705"/>
        <w:gridCol w:w="109"/>
        <w:gridCol w:w="162"/>
      </w:tblGrid>
      <w:tr>
        <w:trPr/>
        <w:tc>
          <w:tcPr>
            <w:tcW w:w="130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 AND SUBSIDIARIES</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14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STATEMENTS OF INCOME -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5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 except per share amounts)</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revenue</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$286.1 </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$252.6 </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Cost of sales</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84.3 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201.8</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18.1 </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expenses:</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Selling, general and administrative</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134.8 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114.6 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Research and development</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46.5 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35.7 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Impairment of goodwill</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129.4 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operating expense</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16.0 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23.1 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 (loss)</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4.5 </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(132.0)</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(103.4)</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Interest expense</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(15.0)</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(12.7)</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Foreign exchange and other income/(expense)</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8.6 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38.5 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 before tax</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(106.1)</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(98.1)</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expense</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5.3 </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1.3 </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($7.3)</w:t>
            </w:r>
          </w:p>
        </w:tc>
        <w:tc>
          <w:tcPr>
            <w:tcW w:w="5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($107.3)</w:t>
            </w:r>
          </w:p>
        </w:tc>
        <w:tc>
          <w:tcPr>
            <w:tcW w:w="2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(93.2)</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 loss per share</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($0.14)</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($2.01)</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 loss per share</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($0.14)</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($2.01)</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Weighted average common shares outstanding:</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54.0 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53.5 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54.0 </w:t>
            </w:r>
          </w:p>
        </w:tc>
        <w:tc>
          <w:tcPr>
            <w:tcW w:w="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53.5 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18"/>
              </w:rPr>
              <w:t>Numbers may not add precisely due to rounding.</w:t>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9140"/>
                <wp:effectExtent l="0" t="0" r="0" b="0"/>
                <wp:wrapNone/>
                <wp:docPr id="15" name="Frame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86"/>
        <w:gridCol w:w="345"/>
        <w:gridCol w:w="270"/>
        <w:gridCol w:w="410"/>
        <w:gridCol w:w="410"/>
        <w:gridCol w:w="410"/>
        <w:gridCol w:w="269"/>
        <w:gridCol w:w="269"/>
        <w:gridCol w:w="269"/>
        <w:gridCol w:w="735"/>
        <w:gridCol w:w="492"/>
        <w:gridCol w:w="411"/>
        <w:gridCol w:w="411"/>
        <w:gridCol w:w="411"/>
        <w:gridCol w:w="411"/>
        <w:gridCol w:w="735"/>
        <w:gridCol w:w="412"/>
        <w:gridCol w:w="411"/>
        <w:gridCol w:w="269"/>
        <w:gridCol w:w="269"/>
        <w:gridCol w:w="269"/>
        <w:gridCol w:w="427"/>
        <w:gridCol w:w="427"/>
        <w:gridCol w:w="977"/>
      </w:tblGrid>
      <w:tr>
        <w:trPr/>
        <w:tc>
          <w:tcPr>
            <w:tcW w:w="48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Adjusted Financial Measures (U.S. dollars in millions, except per share amounts)</w:t>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20"/>
              </w:rPr>
              <w:t xml:space="preserve">Adjusted </w:t>
            </w:r>
            <w:r>
              <w:rPr>
                <w:rFonts w:ascii="Franklin Gothic Book;sans-serif" w:hAnsi="Franklin Gothic Book;sans-serif"/>
                <w:b/>
                <w:color w:val="000000"/>
                <w:sz w:val="13"/>
              </w:rPr>
              <w:t xml:space="preserve">(1) </w:t>
            </w:r>
            <w:r>
              <w:rPr>
                <w:rFonts w:ascii="Franklin Gothic Book;sans-serif" w:hAnsi="Franklin Gothic Book;sans-serif"/>
                <w:b/>
                <w:color w:val="000000"/>
                <w:sz w:val="20"/>
              </w:rPr>
              <w:t>Three Months Ended September 30,</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2022</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Change</w:t>
            </w:r>
          </w:p>
        </w:tc>
      </w:tr>
      <w:tr>
        <w:trPr/>
        <w:tc>
          <w:tcPr>
            <w:tcW w:w="23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SG&amp;A </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$114.7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$98.5 </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16.5 </w:t>
            </w:r>
          </w:p>
        </w:tc>
        <w:tc>
          <w:tcPr>
            <w:tcW w:w="9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R&amp;D </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41.5 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1.2 </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operating income </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36.6 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22.7 </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net income</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39.5 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31.0 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27.2 </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 xml:space="preserve">Adjusted diluted earnings per share </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$0.73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$0.58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26.1 </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9104" w:type="dxa"/>
            <w:gridSpan w:val="21"/>
            <w:tcBorders/>
            <w:tcMar>
              <w:top w:w="0" w:type="dxa"/>
              <w:left w:w="0" w:type="dxa"/>
              <w:bottom w:w="0" w:type="dxa"/>
              <w:right w:w="0" w:type="dxa"/>
            </w:tcMar>
            <w:vAlign w:val="center"/>
          </w:tcPr>
          <w:p>
            <w:pPr>
              <w:pStyle w:val="TableContents"/>
              <w:bidi w:val="0"/>
              <w:spacing w:lineRule="auto" w:line="240" w:before="0" w:after="0"/>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Adjusted financial measures are non-GAAP measures and exclude specified items as described and reconciled in the “Reconciliation of GAAP to non-GAAP Financial Measures” contained in the press release.</w:t>
            </w:r>
          </w:p>
        </w:tc>
      </w:tr>
    </w:tbl>
    <w:tbl>
      <w:tblPr>
        <w:tblW w:w="10205" w:type="dxa"/>
        <w:jc w:val="center"/>
        <w:tblInd w:w="0" w:type="dxa"/>
        <w:tblLayout w:type="fixed"/>
        <w:tblCellMar>
          <w:top w:w="28" w:type="dxa"/>
          <w:left w:w="28" w:type="dxa"/>
          <w:bottom w:w="28" w:type="dxa"/>
          <w:right w:w="28" w:type="dxa"/>
        </w:tblCellMar>
      </w:tblPr>
      <w:tblGrid>
        <w:gridCol w:w="298"/>
        <w:gridCol w:w="260"/>
        <w:gridCol w:w="260"/>
        <w:gridCol w:w="319"/>
        <w:gridCol w:w="272"/>
        <w:gridCol w:w="254"/>
        <w:gridCol w:w="159"/>
        <w:gridCol w:w="159"/>
        <w:gridCol w:w="159"/>
        <w:gridCol w:w="448"/>
        <w:gridCol w:w="411"/>
        <w:gridCol w:w="655"/>
        <w:gridCol w:w="248"/>
        <w:gridCol w:w="248"/>
        <w:gridCol w:w="248"/>
        <w:gridCol w:w="444"/>
        <w:gridCol w:w="322"/>
        <w:gridCol w:w="655"/>
        <w:gridCol w:w="159"/>
        <w:gridCol w:w="159"/>
        <w:gridCol w:w="159"/>
        <w:gridCol w:w="488"/>
        <w:gridCol w:w="301"/>
        <w:gridCol w:w="702"/>
        <w:gridCol w:w="266"/>
        <w:gridCol w:w="266"/>
        <w:gridCol w:w="266"/>
        <w:gridCol w:w="488"/>
        <w:gridCol w:w="301"/>
        <w:gridCol w:w="831"/>
      </w:tblGrid>
      <w:tr>
        <w:trPr/>
        <w:tc>
          <w:tcPr>
            <w:tcW w:w="2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Statistics (as a % of net revenue, except for income tax rate)</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GAAP Three Months Ended September 30,</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20"/>
              </w:rPr>
              <w:t xml:space="preserve">Adjusted </w:t>
            </w:r>
            <w:r>
              <w:rPr>
                <w:rFonts w:ascii="Franklin Gothic Book;sans-serif" w:hAnsi="Franklin Gothic Book;sans-serif"/>
                <w:b/>
                <w:color w:val="000000"/>
                <w:sz w:val="13"/>
              </w:rPr>
              <w:t>(1)</w:t>
            </w:r>
            <w:r>
              <w:rPr>
                <w:color w:val="000000"/>
              </w:rPr>
              <w:t xml:space="preserve"> </w:t>
            </w:r>
            <w:r>
              <w:rPr>
                <w:rFonts w:ascii="Franklin Gothic Book;sans-serif" w:hAnsi="Franklin Gothic Book;sans-serif"/>
                <w:b/>
                <w:color w:val="000000"/>
                <w:sz w:val="20"/>
              </w:rPr>
              <w:t>Three Months Ended September 30,</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2022</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2022</w:t>
            </w:r>
          </w:p>
        </w:tc>
      </w:tr>
      <w:tr>
        <w:trPr/>
        <w:tc>
          <w:tcPr>
            <w:tcW w:w="16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70.5 </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67.7 </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70.5 </w:t>
            </w:r>
          </w:p>
        </w:tc>
        <w:tc>
          <w:tcPr>
            <w:tcW w:w="7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69.9 </w:t>
            </w:r>
          </w:p>
        </w:tc>
        <w:tc>
          <w:tcPr>
            <w:tcW w:w="8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6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SG&amp;A</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47.1 </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45.4 </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40.1 </w:t>
            </w:r>
          </w:p>
        </w:tc>
        <w:tc>
          <w:tcPr>
            <w:tcW w:w="70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39.0 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6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R&amp;D</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16.3 </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14.1 </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14.7 </w:t>
            </w:r>
          </w:p>
        </w:tc>
        <w:tc>
          <w:tcPr>
            <w:tcW w:w="70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16.4 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6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 (loss)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1.6 </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(52.2)</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15.7 </w:t>
            </w:r>
          </w:p>
        </w:tc>
        <w:tc>
          <w:tcPr>
            <w:tcW w:w="70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14.5 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6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(loss) income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(42.5)</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13.8 </w:t>
            </w:r>
          </w:p>
        </w:tc>
        <w:tc>
          <w:tcPr>
            <w:tcW w:w="70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12.3 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6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rate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(268.4)</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10.4 </w:t>
            </w:r>
          </w:p>
        </w:tc>
        <w:tc>
          <w:tcPr>
            <w:tcW w:w="70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8.3 </w:t>
            </w:r>
          </w:p>
        </w:tc>
        <w:tc>
          <w:tcPr>
            <w:tcW w:w="83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9387" w:type="dxa"/>
            <w:gridSpan w:val="27"/>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Adjusted financial measures are non-GAAP measures and exclude specified items as described and reconciled in the “Reconciliation of GAAP to non-GAAP Financial Measures” contained in the press release.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39140"/>
                <wp:effectExtent l="0" t="0" r="0" b="0"/>
                <wp:wrapNone/>
                <wp:docPr id="16" name="Frame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11</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18"/>
        <w:gridCol w:w="1077"/>
        <w:gridCol w:w="911"/>
        <w:gridCol w:w="473"/>
        <w:gridCol w:w="473"/>
        <w:gridCol w:w="473"/>
        <w:gridCol w:w="763"/>
        <w:gridCol w:w="551"/>
        <w:gridCol w:w="559"/>
        <w:gridCol w:w="169"/>
        <w:gridCol w:w="169"/>
        <w:gridCol w:w="169"/>
        <w:gridCol w:w="413"/>
        <w:gridCol w:w="413"/>
        <w:gridCol w:w="213"/>
        <w:gridCol w:w="109"/>
        <w:gridCol w:w="109"/>
        <w:gridCol w:w="109"/>
        <w:gridCol w:w="380"/>
        <w:gridCol w:w="381"/>
        <w:gridCol w:w="705"/>
        <w:gridCol w:w="109"/>
        <w:gridCol w:w="159"/>
      </w:tblGrid>
      <w:tr>
        <w:trPr/>
        <w:tc>
          <w:tcPr>
            <w:tcW w:w="131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 AND SUBSIDIARIES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144"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STATEMENTS OF INCOME -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9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 except per share amounts)</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 Change </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revenue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$843.4 </w:t>
            </w:r>
          </w:p>
        </w:tc>
        <w:tc>
          <w:tcPr>
            <w:tcW w:w="5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$746.9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Cost of sales</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262.3 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581.1</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11.0 </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expenses:</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Selling, general and administrative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384.8 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349.6 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Research and development</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147.7 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Impairment of goodwill</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operating expenses</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29.1 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24.5 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 (loss)</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19.5 </w:t>
            </w:r>
          </w:p>
        </w:tc>
        <w:tc>
          <w:tcPr>
            <w:tcW w:w="5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(90.7)</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(121.5)</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Interest expense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(43.2)</w:t>
            </w:r>
          </w:p>
        </w:tc>
        <w:tc>
          <w:tcPr>
            <w:tcW w:w="5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(34.9)</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Foreign exchange and other income/(expense)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36.8 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(loss) before tax</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13.1 </w:t>
            </w:r>
          </w:p>
        </w:tc>
        <w:tc>
          <w:tcPr>
            <w:tcW w:w="5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(81.5)</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(116.0)</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expense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11.8 </w:t>
            </w:r>
          </w:p>
        </w:tc>
        <w:tc>
          <w:tcPr>
            <w:tcW w:w="5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6.3 </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Losses from equity method investments</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income (loss)</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 </w:t>
            </w:r>
          </w:p>
        </w:tc>
        <w:tc>
          <w:tcPr>
            <w:tcW w:w="5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($87.9)</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(101.4)</w:t>
            </w:r>
          </w:p>
        </w:tc>
        <w:tc>
          <w:tcPr>
            <w:tcW w:w="7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 income (loss) per share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$0.02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($1.64)</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 income (loss) per share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$0.02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($1.64)</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Weighted average common shares outstanding:</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Basic</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53.8 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Diluted</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54.1 </w:t>
            </w:r>
          </w:p>
        </w:tc>
        <w:tc>
          <w:tcPr>
            <w:tcW w:w="5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53.5 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18"/>
              </w:rPr>
              <w:t>Numbers may not add precisely due to rounding.</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9140"/>
                <wp:effectExtent l="0" t="0" r="0" b="0"/>
                <wp:wrapNone/>
                <wp:docPr id="17" name="Frame15"/>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82"/>
        <w:gridCol w:w="340"/>
        <w:gridCol w:w="265"/>
        <w:gridCol w:w="405"/>
        <w:gridCol w:w="405"/>
        <w:gridCol w:w="405"/>
        <w:gridCol w:w="269"/>
        <w:gridCol w:w="269"/>
        <w:gridCol w:w="269"/>
        <w:gridCol w:w="720"/>
        <w:gridCol w:w="495"/>
        <w:gridCol w:w="403"/>
        <w:gridCol w:w="403"/>
        <w:gridCol w:w="403"/>
        <w:gridCol w:w="403"/>
        <w:gridCol w:w="720"/>
        <w:gridCol w:w="495"/>
        <w:gridCol w:w="403"/>
        <w:gridCol w:w="269"/>
        <w:gridCol w:w="269"/>
        <w:gridCol w:w="269"/>
        <w:gridCol w:w="429"/>
        <w:gridCol w:w="429"/>
        <w:gridCol w:w="986"/>
      </w:tblGrid>
      <w:tr>
        <w:trPr/>
        <w:tc>
          <w:tcPr>
            <w:tcW w:w="48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Adjusted Financial Measures (U.S. dollars in millions, except per share amounts)</w:t>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20"/>
              </w:rPr>
              <w:t xml:space="preserve">Adjusted </w:t>
            </w:r>
            <w:r>
              <w:rPr>
                <w:rFonts w:ascii="Franklin Gothic Book;sans-serif" w:hAnsi="Franklin Gothic Book;sans-serif"/>
                <w:b/>
                <w:color w:val="000000"/>
                <w:sz w:val="13"/>
              </w:rPr>
              <w:t>(1)</w:t>
            </w:r>
            <w:r>
              <w:rPr>
                <w:color w:val="000000"/>
              </w:rPr>
              <w:t xml:space="preserve"> </w:t>
            </w:r>
            <w:r>
              <w:rPr>
                <w:rFonts w:ascii="Franklin Gothic Book;sans-serif" w:hAnsi="Franklin Gothic Book;sans-serif"/>
                <w:b/>
                <w:color w:val="000000"/>
                <w:sz w:val="20"/>
              </w:rPr>
              <w:t>Nine Months Ended September 30,</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2022</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Change</w:t>
            </w:r>
          </w:p>
        </w:tc>
      </w:tr>
      <w:tr>
        <w:trPr/>
        <w:tc>
          <w:tcPr>
            <w:tcW w:w="2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SG&amp;A</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$336.1 </w:t>
            </w:r>
          </w:p>
        </w:tc>
        <w:tc>
          <w:tcPr>
            <w:tcW w:w="4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$301.5 </w:t>
            </w:r>
          </w:p>
        </w:tc>
        <w:tc>
          <w:tcPr>
            <w:tcW w:w="4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11.5 </w:t>
            </w:r>
          </w:p>
        </w:tc>
        <w:tc>
          <w:tcPr>
            <w:tcW w:w="9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R&amp;D</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136.1 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123.3 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10.3 </w:t>
            </w:r>
          </w:p>
        </w:tc>
        <w:tc>
          <w:tcPr>
            <w:tcW w:w="9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operating income</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121.3 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98.4 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23.3 </w:t>
            </w:r>
          </w:p>
        </w:tc>
        <w:tc>
          <w:tcPr>
            <w:tcW w:w="9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net income</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104.7 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85.6 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22.4 </w:t>
            </w:r>
          </w:p>
        </w:tc>
        <w:tc>
          <w:tcPr>
            <w:tcW w:w="9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2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Adjusted diluted earnings per share</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$1.94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$1.58 </w:t>
            </w:r>
          </w:p>
        </w:tc>
        <w:tc>
          <w:tcPr>
            <w:tcW w:w="4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22.3 </w:t>
            </w:r>
          </w:p>
        </w:tc>
        <w:tc>
          <w:tcPr>
            <w:tcW w:w="9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9118" w:type="dxa"/>
            <w:gridSpan w:val="21"/>
            <w:tcBorders/>
            <w:tcMar>
              <w:top w:w="0" w:type="dxa"/>
              <w:left w:w="0" w:type="dxa"/>
              <w:bottom w:w="0" w:type="dxa"/>
              <w:right w:w="0" w:type="dxa"/>
            </w:tcMar>
            <w:vAlign w:val="center"/>
          </w:tcPr>
          <w:p>
            <w:pPr>
              <w:pStyle w:val="TableContents"/>
              <w:bidi w:val="0"/>
              <w:spacing w:lineRule="auto" w:line="240" w:before="0" w:after="0"/>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Adjusted financial measures are non-GAAP measures and exclude specified items as described and reconciled in the “Reconciliation of GAAP to non-GAAP Financial Measures” contained in the press release.</w:t>
            </w:r>
          </w:p>
        </w:tc>
      </w:tr>
    </w:tbl>
    <w:tbl>
      <w:tblPr>
        <w:tblW w:w="10205" w:type="dxa"/>
        <w:jc w:val="center"/>
        <w:tblInd w:w="0" w:type="dxa"/>
        <w:tblLayout w:type="fixed"/>
        <w:tblCellMar>
          <w:top w:w="28" w:type="dxa"/>
          <w:left w:w="28" w:type="dxa"/>
          <w:bottom w:w="28" w:type="dxa"/>
          <w:right w:w="28" w:type="dxa"/>
        </w:tblCellMar>
      </w:tblPr>
      <w:tblGrid>
        <w:gridCol w:w="300"/>
        <w:gridCol w:w="262"/>
        <w:gridCol w:w="262"/>
        <w:gridCol w:w="326"/>
        <w:gridCol w:w="280"/>
        <w:gridCol w:w="262"/>
        <w:gridCol w:w="162"/>
        <w:gridCol w:w="162"/>
        <w:gridCol w:w="162"/>
        <w:gridCol w:w="436"/>
        <w:gridCol w:w="321"/>
        <w:gridCol w:w="661"/>
        <w:gridCol w:w="251"/>
        <w:gridCol w:w="251"/>
        <w:gridCol w:w="251"/>
        <w:gridCol w:w="436"/>
        <w:gridCol w:w="331"/>
        <w:gridCol w:w="661"/>
        <w:gridCol w:w="162"/>
        <w:gridCol w:w="162"/>
        <w:gridCol w:w="162"/>
        <w:gridCol w:w="483"/>
        <w:gridCol w:w="312"/>
        <w:gridCol w:w="710"/>
        <w:gridCol w:w="269"/>
        <w:gridCol w:w="269"/>
        <w:gridCol w:w="269"/>
        <w:gridCol w:w="483"/>
        <w:gridCol w:w="312"/>
        <w:gridCol w:w="835"/>
      </w:tblGrid>
      <w:tr>
        <w:trPr/>
        <w:tc>
          <w:tcPr>
            <w:tcW w:w="3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Statistics (as a % of net revenue, except for income tax rate)</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GAAP Nine Months Ended September 30,</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Franklin Gothic Book;sans-serif" w:hAnsi="Franklin Gothic Book;sans-serif"/>
                <w:b/>
                <w:color w:val="000000"/>
                <w:sz w:val="20"/>
              </w:rPr>
              <w:t xml:space="preserve">Adjusted </w:t>
            </w:r>
            <w:r>
              <w:rPr>
                <w:rFonts w:ascii="Franklin Gothic Book;sans-serif" w:hAnsi="Franklin Gothic Book;sans-serif"/>
                <w:b/>
                <w:color w:val="000000"/>
                <w:sz w:val="13"/>
              </w:rPr>
              <w:t>(1)</w:t>
            </w:r>
            <w:r>
              <w:rPr>
                <w:color w:val="000000"/>
              </w:rPr>
              <w:t xml:space="preserve"> </w:t>
            </w:r>
            <w:r>
              <w:rPr>
                <w:rFonts w:ascii="Franklin Gothic Book;sans-serif" w:hAnsi="Franklin Gothic Book;sans-serif"/>
                <w:b/>
                <w:color w:val="000000"/>
                <w:sz w:val="20"/>
              </w:rPr>
              <w:t>Nine Months Ended September 30,</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2022</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2022</w:t>
            </w:r>
          </w:p>
        </w:tc>
      </w:tr>
      <w:tr>
        <w:trPr/>
        <w:tc>
          <w:tcPr>
            <w:tcW w:w="16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Gross profit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68.9 </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70.1 </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70.4 </w:t>
            </w:r>
          </w:p>
        </w:tc>
        <w:tc>
          <w:tcPr>
            <w:tcW w:w="7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70.0 </w:t>
            </w:r>
          </w:p>
        </w:tc>
        <w:tc>
          <w:tcPr>
            <w:tcW w:w="8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6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SG&amp;A</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45.6 </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46.8 </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39.8 </w:t>
            </w:r>
          </w:p>
        </w:tc>
        <w:tc>
          <w:tcPr>
            <w:tcW w:w="7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40.4 </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6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R&amp;D</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17.5 </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14.8 </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16.1 </w:t>
            </w:r>
          </w:p>
        </w:tc>
        <w:tc>
          <w:tcPr>
            <w:tcW w:w="7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16.5 </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6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income (loss)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2.3 </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14.4 </w:t>
            </w:r>
          </w:p>
        </w:tc>
        <w:tc>
          <w:tcPr>
            <w:tcW w:w="7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13.2 </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6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income (loss)</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0.1 </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(11.8)</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12.4 </w:t>
            </w:r>
          </w:p>
        </w:tc>
        <w:tc>
          <w:tcPr>
            <w:tcW w:w="7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11.5 </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16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Income tax rate</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90.1 </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(7.8)</w:t>
            </w:r>
          </w:p>
        </w:tc>
        <w:tc>
          <w:tcPr>
            <w:tcW w:w="661"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9.1 </w:t>
            </w:r>
          </w:p>
        </w:tc>
        <w:tc>
          <w:tcPr>
            <w:tcW w:w="710"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6.8 </w:t>
            </w:r>
          </w:p>
        </w:tc>
        <w:tc>
          <w:tcPr>
            <w:tcW w:w="83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9381"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Adjusted financial measures are non-GAAP measures and exclude specified items as described and reconciled in the “Reconciliation of GAAP to non-GAAP Financial Measures” contained in the press release.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39140"/>
                <wp:effectExtent l="0" t="0" r="0" b="0"/>
                <wp:wrapNone/>
                <wp:docPr id="18" name="Frame1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2550" w:type="dxa"/>
        <w:jc w:val="left"/>
        <w:tblInd w:w="0" w:type="dxa"/>
        <w:tblLayout w:type="fixed"/>
        <w:tblCellMar>
          <w:top w:w="28" w:type="dxa"/>
          <w:left w:w="28" w:type="dxa"/>
          <w:bottom w:w="28" w:type="dxa"/>
          <w:right w:w="28" w:type="dxa"/>
        </w:tblCellMar>
      </w:tblPr>
      <w:tblGrid>
        <w:gridCol w:w="627"/>
        <w:gridCol w:w="354"/>
        <w:gridCol w:w="355"/>
        <w:gridCol w:w="363"/>
        <w:gridCol w:w="208"/>
        <w:gridCol w:w="395"/>
        <w:gridCol w:w="109"/>
        <w:gridCol w:w="260"/>
        <w:gridCol w:w="260"/>
        <w:gridCol w:w="576"/>
        <w:gridCol w:w="307"/>
        <w:gridCol w:w="249"/>
        <w:gridCol w:w="553"/>
        <w:gridCol w:w="109"/>
        <w:gridCol w:w="109"/>
        <w:gridCol w:w="246"/>
        <w:gridCol w:w="246"/>
        <w:gridCol w:w="544"/>
        <w:gridCol w:w="304"/>
        <w:gridCol w:w="267"/>
        <w:gridCol w:w="592"/>
        <w:gridCol w:w="300"/>
        <w:gridCol w:w="256"/>
        <w:gridCol w:w="569"/>
        <w:gridCol w:w="282"/>
        <w:gridCol w:w="274"/>
        <w:gridCol w:w="608"/>
        <w:gridCol w:w="314"/>
        <w:gridCol w:w="242"/>
        <w:gridCol w:w="537"/>
        <w:gridCol w:w="314"/>
        <w:gridCol w:w="242"/>
        <w:gridCol w:w="537"/>
        <w:gridCol w:w="371"/>
        <w:gridCol w:w="185"/>
        <w:gridCol w:w="486"/>
      </w:tblGrid>
      <w:tr>
        <w:trPr/>
        <w:tc>
          <w:tcPr>
            <w:tcW w:w="62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932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 except per share amounts)</w:t>
            </w:r>
          </w:p>
        </w:tc>
        <w:tc>
          <w:tcPr>
            <w:tcW w:w="3228" w:type="dxa"/>
            <w:gridSpan w:val="9"/>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7"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Specified Items</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Three Months Ended</w:t>
              <w:br/>
              <w:t>September 30, 2023</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Restructuring Expenses </w:t>
              <w:br/>
              <w:t>(A)</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Depreciation and Amortization Expenses </w:t>
              <w:b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Financing Transactions</w:t>
              <w:br/>
              <w:t>(C)</w:t>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Contingent Consideration</w:t>
              <w:br/>
              <w:t>(D)</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Certain Legal &amp; Regulatory Costs</w:t>
              <w:br/>
              <w:t>(E)</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Stock-based Compensation Costs </w:t>
              <w:br/>
              <w:t>(F)</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Tax Adjustments </w:t>
              <w:br/>
              <w:t>(G)</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Interest Adjustments </w:t>
              <w:br/>
              <w:t>(H)</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$84.3 </w:t>
            </w:r>
          </w:p>
        </w:tc>
        <w:tc>
          <w:tcPr>
            <w:tcW w:w="3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($3.7)</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w:t>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$84.4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70.5 </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70.5 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134.8 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(2.9)</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(7.9)</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(9.3)</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114.7 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47.1 </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(3.2)</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40.1 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46.5 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(2.2)</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16.3 </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14.7 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16.0 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(15.9)</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income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6.6 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24.8 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11.8 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1.6 </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8.7 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15.7 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expense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5.3 </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4.6 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rate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(268.4)</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88.7 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3.6 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N/A</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(18.1)</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10.4 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(7.3)</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23.9 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11.7 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8.9 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39.5 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w:t>
            </w:r>
          </w:p>
        </w:tc>
        <w:tc>
          <w:tcPr>
            <w:tcW w:w="395"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2.1 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8.4 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3.1 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13.8 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EPS</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($0.14)</w:t>
            </w:r>
          </w:p>
        </w:tc>
        <w:tc>
          <w:tcPr>
            <w:tcW w:w="3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($0.04)</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($0.05)</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$0.44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$0.21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$0.02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$0.16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
        <w:gridCol w:w="505"/>
        <w:gridCol w:w="505"/>
        <w:gridCol w:w="3199"/>
        <w:gridCol w:w="2572"/>
        <w:gridCol w:w="2585"/>
        <w:gridCol w:w="109"/>
        <w:gridCol w:w="158"/>
      </w:tblGrid>
      <w:tr>
        <w:trPr/>
        <w:tc>
          <w:tcPr>
            <w:tcW w:w="57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19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GAAP results for the three months ended September 30, 2023 include: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vAlign w:val="center"/>
          </w:tcPr>
          <w:p>
            <w:pPr>
              <w:pStyle w:val="TableContents"/>
              <w:bidi w:val="0"/>
              <w:spacing w:before="0" w:after="283"/>
              <w:jc w:val="left"/>
              <w:rPr>
                <w:sz w:val="4"/>
                <w:szCs w:val="4"/>
              </w:rPr>
            </w:pPr>
            <w:r>
              <w:rPr>
                <w:sz w:val="4"/>
                <w:szCs w:val="4"/>
              </w:rPr>
            </w:r>
          </w:p>
        </w:tc>
        <w:tc>
          <w:tcPr>
            <w:tcW w:w="83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(A)</w:t>
            </w:r>
          </w:p>
        </w:tc>
        <w:tc>
          <w:tcPr>
            <w:tcW w:w="8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expenses related to organizational changes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w:t>
            </w:r>
          </w:p>
        </w:tc>
        <w:tc>
          <w:tcPr>
            <w:tcW w:w="8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Includes depreciation and amortization associated with purchase price accounting</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(C)</w:t>
            </w:r>
          </w:p>
        </w:tc>
        <w:tc>
          <w:tcPr>
            <w:tcW w:w="8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Mark-to-market adjustments for the exchangeable option feature and capped call derivatives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(D)</w:t>
            </w:r>
          </w:p>
        </w:tc>
        <w:tc>
          <w:tcPr>
            <w:tcW w:w="8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Remeasurement of contingent consideration related to acquisitions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(E)</w:t>
            </w:r>
          </w:p>
        </w:tc>
        <w:tc>
          <w:tcPr>
            <w:tcW w:w="8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3T Heater-Cooler litigation provision, legal expenses primarily related to 3T Heater-Cooler defense, the Saluggia site provision, Medical Device Regulation ("MDR") costs and costs related to the SNIA matter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(F)</w:t>
            </w:r>
          </w:p>
        </w:tc>
        <w:tc>
          <w:tcPr>
            <w:tcW w:w="8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Non-cash expenses associated with stock-based compensation costs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w:t>
            </w:r>
          </w:p>
        </w:tc>
        <w:tc>
          <w:tcPr>
            <w:tcW w:w="8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Discrete tax items, R&amp;D tax credits and the tax impact of intercompany transactions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(H)</w:t>
            </w:r>
          </w:p>
        </w:tc>
        <w:tc>
          <w:tcPr>
            <w:tcW w:w="8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Non-cash interest expense on the Cash Exchangeable Senior Notes and 2021 Revolving Credit Facility, interest expense on the Term Facilities and interest income on the collateral for the SNIA litigation guarantee and delayed draw on Term Facilities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16"/>
              </w:rPr>
              <w:t>Numbers may not add precisely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39140"/>
                <wp:effectExtent l="0" t="0" r="0" b="0"/>
                <wp:wrapNone/>
                <wp:docPr id="19" name="Frame1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4464" w:type="dxa"/>
        <w:jc w:val="left"/>
        <w:tblInd w:w="0" w:type="dxa"/>
        <w:tblLayout w:type="fixed"/>
        <w:tblCellMar>
          <w:top w:w="28" w:type="dxa"/>
          <w:left w:w="28" w:type="dxa"/>
          <w:bottom w:w="28" w:type="dxa"/>
          <w:right w:w="28" w:type="dxa"/>
        </w:tblCellMar>
      </w:tblPr>
      <w:tblGrid>
        <w:gridCol w:w="652"/>
        <w:gridCol w:w="391"/>
        <w:gridCol w:w="293"/>
        <w:gridCol w:w="379"/>
        <w:gridCol w:w="192"/>
        <w:gridCol w:w="427"/>
        <w:gridCol w:w="217"/>
        <w:gridCol w:w="217"/>
        <w:gridCol w:w="482"/>
        <w:gridCol w:w="296"/>
        <w:gridCol w:w="260"/>
        <w:gridCol w:w="576"/>
        <w:gridCol w:w="307"/>
        <w:gridCol w:w="249"/>
        <w:gridCol w:w="553"/>
        <w:gridCol w:w="278"/>
        <w:gridCol w:w="278"/>
        <w:gridCol w:w="498"/>
        <w:gridCol w:w="109"/>
        <w:gridCol w:w="325"/>
        <w:gridCol w:w="246"/>
        <w:gridCol w:w="544"/>
        <w:gridCol w:w="304"/>
        <w:gridCol w:w="267"/>
        <w:gridCol w:w="592"/>
        <w:gridCol w:w="300"/>
        <w:gridCol w:w="256"/>
        <w:gridCol w:w="569"/>
        <w:gridCol w:w="282"/>
        <w:gridCol w:w="274"/>
        <w:gridCol w:w="608"/>
        <w:gridCol w:w="329"/>
        <w:gridCol w:w="242"/>
        <w:gridCol w:w="537"/>
        <w:gridCol w:w="314"/>
        <w:gridCol w:w="242"/>
        <w:gridCol w:w="537"/>
        <w:gridCol w:w="371"/>
        <w:gridCol w:w="185"/>
        <w:gridCol w:w="486"/>
      </w:tblGrid>
      <w:tr>
        <w:trPr/>
        <w:tc>
          <w:tcPr>
            <w:tcW w:w="6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3422"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 except per share amounts)</w:t>
            </w:r>
          </w:p>
        </w:tc>
        <w:tc>
          <w:tcPr>
            <w:tcW w:w="1042"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7"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Specified Items</w:t>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4"/>
              </w:rPr>
            </w:pPr>
            <w:r>
              <w:rPr>
                <w:rFonts w:ascii="Franklin Gothic Book;sans-serif" w:hAnsi="Franklin Gothic Book;sans-serif"/>
                <w:b/>
                <w:color w:val="000000"/>
                <w:sz w:val="14"/>
              </w:rPr>
              <w:t>Three Months Ended</w:t>
              <w:br/>
              <w:t>September 30, 2022</w:t>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Merger and Integration Expenses </w:t>
              <w:br/>
              <w:t>(A)</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Restructuring Expenses </w:t>
              <w:br/>
              <w:t>(B)</w:t>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Depreciation and Amortization Expenses </w:t>
              <w:br/>
              <w:t>(C)</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Impairment</w:t>
              <w:br/>
              <w:t>(D)</w:t>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Financing Transactions</w:t>
              <w:br/>
              <w:t>(E)</w:t>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Contingent Consideration</w:t>
              <w:br/>
              <w:t>(F)</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Certain Legal &amp; Regulatory Costs</w:t>
              <w:br/>
              <w:t>(G)</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Stock-based Compensation Costs </w:t>
              <w:br/>
              <w:t>(H)</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Tax Adjustments </w:t>
              <w:br/>
              <w:t>(I)</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Interest Adjustments </w:t>
              <w:br/>
              <w:t>(J)</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$81.7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($3.5)</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$76.0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67.7 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69.9 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114.6 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(4.9)</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(8.6)</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98.5 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45.4 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(3.4)</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39.0 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35.7 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7.9 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41.5 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14.1 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3.1 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16.4 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23.1 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(18.8)</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(loss) income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(132.0)</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6.2 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129.4 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(6.0)</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23.9 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10.8 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36.6 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(52.2)</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51.2 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9.5 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4.3 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14.5 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expense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rate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6.7 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N/A</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8.3 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(107.3)</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5.8 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129.4 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(37.9)</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(6.0)</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23.8 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10.6 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9.1 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31.0 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 as a percent of net revenue</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(42.5)</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51.2 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(15.0)</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9.4 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4.2 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3.6 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12.3 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EPS</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($2.01)</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$0.08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$2.40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($0.70)</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($0.11)</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$0.44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$0.20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($0.01)</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$0.17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$0.58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9"/>
        <w:gridCol w:w="644"/>
        <w:gridCol w:w="644"/>
        <w:gridCol w:w="2956"/>
        <w:gridCol w:w="2476"/>
        <w:gridCol w:w="2490"/>
        <w:gridCol w:w="109"/>
        <w:gridCol w:w="157"/>
      </w:tblGrid>
      <w:tr>
        <w:trPr/>
        <w:tc>
          <w:tcPr>
            <w:tcW w:w="72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GAAP results for the three months ended September 30, 2022 include:</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(A)</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Merger and integration expenses related to the acquisition of ALung Technologies, Inc.</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expenses related to organizational changes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(C)</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Includes depreciation and amortization associated with purchase price accounting</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(D)</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Goodwill impairment associated with the Company's ACS business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(E)</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Mark-to-market adjustment for the exchangeable option feature and capped call derivatives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(F)</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Remeasurement of contingent consideration related to acquisitions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3T Heater-Cooler litigation provision, legal expenses primarily related to 3T Heater-Cooler defense, costs related to the SNIA matter and MDR costs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(H)</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Non-cash expenses associated with stock-based compensation costs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Discrete tax items, R&amp;D tax credits and the tax impact of intercompany transactions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(J)</w:t>
            </w:r>
          </w:p>
        </w:tc>
        <w:tc>
          <w:tcPr>
            <w:tcW w:w="7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Non-cash interest expense on the Cash Exchangeable Senior Notes and 2021 Revolving Credit Facility, and interest expense on the 2022 Bridge Loan and Term Facilities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39"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16"/>
              </w:rPr>
              <w:t>Numbers may not add precisely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39140"/>
                <wp:effectExtent l="0" t="0" r="0" b="0"/>
                <wp:wrapNone/>
                <wp:docPr id="20" name="Frame1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3701" w:type="dxa"/>
        <w:jc w:val="left"/>
        <w:tblInd w:w="0" w:type="dxa"/>
        <w:tblLayout w:type="fixed"/>
        <w:tblCellMar>
          <w:top w:w="28" w:type="dxa"/>
          <w:left w:w="28" w:type="dxa"/>
          <w:bottom w:w="28" w:type="dxa"/>
          <w:right w:w="28" w:type="dxa"/>
        </w:tblCellMar>
      </w:tblPr>
      <w:tblGrid>
        <w:gridCol w:w="627"/>
        <w:gridCol w:w="354"/>
        <w:gridCol w:w="355"/>
        <w:gridCol w:w="454"/>
        <w:gridCol w:w="192"/>
        <w:gridCol w:w="427"/>
        <w:gridCol w:w="249"/>
        <w:gridCol w:w="217"/>
        <w:gridCol w:w="482"/>
        <w:gridCol w:w="296"/>
        <w:gridCol w:w="260"/>
        <w:gridCol w:w="576"/>
        <w:gridCol w:w="322"/>
        <w:gridCol w:w="249"/>
        <w:gridCol w:w="553"/>
        <w:gridCol w:w="109"/>
        <w:gridCol w:w="109"/>
        <w:gridCol w:w="325"/>
        <w:gridCol w:w="246"/>
        <w:gridCol w:w="544"/>
        <w:gridCol w:w="289"/>
        <w:gridCol w:w="267"/>
        <w:gridCol w:w="592"/>
        <w:gridCol w:w="300"/>
        <w:gridCol w:w="256"/>
        <w:gridCol w:w="569"/>
        <w:gridCol w:w="282"/>
        <w:gridCol w:w="274"/>
        <w:gridCol w:w="608"/>
        <w:gridCol w:w="314"/>
        <w:gridCol w:w="242"/>
        <w:gridCol w:w="537"/>
        <w:gridCol w:w="314"/>
        <w:gridCol w:w="242"/>
        <w:gridCol w:w="537"/>
        <w:gridCol w:w="461"/>
        <w:gridCol w:w="185"/>
        <w:gridCol w:w="486"/>
      </w:tblGrid>
      <w:tr>
        <w:trPr/>
        <w:tc>
          <w:tcPr>
            <w:tcW w:w="62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1476" w:type="dxa"/>
            <w:gridSpan w:val="32"/>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 except per share amounts)</w:t>
            </w:r>
          </w:p>
        </w:tc>
        <w:tc>
          <w:tcPr>
            <w:tcW w:w="2225"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2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Specified Items</w:t>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Nine Months Ended</w:t>
              <w:br/>
              <w:t>September 30, 2023</w:t>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Merger and Integration Expenses </w:t>
              <w:br/>
              <w:t>(A)</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Restructuring Expenses </w:t>
              <w:br/>
              <w:t>(B)</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Depreciation and Amortization Expenses </w:t>
              <w:b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Financing Transactions</w:t>
              <w:br/>
              <w:t>(D)</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Contingent Consideration</w:t>
              <w:br/>
              <w:t>(E)</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Certain Legal &amp; Regulatory Costs</w:t>
              <w:br/>
              <w:t>(F)</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Stock-based Compensation Costs </w:t>
              <w:br/>
              <w:t>(G)</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Tax Adjustments </w:t>
              <w:br/>
              <w:t>(H)</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Interest Adjustments </w:t>
              <w:br/>
              <w:t>(I)</w:t>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$262.3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($11.1)</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$250.0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68.9 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70.4 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384.8 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(8.6)</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(17.7)</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(22.4)</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336.1 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45.6 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(2.1)</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39.8 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147.7 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(4.1)</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(4.9)</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136.1 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17.5 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16.1 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29.1 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(28.0)</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19.5 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19.6 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48.5 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28.1 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121.3 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5.7 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3.3 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14.4 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expense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11.8 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(3.0)</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10.5 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rate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90.1 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17.1 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10.4 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6.6 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2.9 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N/A</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(6.2)</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9.1 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0.9 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18.3 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(21.7)</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47.0 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27.8 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3.0 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23.5 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104.7 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income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2.2 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5.6 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3.3 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12.4 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EPS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$0.02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$0.02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$0.34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($0.40)</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$0.08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$0.87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$0.51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$0.06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$0.43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$1.94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
        <w:gridCol w:w="501"/>
        <w:gridCol w:w="501"/>
        <w:gridCol w:w="3202"/>
        <w:gridCol w:w="2575"/>
        <w:gridCol w:w="2591"/>
        <w:gridCol w:w="109"/>
        <w:gridCol w:w="158"/>
      </w:tblGrid>
      <w:tr>
        <w:trPr/>
        <w:tc>
          <w:tcPr>
            <w:tcW w:w="56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GAAP results for the nine months ended September 30, 2023 include: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(A)</w:t>
            </w:r>
          </w:p>
        </w:tc>
        <w:tc>
          <w:tcPr>
            <w:tcW w:w="8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Merger and integration expenses related to the acquisition of ALung Technologies, Inc.</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w:t>
            </w:r>
          </w:p>
        </w:tc>
        <w:tc>
          <w:tcPr>
            <w:tcW w:w="8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expenses related to organizational changes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(C)</w:t>
            </w:r>
          </w:p>
        </w:tc>
        <w:tc>
          <w:tcPr>
            <w:tcW w:w="8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Includes depreciation and amortization associated with purchase price accounting</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(D)</w:t>
            </w:r>
          </w:p>
        </w:tc>
        <w:tc>
          <w:tcPr>
            <w:tcW w:w="8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Mark-to-market adjustments for the exchangeable option feature and capped call derivatives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(E)</w:t>
            </w:r>
          </w:p>
        </w:tc>
        <w:tc>
          <w:tcPr>
            <w:tcW w:w="8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Remeasurement of contingent consideration related to acquisitions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(F)</w:t>
            </w:r>
          </w:p>
        </w:tc>
        <w:tc>
          <w:tcPr>
            <w:tcW w:w="8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3T Heater-Cooler litigation provision, legal expenses primarily related to 3T Heater-Cooler defense, the Saluggia site provision, MDR costs and costs related to the SNIA matter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w:t>
            </w:r>
          </w:p>
        </w:tc>
        <w:tc>
          <w:tcPr>
            <w:tcW w:w="8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Non-cash expenses associated with stock-based compensation costs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(H)</w:t>
            </w:r>
          </w:p>
        </w:tc>
        <w:tc>
          <w:tcPr>
            <w:tcW w:w="8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Discrete tax items, R&amp;D tax credits and the tax impact of intercompany transactions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w:t>
            </w:r>
          </w:p>
        </w:tc>
        <w:tc>
          <w:tcPr>
            <w:tcW w:w="8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Non-cash interest expense on the Cash Exchangeable Senior Notes and 2021 Revolving Credit Facility, interest expense on the Term Facilities and interest income on the collateral for the SNIA litigation guarantee and delayed draw on Term Facilities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70" w:type="dxa"/>
            <w:gridSpan w:val="3"/>
            <w:tcBorders/>
            <w:vAlign w:val="center"/>
          </w:tcPr>
          <w:p>
            <w:pPr>
              <w:pStyle w:val="TableContents"/>
              <w:bidi w:val="0"/>
              <w:spacing w:before="0" w:after="283"/>
              <w:jc w:val="left"/>
              <w:rPr>
                <w:sz w:val="4"/>
                <w:szCs w:val="4"/>
              </w:rPr>
            </w:pPr>
            <w:r>
              <w:rPr>
                <w:sz w:val="4"/>
                <w:szCs w:val="4"/>
              </w:rPr>
            </w:r>
          </w:p>
        </w:tc>
        <w:tc>
          <w:tcPr>
            <w:tcW w:w="83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16"/>
              </w:rPr>
              <w:t>Numbers may not add precisely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39140"/>
                <wp:effectExtent l="0" t="0" r="0" b="0"/>
                <wp:wrapNone/>
                <wp:docPr id="21" name="Frame1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16</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4751" w:type="dxa"/>
        <w:jc w:val="left"/>
        <w:tblInd w:w="0" w:type="dxa"/>
        <w:tblLayout w:type="fixed"/>
        <w:tblCellMar>
          <w:top w:w="28" w:type="dxa"/>
          <w:left w:w="28" w:type="dxa"/>
          <w:bottom w:w="28" w:type="dxa"/>
          <w:right w:w="28" w:type="dxa"/>
        </w:tblCellMar>
      </w:tblPr>
      <w:tblGrid>
        <w:gridCol w:w="627"/>
        <w:gridCol w:w="354"/>
        <w:gridCol w:w="355"/>
        <w:gridCol w:w="454"/>
        <w:gridCol w:w="192"/>
        <w:gridCol w:w="427"/>
        <w:gridCol w:w="339"/>
        <w:gridCol w:w="217"/>
        <w:gridCol w:w="482"/>
        <w:gridCol w:w="296"/>
        <w:gridCol w:w="260"/>
        <w:gridCol w:w="576"/>
        <w:gridCol w:w="322"/>
        <w:gridCol w:w="249"/>
        <w:gridCol w:w="553"/>
        <w:gridCol w:w="278"/>
        <w:gridCol w:w="278"/>
        <w:gridCol w:w="498"/>
        <w:gridCol w:w="109"/>
        <w:gridCol w:w="325"/>
        <w:gridCol w:w="246"/>
        <w:gridCol w:w="544"/>
        <w:gridCol w:w="304"/>
        <w:gridCol w:w="267"/>
        <w:gridCol w:w="592"/>
        <w:gridCol w:w="300"/>
        <w:gridCol w:w="256"/>
        <w:gridCol w:w="569"/>
        <w:gridCol w:w="282"/>
        <w:gridCol w:w="274"/>
        <w:gridCol w:w="608"/>
        <w:gridCol w:w="314"/>
        <w:gridCol w:w="242"/>
        <w:gridCol w:w="537"/>
        <w:gridCol w:w="314"/>
        <w:gridCol w:w="242"/>
        <w:gridCol w:w="537"/>
        <w:gridCol w:w="461"/>
        <w:gridCol w:w="185"/>
        <w:gridCol w:w="486"/>
      </w:tblGrid>
      <w:tr>
        <w:trPr/>
        <w:tc>
          <w:tcPr>
            <w:tcW w:w="62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2526" w:type="dxa"/>
            <w:gridSpan w:val="3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(U.S. dollars in millions, except per share amounts)</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7" w:type="dxa"/>
            <w:gridSpan w:val="2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6"/>
              </w:rPr>
            </w:pPr>
            <w:r>
              <w:rPr>
                <w:rFonts w:ascii="Franklin Gothic Book;sans-serif" w:hAnsi="Franklin Gothic Book;sans-serif"/>
                <w:b/>
                <w:color w:val="000000"/>
                <w:sz w:val="16"/>
              </w:rPr>
              <w:t>Specified Items</w:t>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Nine Months Ended</w:t>
              <w:br/>
              <w:t>September 30, 2022</w:t>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GAAP Financial Measures</w:t>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Merger and Integration Expenses (A)</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Restructuring Expenses </w:t>
              <w:br/>
              <w:t>(B)</w:t>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Depreciation and Amortization Expenses </w:t>
              <w:br/>
              <w:t>(C)</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Impairment</w:t>
              <w:br/>
              <w:t>(D)</w:t>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Financing Transactions</w:t>
              <w:br/>
              <w:t>(E)</w:t>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Contingent Consideration</w:t>
              <w:br/>
              <w:t>(F)</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Certain Legal &amp; Regulatory Costs</w:t>
              <w:br/>
              <w:t>(G)</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Stock-based Compensation Costs </w:t>
              <w:br/>
              <w:t>(H)</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Tax Adjustments </w:t>
              <w:br/>
              <w:t>(I)</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 xml:space="preserve">Certain Interest Adjustments </w:t>
              <w:br/>
              <w:t>(J)</w:t>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14"/>
              </w:rPr>
            </w:pPr>
            <w:r>
              <w:rPr>
                <w:rFonts w:ascii="Franklin Gothic Book;sans-serif" w:hAnsi="Franklin Gothic Book;sans-serif"/>
                <w:b/>
                <w:color w:val="000000"/>
                <w:sz w:val="14"/>
              </w:rPr>
              <w:t>Adjusted Financial Measures</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Cost of sales</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$223.2 </w:t>
            </w:r>
          </w:p>
        </w:tc>
        <w:tc>
          <w:tcPr>
            <w:tcW w:w="4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($10.9)</w:t>
            </w:r>
          </w:p>
        </w:tc>
        <w:tc>
          <w:tcPr>
            <w:tcW w:w="5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$12.6 </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$223.7 </w:t>
            </w:r>
          </w:p>
        </w:tc>
        <w:tc>
          <w:tcPr>
            <w:tcW w:w="4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Gross profit percent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70.1 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70.0 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349.6 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(8.6)</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(15.4)</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(24.2)</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301.5 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Selling, general and administrative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46.8 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(2.1)</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(3.2)</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40.4 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110.9 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20.8 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(7.1)</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123.3 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Research and development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14.8 </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2.8 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(0.2)</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16.5 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Other operating expense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24.5 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(4.6)</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(19.5)</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(loss)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(90.7)</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4.6 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19.3 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129.4 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(33.4)</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36.2 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32.5 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98.4 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Operating margin percent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(12.1)</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17.3 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4.8 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4.4 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13.2 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expense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6.3 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1.3 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1.0 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6.3 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Income tax rate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(7.8)</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6.7 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2.6 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N/A</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6.8 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 xml:space="preserve">Net (loss) income </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(87.9)</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18.0 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129.4 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(40.5)</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(33.4)</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35.3 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32.1 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2.7 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24.8 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85.6 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Net (loss) income as a percent of net revenue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(11.8)</w:t>
            </w:r>
          </w:p>
        </w:tc>
        <w:tc>
          <w:tcPr>
            <w:tcW w:w="42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0.1 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0.6 </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2.4 </w:t>
            </w:r>
          </w:p>
        </w:tc>
        <w:tc>
          <w:tcPr>
            <w:tcW w:w="553"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17.3 </w:t>
            </w:r>
          </w:p>
        </w:tc>
        <w:tc>
          <w:tcPr>
            <w:tcW w:w="49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(5.4)</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(4.5)</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4.7 </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4.3 </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3.3 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11.5 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Diluted EPS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($1.64)</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$0.01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$0.08 </w:t>
            </w:r>
          </w:p>
        </w:tc>
        <w:tc>
          <w:tcPr>
            <w:tcW w:w="5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$0.33 </w:t>
            </w:r>
          </w:p>
        </w:tc>
        <w:tc>
          <w:tcPr>
            <w:tcW w:w="5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$2.39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($0.75)</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($0.62)</w:t>
            </w:r>
          </w:p>
        </w:tc>
        <w:tc>
          <w:tcPr>
            <w:tcW w:w="5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$0.65 </w:t>
            </w:r>
          </w:p>
        </w:tc>
        <w:tc>
          <w:tcPr>
            <w:tcW w:w="5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$0.59 </w:t>
            </w:r>
          </w:p>
        </w:tc>
        <w:tc>
          <w:tcPr>
            <w:tcW w:w="6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$0.05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$0.46 </w:t>
            </w:r>
          </w:p>
        </w:tc>
        <w:tc>
          <w:tcPr>
            <w:tcW w:w="5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14"/>
              </w:rPr>
            </w:pPr>
            <w:r>
              <w:rPr>
                <w:rFonts w:ascii="Franklin Gothic Book;sans-serif" w:hAnsi="Franklin Gothic Book;sans-serif"/>
                <w:b w:val="false"/>
                <w:color w:val="000000"/>
                <w:sz w:val="14"/>
              </w:rPr>
              <w:t>$1.58 </w:t>
            </w:r>
          </w:p>
        </w:tc>
        <w:tc>
          <w:tcPr>
            <w:tcW w:w="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67"/>
        <w:gridCol w:w="674"/>
        <w:gridCol w:w="674"/>
        <w:gridCol w:w="2633"/>
        <w:gridCol w:w="2242"/>
        <w:gridCol w:w="3215"/>
      </w:tblGrid>
      <w:tr>
        <w:trPr/>
        <w:tc>
          <w:tcPr>
            <w:tcW w:w="7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GAAP results for the nine months ended September 30, 2022 include:</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(A)</w:t>
            </w:r>
          </w:p>
        </w:tc>
        <w:tc>
          <w:tcPr>
            <w:tcW w:w="8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Merger and integration expenses related to the acquisition of ALung Technologies, Inc.</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(B)</w:t>
            </w:r>
          </w:p>
        </w:tc>
        <w:tc>
          <w:tcPr>
            <w:tcW w:w="8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Restructuring expenses related to organizational changes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(C)</w:t>
            </w:r>
          </w:p>
        </w:tc>
        <w:tc>
          <w:tcPr>
            <w:tcW w:w="8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Includes depreciation and amortization associated with purchase price accounting</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(D)</w:t>
            </w:r>
          </w:p>
        </w:tc>
        <w:tc>
          <w:tcPr>
            <w:tcW w:w="8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Goodwill impairment associated with the Company's ACS business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(E)</w:t>
            </w:r>
          </w:p>
        </w:tc>
        <w:tc>
          <w:tcPr>
            <w:tcW w:w="8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Mark-to-market adjustment for the exchangeable option feature and capped call derivatives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(F)</w:t>
            </w:r>
          </w:p>
        </w:tc>
        <w:tc>
          <w:tcPr>
            <w:tcW w:w="8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Remeasurement of contingent consideration related to acquisitions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(G)</w:t>
            </w:r>
          </w:p>
        </w:tc>
        <w:tc>
          <w:tcPr>
            <w:tcW w:w="8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3T Heater-Cooler litigation provision, legal expenses primarily related to 3T Heater-Cooler defense, costs related to the SNIA matter and MDR costs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(H)</w:t>
            </w:r>
          </w:p>
        </w:tc>
        <w:tc>
          <w:tcPr>
            <w:tcW w:w="8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Non-cash expenses associated with stock-based compensation costs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(I)</w:t>
            </w:r>
          </w:p>
        </w:tc>
        <w:tc>
          <w:tcPr>
            <w:tcW w:w="8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Discrete tax items, R&amp;D tax credits and the tax impact of intercompany transactions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6D2077"/>
                <w:sz w:val="16"/>
              </w:rPr>
            </w:pPr>
            <w:r>
              <w:rPr>
                <w:rFonts w:ascii="Franklin Gothic Book;sans-serif" w:hAnsi="Franklin Gothic Book;sans-serif"/>
                <w:b/>
                <w:color w:val="6D2077"/>
                <w:sz w:val="16"/>
              </w:rPr>
              <w:t>(J)</w:t>
            </w:r>
          </w:p>
        </w:tc>
        <w:tc>
          <w:tcPr>
            <w:tcW w:w="8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6"/>
              </w:rPr>
            </w:pPr>
            <w:r>
              <w:rPr>
                <w:rFonts w:ascii="Franklin Gothic Book;sans-serif" w:hAnsi="Franklin Gothic Book;sans-serif"/>
                <w:b w:val="false"/>
                <w:color w:val="000000"/>
                <w:sz w:val="16"/>
              </w:rPr>
              <w:t>Non-cash interest expense on the Cash Exchangeable Senior Notes and 2021 Revolving Credit Facility, and interest expense on the 2022 Bridge Loan</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16"/>
              </w:rPr>
              <w:t>Numbers may not add precisely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39140"/>
                <wp:effectExtent l="0" t="0" r="0" b="0"/>
                <wp:wrapNone/>
                <wp:docPr id="22" name="Frame2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17</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45"/>
        <w:gridCol w:w="1311"/>
        <w:gridCol w:w="1182"/>
        <w:gridCol w:w="318"/>
        <w:gridCol w:w="318"/>
        <w:gridCol w:w="318"/>
        <w:gridCol w:w="743"/>
        <w:gridCol w:w="653"/>
        <w:gridCol w:w="645"/>
        <w:gridCol w:w="318"/>
        <w:gridCol w:w="318"/>
        <w:gridCol w:w="318"/>
        <w:gridCol w:w="676"/>
        <w:gridCol w:w="591"/>
        <w:gridCol w:w="751"/>
      </w:tblGrid>
      <w:tr>
        <w:trPr/>
        <w:tc>
          <w:tcPr>
            <w:tcW w:w="174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 xml:space="preserve">LIVANOVA PLC AND SUBSIDIARIES </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BALANCE SHEETS - UNAUDITED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September 30, 2023</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December 31, 2022</w:t>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ASSETS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20"/>
              </w:rPr>
            </w:pPr>
            <w:r>
              <w:rPr>
                <w:rFonts w:ascii="Franklin Gothic Book;sans-serif" w:hAnsi="Franklin Gothic Book;sans-serif"/>
                <w:b w:val="false"/>
                <w:i/>
                <w:color w:val="000000"/>
                <w:sz w:val="20"/>
              </w:rPr>
              <w:t>Current Assets: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and cash equivalents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$233.9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$214.2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Restricted cash</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298.8 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301.4 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receivable, net of allowance</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189.9 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183.1 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Inventories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161.5 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129.4 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Prepaid and refundable taxes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25.5 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31.7 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Prepaid expenses and other current assets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44.2 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26.3 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Current Assets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953.9</w:t>
            </w:r>
            <w:r>
              <w:rPr>
                <w:color w:val="000000"/>
              </w:rPr>
              <w:t> </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886.1</w:t>
            </w:r>
            <w:r>
              <w:rPr>
                <w:color w:val="000000"/>
              </w:rPr>
              <w:t> </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Property, plant and equipment, net</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149.3 </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147.2 </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Goodwill</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767.1 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768.8 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Intangible assets, net</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347.7 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368.6 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Operating lease assets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31.5 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35.8 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Investments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22.7 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16.3 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tax assets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derivative assets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43.7 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54.4 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assets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12.1 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16.2 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Assets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$2,329.4</w:t>
            </w:r>
            <w:r>
              <w:rPr>
                <w:color w:val="000000"/>
              </w:rPr>
              <w:t> </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$2,294.8</w:t>
            </w:r>
            <w:r>
              <w:rPr>
                <w:color w:val="000000"/>
              </w:rPr>
              <w:t> </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LIABILITIES AND STOCKHOLDERS' EQUITY</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i/>
                <w:color w:val="000000"/>
                <w:sz w:val="20"/>
              </w:rPr>
            </w:pPr>
            <w:r>
              <w:rPr>
                <w:rFonts w:ascii="Franklin Gothic Book;sans-serif" w:hAnsi="Franklin Gothic Book;sans-serif"/>
                <w:b w:val="false"/>
                <w:i/>
                <w:color w:val="000000"/>
                <w:sz w:val="20"/>
              </w:rPr>
              <w:t>Current Liabilities: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Current debt obligations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$19.0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$23.4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payable</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62.8 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74.3 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liabilities and other</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89.7 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81.5 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Current litigation provision liability</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26.7 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29.5 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Taxes payable</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22.3 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16.5 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Accrued employee compensation and related benefits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74.9 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72.2 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Current Liabilities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295.4</w:t>
            </w:r>
            <w:r>
              <w:rPr>
                <w:color w:val="000000"/>
              </w:rPr>
              <w:t> </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297.4</w:t>
            </w:r>
            <w:r>
              <w:rPr>
                <w:color w:val="000000"/>
              </w:rPr>
              <w:t> </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debt obligations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568.2 </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518.1 </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Contingent consideration</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89.8 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85.3 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20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2018" w:type="dxa"/>
            <w:gridSpan w:val="3"/>
            <w:tcBorders/>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Deferred tax liabilities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9.9 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8.5 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operating lease liabilities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25.2 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29.5 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employee compensation and related benefits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15.9 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16.8 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Long-term derivative liabilities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53.3 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85.7 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long-term liabilities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46.3 </w:t>
            </w:r>
          </w:p>
        </w:tc>
        <w:tc>
          <w:tcPr>
            <w:tcW w:w="6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45.8 </w:t>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Liabilities</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1,103.9 </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1,087.1 </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Stockholders’ Equity</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1,225.5 </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1,207.6 </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Total Liabilities and Stockholders’ Equity</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$2,329.4</w:t>
            </w:r>
            <w:r>
              <w:rPr>
                <w:color w:val="000000"/>
              </w:rPr>
              <w:t> </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Franklin Gothic Book;sans-serif" w:hAnsi="Franklin Gothic Book;sans-serif"/>
                <w:b/>
                <w:color w:val="000000"/>
                <w:sz w:val="20"/>
              </w:rPr>
              <w:t>$2,294.8</w:t>
            </w:r>
            <w:r>
              <w:rPr>
                <w:color w:val="000000"/>
              </w:rPr>
              <w:t> </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20"/>
              </w:rPr>
              <w:t>Numbers may not add precisely due to rounding.</w:t>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39140"/>
                <wp:effectExtent l="0" t="0" r="0" b="0"/>
                <wp:wrapNone/>
                <wp:docPr id="23" name="Frame2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18</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21"/>
        <w:gridCol w:w="2059"/>
        <w:gridCol w:w="2066"/>
        <w:gridCol w:w="109"/>
        <w:gridCol w:w="109"/>
        <w:gridCol w:w="109"/>
        <w:gridCol w:w="420"/>
        <w:gridCol w:w="414"/>
        <w:gridCol w:w="305"/>
        <w:gridCol w:w="305"/>
        <w:gridCol w:w="305"/>
        <w:gridCol w:w="305"/>
        <w:gridCol w:w="420"/>
        <w:gridCol w:w="414"/>
        <w:gridCol w:w="444"/>
      </w:tblGrid>
      <w:tr>
        <w:trPr/>
        <w:tc>
          <w:tcPr>
            <w:tcW w:w="2421"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LIVANOVA PLC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CONDENSED CONSOLIDATED STATEMENTS OF CASH FLOWS -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(U.S.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Nine Months Ended September 30,</w:t>
            </w:r>
          </w:p>
        </w:tc>
      </w:tr>
      <w:tr>
        <w:trPr/>
        <w:tc>
          <w:tcPr>
            <w:tcW w:w="6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2023</w:t>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2022</w:t>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($87.9)</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Adjustments to reconcile net income (loss) to 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28.1 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32.5 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Remeasurement of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(25.7)</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(38.8)</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19.1 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19.0 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18.6 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16.6 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Amortization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14.2 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16.4 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Amortization of 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7.3 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7.1 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Remeasurement of contingent consideration to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4.5 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(33.3)</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Impairment of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129.4 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2.5 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1.4 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Changes in operating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(8.2)</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(33.0)</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(22.6)</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 current and 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(3.0)</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12.2 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Accounts payable and accrued current and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(8.1)</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Taxes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6.3 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Litigation provision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8.2 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21.0 </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51.2 </w:t>
            </w:r>
          </w:p>
        </w:tc>
        <w:tc>
          <w:tcPr>
            <w:tcW w:w="4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Purchases of 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(22.1)</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(17.4)</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Purchase of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(6.6)</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(0.9)</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Acquisition, net of cash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(8.9)</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0.4 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(0.3)</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(28.2)</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(27.5)</w:t>
            </w:r>
          </w:p>
        </w:tc>
        <w:tc>
          <w:tcPr>
            <w:tcW w:w="4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Proceeds from long-term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50.0 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507.5 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Repayment of long-term debt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(16.1)</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(220.8)</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Shares repurchased from employees for minimum tax withholding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(7.0)</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(8.6)</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Repayments of short-term borrowings (maturities greater than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(1.9)</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Proceeds from share issuances under 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1.6 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1.8 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Proceeds from deferred consideration from sale of Heart Valves, net of working capital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4.6 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Payment of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(3.3)</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(0.2)</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0.5 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cash provided by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26.5 </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281.8 </w:t>
            </w:r>
          </w:p>
        </w:tc>
        <w:tc>
          <w:tcPr>
            <w:tcW w:w="4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Effect of exchange rate changes on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(2.2)</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(7.3)</w:t>
            </w:r>
          </w:p>
        </w:tc>
        <w:tc>
          <w:tcPr>
            <w:tcW w:w="4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20"/>
              </w:rPr>
            </w:pPr>
            <w:r>
              <w:rPr>
                <w:rFonts w:ascii="Franklin Gothic Book;sans-serif" w:hAnsi="Franklin Gothic Book;sans-serif"/>
                <w:b/>
                <w:color w:val="000000"/>
                <w:sz w:val="20"/>
              </w:rPr>
              <w:t>Net increase in cash, cash equivalents and 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17.1 </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298.3 </w:t>
            </w:r>
          </w:p>
        </w:tc>
        <w:tc>
          <w:tcPr>
            <w:tcW w:w="4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cash equivalents and restricted cash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515.6 </w:t>
            </w:r>
          </w:p>
        </w:tc>
        <w:tc>
          <w:tcPr>
            <w:tcW w:w="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208.0 </w:t>
            </w:r>
          </w:p>
        </w:tc>
        <w:tc>
          <w:tcPr>
            <w:tcW w:w="4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Cash, cash equivalents and restricted cash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$532.7 </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$506.3 </w:t>
            </w:r>
          </w:p>
        </w:tc>
        <w:tc>
          <w:tcPr>
            <w:tcW w:w="4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Franklin Gothic Book;sans-serif" w:hAnsi="Franklin Gothic Book;sans-serif"/>
                <w:b w:val="false"/>
                <w:color w:val="000000"/>
                <w:sz w:val="20"/>
              </w:rPr>
              <w:t>Numbers may not add precisely due to rounding.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39140"/>
                <wp:effectExtent l="0" t="0" r="0" b="0"/>
                <wp:wrapNone/>
                <wp:docPr id="24" name="Frame2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19</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432" w:before="0" w:after="0"/>
        <w:jc w:val="left"/>
        <w:rPr>
          <w:rFonts w:ascii="Franklin Gothic Book;sans-serif" w:hAnsi="Franklin Gothic Book;sans-serif"/>
          <w:b w:val="false"/>
          <w:color w:val="000000"/>
          <w:sz w:val="22"/>
        </w:rPr>
      </w:pPr>
      <w:r>
        <w:rPr>
          <w:rFonts w:ascii="Franklin Gothic Book;sans-serif" w:hAnsi="Franklin Gothic Book;sans-serif"/>
          <w:b w:val="false"/>
          <w:color w:val="000000"/>
          <w:sz w:val="22"/>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 (in millions of shares):</w:t>
      </w:r>
    </w:p>
    <w:tbl>
      <w:tblPr>
        <w:tblW w:w="10205" w:type="dxa"/>
        <w:jc w:val="left"/>
        <w:tblInd w:w="0" w:type="dxa"/>
        <w:tblLayout w:type="fixed"/>
        <w:tblCellMar>
          <w:top w:w="28" w:type="dxa"/>
          <w:left w:w="28" w:type="dxa"/>
          <w:bottom w:w="28" w:type="dxa"/>
          <w:right w:w="28" w:type="dxa"/>
        </w:tblCellMar>
      </w:tblPr>
      <w:tblGrid>
        <w:gridCol w:w="797"/>
        <w:gridCol w:w="537"/>
        <w:gridCol w:w="348"/>
        <w:gridCol w:w="623"/>
        <w:gridCol w:w="623"/>
        <w:gridCol w:w="623"/>
        <w:gridCol w:w="317"/>
        <w:gridCol w:w="317"/>
        <w:gridCol w:w="317"/>
        <w:gridCol w:w="529"/>
        <w:gridCol w:w="365"/>
        <w:gridCol w:w="317"/>
        <w:gridCol w:w="317"/>
        <w:gridCol w:w="317"/>
        <w:gridCol w:w="317"/>
        <w:gridCol w:w="529"/>
        <w:gridCol w:w="365"/>
        <w:gridCol w:w="317"/>
        <w:gridCol w:w="141"/>
        <w:gridCol w:w="141"/>
        <w:gridCol w:w="141"/>
        <w:gridCol w:w="141"/>
        <w:gridCol w:w="109"/>
        <w:gridCol w:w="483"/>
        <w:gridCol w:w="483"/>
        <w:gridCol w:w="691"/>
      </w:tblGrid>
      <w:tr>
        <w:trPr/>
        <w:tc>
          <w:tcPr>
            <w:tcW w:w="79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7875"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Franklin Gothic Book;sans-serif" w:hAnsi="Franklin Gothic Book;sans-serif"/>
                <w:b/>
                <w:color w:val="000000"/>
                <w:sz w:val="16"/>
              </w:rPr>
            </w:pPr>
            <w:r>
              <w:rPr>
                <w:rFonts w:ascii="Franklin Gothic Book;sans-serif" w:hAnsi="Franklin Gothic Book;sans-serif"/>
                <w:b/>
                <w:color w:val="000000"/>
                <w:sz w:val="16"/>
              </w:rPr>
              <w:t>RECONCILIATION OF GAAP TO NON-GAAP FINANCIAL MEASURES - UNAUDITED</w:t>
              <w:br/>
              <w:t>(shares in millions)</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Three Months Ended </w:t>
              <w:br/>
              <w:t>September 30,</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color w:val="000000"/>
                <w:sz w:val="20"/>
              </w:rPr>
            </w:pPr>
            <w:r>
              <w:rPr>
                <w:rFonts w:ascii="Franklin Gothic Book;sans-serif" w:hAnsi="Franklin Gothic Book;sans-serif"/>
                <w:b/>
                <w:color w:val="000000"/>
                <w:sz w:val="20"/>
              </w:rPr>
              <w:t xml:space="preserve">Nine Months Ended </w:t>
              <w:br/>
              <w:t>September 30, 2022</w:t>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2023</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Franklin Gothic Book;sans-serif" w:hAnsi="Franklin Gothic Book;sans-serif"/>
                <w:b w:val="false"/>
                <w:color w:val="000000"/>
                <w:sz w:val="20"/>
              </w:rPr>
            </w:pPr>
            <w:r>
              <w:rPr>
                <w:rFonts w:ascii="Franklin Gothic Book;sans-serif" w:hAnsi="Franklin Gothic Book;sans-serif"/>
                <w:b w:val="false"/>
                <w:color w:val="000000"/>
                <w:sz w:val="20"/>
              </w:rPr>
              <w:t>2022</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GAAP diluted weighted average shares outstanding</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54.0 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53.5 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53.5 </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20"/>
              </w:rPr>
            </w:pPr>
            <w:r>
              <w:rPr>
                <w:rFonts w:ascii="Franklin Gothic Book;sans-serif" w:hAnsi="Franklin Gothic Book;sans-serif"/>
                <w:b w:val="false"/>
                <w:color w:val="000000"/>
                <w:sz w:val="20"/>
              </w:rPr>
              <w:t>Add effects of stock-based compensation instruments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0.3 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0.4 </w:t>
            </w:r>
          </w:p>
        </w:tc>
        <w:tc>
          <w:tcPr>
            <w:tcW w:w="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0.6 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Franklin Gothic Book;sans-serif" w:hAnsi="Franklin Gothic Book;sans-serif"/>
                <w:b w:val="false"/>
                <w:color w:val="000000"/>
                <w:sz w:val="20"/>
              </w:rPr>
              <w:t xml:space="preserve">Adjusted diluted weighted average shares outstanding </w:t>
            </w:r>
            <w:r>
              <w:rPr>
                <w:rFonts w:ascii="Franklin Gothic Book;sans-serif" w:hAnsi="Franklin Gothic Book;sans-serif"/>
                <w:b w:val="false"/>
                <w:color w:val="000000"/>
                <w:sz w:val="13"/>
              </w:rPr>
              <w:t>(1)</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54.3 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53.9 </w:t>
            </w:r>
          </w:p>
        </w:tc>
        <w:tc>
          <w:tcPr>
            <w:tcW w:w="3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Franklin Gothic Book;sans-serif" w:hAnsi="Franklin Gothic Book;sans-serif"/>
                <w:b w:val="false"/>
                <w:color w:val="000000"/>
                <w:sz w:val="20"/>
              </w:rPr>
            </w:pPr>
            <w:r>
              <w:rPr>
                <w:rFonts w:ascii="Franklin Gothic Book;sans-serif" w:hAnsi="Franklin Gothic Book;sans-serif"/>
                <w:b w:val="false"/>
                <w:color w:val="000000"/>
                <w:sz w:val="20"/>
              </w:rPr>
              <w:t>54.1 </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Franklin Gothic Book;sans-serif" w:hAnsi="Franklin Gothic Book;sans-serif"/>
                <w:b w:val="false"/>
                <w:color w:val="000000"/>
                <w:sz w:val="18"/>
              </w:rPr>
            </w:pPr>
            <w:r>
              <w:rPr>
                <w:rFonts w:ascii="Franklin Gothic Book;sans-serif" w:hAnsi="Franklin Gothic Book;sans-serif"/>
                <w:b w:val="false"/>
                <w:color w:val="000000"/>
                <w:sz w:val="18"/>
              </w:rPr>
              <w:t>(1)</w:t>
            </w:r>
          </w:p>
        </w:tc>
        <w:tc>
          <w:tcPr>
            <w:tcW w:w="6757" w:type="dxa"/>
            <w:gridSpan w:val="1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Adjusted diluted weighted average shares outstanding is a non-GAAP measure and includes the effects of stock-based compensation instruments, as reconciled in the above table.</w:t>
            </w:r>
          </w:p>
        </w:tc>
        <w:tc>
          <w:tcPr>
            <w:tcW w:w="1766" w:type="dxa"/>
            <w:gridSpan w:val="4"/>
            <w:tcBorders/>
          </w:tcPr>
          <w:p>
            <w:pPr>
              <w:pStyle w:val="TableContents"/>
              <w:bidi w:val="0"/>
              <w:spacing w:before="0" w:after="283"/>
              <w:jc w:val="left"/>
              <w:rPr>
                <w:sz w:val="4"/>
                <w:szCs w:val="4"/>
              </w:rPr>
            </w:pPr>
            <w:r>
              <w:rPr>
                <w:sz w:val="4"/>
                <w:szCs w:val="4"/>
              </w:rPr>
            </w:r>
          </w:p>
        </w:tc>
      </w:tr>
      <w:tr>
        <w:trPr/>
        <w:tc>
          <w:tcPr>
            <w:tcW w:w="16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57" w:type="dxa"/>
            <w:gridSpan w:val="19"/>
            <w:tcBorders/>
            <w:tcMar>
              <w:top w:w="0" w:type="dxa"/>
              <w:left w:w="0" w:type="dxa"/>
              <w:bottom w:w="0" w:type="dxa"/>
              <w:right w:w="0" w:type="dxa"/>
            </w:tcMar>
            <w:vAlign w:val="center"/>
          </w:tcPr>
          <w:p>
            <w:pPr>
              <w:pStyle w:val="TableContents"/>
              <w:bidi w:val="0"/>
              <w:spacing w:lineRule="auto" w:line="240" w:before="0" w:after="283"/>
              <w:jc w:val="left"/>
              <w:rPr>
                <w:rFonts w:ascii="Franklin Gothic Book;sans-serif" w:hAnsi="Franklin Gothic Book;sans-serif"/>
                <w:b w:val="false"/>
                <w:color w:val="000000"/>
                <w:sz w:val="18"/>
              </w:rPr>
            </w:pPr>
            <w:r>
              <w:rPr>
                <w:rFonts w:ascii="Franklin Gothic Book;sans-serif" w:hAnsi="Franklin Gothic Book;sans-serif"/>
                <w:b w:val="false"/>
                <w:color w:val="000000"/>
                <w:sz w:val="18"/>
              </w:rPr>
              <w:t>Numbers may not add precisely due to rounding.</w:t>
            </w:r>
          </w:p>
        </w:tc>
        <w:tc>
          <w:tcPr>
            <w:tcW w:w="1766"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39140"/>
                <wp:effectExtent l="0" t="0" r="0" b="0"/>
                <wp:wrapNone/>
                <wp:docPr id="25" name="Frame2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20</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Franklin Gothic Book;sans-serif" w:hAnsi="Franklin Gothic Book;sans-serif"/>
                          <w:b w:val="false"/>
                          <w:color w:val="000000"/>
                          <w:sz w:val="24"/>
                        </w:rPr>
                      </w:pPr>
                      <w:r>
                        <w:rPr>
                          <w:rFonts w:ascii="Franklin Gothic Book;sans-serif" w:hAnsi="Franklin Gothic Book;sans-serif"/>
                          <w:b w:val="false"/>
                          <w:color w:val="000000"/>
                          <w:sz w:val="24"/>
                        </w:rPr>
                        <w:t>20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Franklin Gothic Demi">
    <w:altName w:val="sans-serif"/>
    <w:charset w:val="01"/>
    <w:family w:val="auto"/>
    <w:pitch w:val="default"/>
  </w:font>
  <w:font w:name="Franklin Gothic Book">
    <w:altName w:val="sans-serif"/>
    <w:charset w:val="01"/>
    <w:family w:val="auto"/>
    <w:pitch w:val="default"/>
  </w:font>
  <w:font w:name="Arial">
    <w:altName w:val="sans-serif"/>
    <w:charset w:val="01"/>
    <w:family w:val="auto"/>
    <w:pitch w:val="default"/>
  </w:font>
  <w:font w:name="Franklin Gothic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6646</Words>
  <Characters>36140</Characters>
  <CharactersWithSpaces>41839</CharactersWithSpaces>
  <Paragraphs>2109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