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LivaNova PLC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G5509L101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35" w:right="259" w:bottom="1440" w:gutter="0" w:footer="0" w:header="0"/>
        </w:sectPr>
      </w:pPr>
    </w:p>
    <w:bookmarkStart w:id="1" w:name="page2"/>
    <w:bookmarkEnd w:id="1"/>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G5509L101</w:t>
      </w:r>
      <w:r>
        <w:rPr>
          <w:sz w:val="20"/>
          <w:szCs w:val="20"/>
          <w:color w:val="auto"/>
        </w:rPr>
        <w:tab/>
      </w:r>
      <w:r>
        <w:rPr>
          <w:rFonts w:ascii="Arial" w:cs="Arial" w:eastAsia="Arial" w:hAnsi="Arial"/>
          <w:sz w:val="17"/>
          <w:szCs w:val="17"/>
          <w:color w:val="auto"/>
        </w:rPr>
        <w:t>Page 2 of 9</w:t>
      </w:r>
    </w:p>
    <w:p>
      <w:pPr>
        <w:spacing w:after="0" w:line="266" w:lineRule="exact"/>
        <w:rPr>
          <w:sz w:val="20"/>
          <w:szCs w:val="20"/>
          <w:color w:val="auto"/>
        </w:rPr>
      </w:pPr>
    </w:p>
    <w:p>
      <w:pPr>
        <w:ind w:left="780" w:right="7840" w:hanging="525"/>
        <w:spacing w:after="0" w:line="407"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Mittel S.p.A.</w:t>
      </w:r>
    </w:p>
    <w:p>
      <w:pPr>
        <w:ind w:left="780" w:hanging="525"/>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254875" cy="5222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ind w:left="780"/>
        <w:spacing w:after="0" w:line="205"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right="7000" w:hanging="525"/>
        <w:spacing w:after="0" w:line="407"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Italy</w:t>
      </w:r>
    </w:p>
    <w:p>
      <w:pPr>
        <w:ind w:left="1900" w:hanging="366"/>
        <w:spacing w:after="0"/>
        <w:tabs>
          <w:tab w:leader="none" w:pos="1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96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8"/>
                <w:szCs w:val="18"/>
                <w:color w:val="auto"/>
              </w:rPr>
            </w:pP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4,262,285</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40" w:type="dxa"/>
            <w:vAlign w:val="bottom"/>
          </w:tcPr>
          <w:p>
            <w:pPr>
              <w:spacing w:after="0"/>
              <w:rPr>
                <w:sz w:val="20"/>
                <w:szCs w:val="20"/>
                <w:color w:val="auto"/>
              </w:rPr>
            </w:pPr>
          </w:p>
        </w:tc>
        <w:tc>
          <w:tcPr>
            <w:tcW w:w="9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6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62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4,262,285</w:t>
      </w:r>
    </w:p>
    <w:p>
      <w:pPr>
        <w:spacing w:after="0" w:line="36" w:lineRule="exact"/>
        <w:rPr>
          <w:sz w:val="20"/>
          <w:szCs w:val="20"/>
          <w:color w:val="auto"/>
        </w:rPr>
      </w:pPr>
    </w:p>
    <w:p>
      <w:pPr>
        <w:ind w:left="780" w:right="4100" w:hanging="525"/>
        <w:spacing w:after="0" w:line="407"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4,262,285</w:t>
      </w:r>
    </w:p>
    <w:p>
      <w:pPr>
        <w:ind w:left="780" w:hanging="61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600" w:hanging="615"/>
        <w:spacing w:after="0" w:line="402"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8.7%</w:t>
      </w:r>
      <w:r>
        <w:rPr>
          <w:rFonts w:ascii="Arial" w:cs="Arial" w:eastAsia="Arial" w:hAnsi="Arial"/>
          <w:sz w:val="15"/>
          <w:szCs w:val="15"/>
          <w:color w:val="auto"/>
        </w:rPr>
        <w:t>1</w:t>
      </w:r>
    </w:p>
    <w:p>
      <w:pPr>
        <w:spacing w:after="0" w:line="1" w:lineRule="exact"/>
        <w:rPr>
          <w:rFonts w:ascii="Arial" w:cs="Arial" w:eastAsia="Arial" w:hAnsi="Arial"/>
          <w:sz w:val="18"/>
          <w:szCs w:val="18"/>
          <w:color w:val="auto"/>
        </w:rPr>
      </w:pPr>
    </w:p>
    <w:p>
      <w:pPr>
        <w:ind w:left="780" w:hanging="615"/>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5"/>
          <w:szCs w:val="15"/>
          <w:color w:val="auto"/>
        </w:rPr>
      </w:pPr>
      <w:r>
        <w:rPr>
          <w:rFonts w:ascii="Arial" w:cs="Arial" w:eastAsia="Arial" w:hAnsi="Arial"/>
          <w:sz w:val="18"/>
          <w:szCs w:val="18"/>
          <w:color w:val="auto"/>
        </w:rPr>
        <w:t>Based on 48,867,065 of the Issuer’s Ordinary Shares outstanding as of December 31, 2015.</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G5509L101</w:t>
      </w:r>
      <w:r>
        <w:rPr>
          <w:sz w:val="20"/>
          <w:szCs w:val="20"/>
          <w:color w:val="auto"/>
        </w:rPr>
        <w:tab/>
      </w:r>
      <w:r>
        <w:rPr>
          <w:rFonts w:ascii="Arial" w:cs="Arial" w:eastAsia="Arial" w:hAnsi="Arial"/>
          <w:sz w:val="17"/>
          <w:szCs w:val="17"/>
          <w:color w:val="auto"/>
        </w:rPr>
        <w:t>Page 3 of 9</w:t>
      </w:r>
    </w:p>
    <w:p>
      <w:pPr>
        <w:spacing w:after="0" w:line="266" w:lineRule="exact"/>
        <w:rPr>
          <w:sz w:val="20"/>
          <w:szCs w:val="20"/>
          <w:color w:val="auto"/>
        </w:rPr>
      </w:pPr>
    </w:p>
    <w:p>
      <w:pPr>
        <w:ind w:left="780" w:right="7840" w:hanging="525"/>
        <w:spacing w:after="0" w:line="407"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NAMES OF REPORTING PERSONS. Equinox Two S.c.a.</w:t>
      </w:r>
    </w:p>
    <w:p>
      <w:pPr>
        <w:ind w:left="780" w:hanging="525"/>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254875" cy="522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ind w:left="780"/>
        <w:spacing w:after="0" w:line="205"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right="7000" w:hanging="525"/>
        <w:spacing w:after="0" w:line="407"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p>
      <w:pPr>
        <w:ind w:left="1900" w:hanging="366"/>
        <w:spacing w:after="0"/>
        <w:tabs>
          <w:tab w:leader="none" w:pos="190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96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8"/>
                <w:szCs w:val="18"/>
                <w:color w:val="auto"/>
              </w:rPr>
            </w:pP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5,748,369</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40" w:type="dxa"/>
            <w:vAlign w:val="bottom"/>
          </w:tcPr>
          <w:p>
            <w:pPr>
              <w:spacing w:after="0"/>
              <w:rPr>
                <w:sz w:val="20"/>
                <w:szCs w:val="20"/>
                <w:color w:val="auto"/>
              </w:rPr>
            </w:pPr>
          </w:p>
        </w:tc>
        <w:tc>
          <w:tcPr>
            <w:tcW w:w="9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6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62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5,748,369</w:t>
      </w:r>
    </w:p>
    <w:p>
      <w:pPr>
        <w:spacing w:after="0" w:line="36" w:lineRule="exact"/>
        <w:rPr>
          <w:sz w:val="20"/>
          <w:szCs w:val="20"/>
          <w:color w:val="auto"/>
        </w:rPr>
      </w:pPr>
    </w:p>
    <w:p>
      <w:pPr>
        <w:ind w:left="780" w:right="4100" w:hanging="525"/>
        <w:spacing w:after="0" w:line="407"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5,748,369</w:t>
      </w:r>
    </w:p>
    <w:p>
      <w:pPr>
        <w:ind w:left="780" w:hanging="61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600" w:hanging="615"/>
        <w:spacing w:after="0" w:line="402"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11.8%</w:t>
      </w:r>
      <w:r>
        <w:rPr>
          <w:rFonts w:ascii="Arial" w:cs="Arial" w:eastAsia="Arial" w:hAnsi="Arial"/>
          <w:sz w:val="15"/>
          <w:szCs w:val="15"/>
          <w:color w:val="auto"/>
        </w:rPr>
        <w:t>2</w:t>
      </w:r>
    </w:p>
    <w:p>
      <w:pPr>
        <w:spacing w:after="0" w:line="1" w:lineRule="exact"/>
        <w:rPr>
          <w:rFonts w:ascii="Arial" w:cs="Arial" w:eastAsia="Arial" w:hAnsi="Arial"/>
          <w:sz w:val="18"/>
          <w:szCs w:val="18"/>
          <w:color w:val="auto"/>
        </w:rPr>
      </w:pPr>
    </w:p>
    <w:p>
      <w:pPr>
        <w:ind w:left="780" w:hanging="615"/>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Based on 48,867,065 of the Issuer’s Ordinary Shares outstanding as of December 31, 2015.</w:t>
      </w:r>
    </w:p>
    <w:p>
      <w:pPr>
        <w:sectPr>
          <w:pgSz w:w="11900" w:h="16838" w:orient="portrait"/>
          <w:cols w:equalWidth="0" w:num="1">
            <w:col w:w="11440"/>
          </w:cols>
          <w:pgMar w:left="240" w:top="274" w:right="219" w:bottom="1440" w:gutter="0" w:footer="0" w:header="0"/>
        </w:sectPr>
      </w:pPr>
    </w:p>
    <w:bookmarkStart w:id="3" w:name="page4"/>
    <w:bookmarkEnd w:id="3"/>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G5509L101</w:t>
      </w:r>
      <w:r>
        <w:rPr>
          <w:sz w:val="20"/>
          <w:szCs w:val="20"/>
          <w:color w:val="auto"/>
        </w:rPr>
        <w:tab/>
      </w:r>
      <w:r>
        <w:rPr>
          <w:rFonts w:ascii="Arial" w:cs="Arial" w:eastAsia="Arial" w:hAnsi="Arial"/>
          <w:sz w:val="17"/>
          <w:szCs w:val="17"/>
          <w:color w:val="auto"/>
        </w:rPr>
        <w:t>Page 4 of 9</w:t>
      </w:r>
    </w:p>
    <w:p>
      <w:pPr>
        <w:spacing w:after="0" w:line="266" w:lineRule="exact"/>
        <w:rPr>
          <w:sz w:val="20"/>
          <w:szCs w:val="20"/>
          <w:color w:val="auto"/>
        </w:rPr>
      </w:pPr>
    </w:p>
    <w:p>
      <w:pPr>
        <w:ind w:left="780" w:right="7840" w:hanging="525"/>
        <w:spacing w:after="0" w:line="407"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NAMES OF REPORTING PERSONS. Tower 6 S. à r.l.</w:t>
      </w:r>
    </w:p>
    <w:p>
      <w:pPr>
        <w:ind w:left="780" w:hanging="525"/>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254875" cy="5222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ind w:left="780"/>
        <w:spacing w:after="0" w:line="205"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right="7000" w:hanging="525"/>
        <w:spacing w:after="0" w:line="407"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p>
      <w:pPr>
        <w:ind w:left="1900" w:hanging="366"/>
        <w:spacing w:after="0"/>
        <w:tabs>
          <w:tab w:leader="none" w:pos="1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96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8"/>
                <w:szCs w:val="18"/>
                <w:color w:val="auto"/>
              </w:rPr>
            </w:pP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5,748,369</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40" w:type="dxa"/>
            <w:vAlign w:val="bottom"/>
          </w:tcPr>
          <w:p>
            <w:pPr>
              <w:spacing w:after="0"/>
              <w:rPr>
                <w:sz w:val="20"/>
                <w:szCs w:val="20"/>
                <w:color w:val="auto"/>
              </w:rPr>
            </w:pPr>
          </w:p>
        </w:tc>
        <w:tc>
          <w:tcPr>
            <w:tcW w:w="9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6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62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5,748,369</w:t>
      </w:r>
    </w:p>
    <w:p>
      <w:pPr>
        <w:spacing w:after="0" w:line="36" w:lineRule="exact"/>
        <w:rPr>
          <w:sz w:val="20"/>
          <w:szCs w:val="20"/>
          <w:color w:val="auto"/>
        </w:rPr>
      </w:pPr>
    </w:p>
    <w:p>
      <w:pPr>
        <w:ind w:left="780" w:right="4100" w:hanging="525"/>
        <w:spacing w:after="0" w:line="407"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5,748,369</w:t>
      </w:r>
    </w:p>
    <w:p>
      <w:pPr>
        <w:ind w:left="780" w:hanging="615"/>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600" w:hanging="615"/>
        <w:spacing w:after="0" w:line="402"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 11.8%</w:t>
      </w:r>
      <w:r>
        <w:rPr>
          <w:rFonts w:ascii="Arial" w:cs="Arial" w:eastAsia="Arial" w:hAnsi="Arial"/>
          <w:sz w:val="15"/>
          <w:szCs w:val="15"/>
          <w:color w:val="auto"/>
        </w:rPr>
        <w:t>3</w:t>
      </w:r>
    </w:p>
    <w:p>
      <w:pPr>
        <w:spacing w:after="0" w:line="1" w:lineRule="exact"/>
        <w:rPr>
          <w:rFonts w:ascii="Arial" w:cs="Arial" w:eastAsia="Arial" w:hAnsi="Arial"/>
          <w:sz w:val="18"/>
          <w:szCs w:val="18"/>
          <w:color w:val="auto"/>
        </w:rPr>
      </w:pPr>
    </w:p>
    <w:p>
      <w:pPr>
        <w:ind w:left="780" w:hanging="615"/>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5"/>
          <w:szCs w:val="15"/>
          <w:color w:val="auto"/>
        </w:rPr>
      </w:pPr>
      <w:r>
        <w:rPr>
          <w:rFonts w:ascii="Arial" w:cs="Arial" w:eastAsia="Arial" w:hAnsi="Arial"/>
          <w:sz w:val="18"/>
          <w:szCs w:val="18"/>
          <w:color w:val="auto"/>
        </w:rPr>
        <w:t>Based on 48,867,065 of the Issuer’s Ordinary Shares outstanding as of December 31, 2015.</w:t>
      </w:r>
    </w:p>
    <w:p>
      <w:pPr>
        <w:sectPr>
          <w:pgSz w:w="11900" w:h="16838" w:orient="portrait"/>
          <w:cols w:equalWidth="0" w:num="1">
            <w:col w:w="11440"/>
          </w:cols>
          <w:pgMar w:left="240" w:top="274" w:right="219" w:bottom="1440" w:gutter="0" w:footer="0" w:header="0"/>
        </w:sectPr>
      </w:pPr>
    </w:p>
    <w:bookmarkStart w:id="4" w:name="page5"/>
    <w:bookmarkEnd w:id="4"/>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G5509L101</w:t>
      </w:r>
      <w:r>
        <w:rPr>
          <w:sz w:val="20"/>
          <w:szCs w:val="20"/>
          <w:color w:val="auto"/>
        </w:rPr>
        <w:tab/>
      </w:r>
      <w:r>
        <w:rPr>
          <w:rFonts w:ascii="Arial" w:cs="Arial" w:eastAsia="Arial" w:hAnsi="Arial"/>
          <w:sz w:val="17"/>
          <w:szCs w:val="17"/>
          <w:color w:val="auto"/>
        </w:rPr>
        <w:t>Page 5 of 9</w:t>
      </w:r>
    </w:p>
    <w:p>
      <w:pPr>
        <w:spacing w:after="0" w:line="266" w:lineRule="exact"/>
        <w:rPr>
          <w:sz w:val="20"/>
          <w:szCs w:val="20"/>
          <w:color w:val="auto"/>
        </w:rPr>
      </w:pPr>
    </w:p>
    <w:p>
      <w:pPr>
        <w:ind w:left="780" w:right="7840" w:hanging="525"/>
        <w:spacing w:after="0" w:line="407"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 Tower 6 Bis S. à r.l.</w:t>
      </w:r>
    </w:p>
    <w:p>
      <w:pPr>
        <w:ind w:left="780" w:hanging="525"/>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254875" cy="522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ind w:left="780"/>
        <w:spacing w:after="0" w:line="205"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right="7000" w:hanging="525"/>
        <w:spacing w:after="0" w:line="407"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 Luxembourg</w:t>
      </w:r>
    </w:p>
    <w:p>
      <w:pPr>
        <w:ind w:left="1900" w:hanging="366"/>
        <w:spacing w:after="0"/>
        <w:tabs>
          <w:tab w:leader="none" w:pos="1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96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8"/>
                <w:szCs w:val="18"/>
                <w:color w:val="auto"/>
              </w:rPr>
            </w:pP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1,486,084</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40" w:type="dxa"/>
            <w:vAlign w:val="bottom"/>
          </w:tcPr>
          <w:p>
            <w:pPr>
              <w:spacing w:after="0"/>
              <w:rPr>
                <w:sz w:val="20"/>
                <w:szCs w:val="20"/>
                <w:color w:val="auto"/>
              </w:rPr>
            </w:pPr>
          </w:p>
        </w:tc>
        <w:tc>
          <w:tcPr>
            <w:tcW w:w="9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6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62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1,486,084</w:t>
      </w:r>
    </w:p>
    <w:p>
      <w:pPr>
        <w:spacing w:after="0" w:line="36" w:lineRule="exact"/>
        <w:rPr>
          <w:sz w:val="20"/>
          <w:szCs w:val="20"/>
          <w:color w:val="auto"/>
        </w:rPr>
      </w:pPr>
    </w:p>
    <w:p>
      <w:pPr>
        <w:ind w:left="780" w:right="4100" w:hanging="525"/>
        <w:spacing w:after="0" w:line="40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1,486,084</w:t>
      </w:r>
    </w:p>
    <w:p>
      <w:pPr>
        <w:ind w:left="780" w:hanging="615"/>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600" w:hanging="615"/>
        <w:spacing w:after="0" w:line="402"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 3.1%</w:t>
      </w:r>
      <w:r>
        <w:rPr>
          <w:rFonts w:ascii="Arial" w:cs="Arial" w:eastAsia="Arial" w:hAnsi="Arial"/>
          <w:sz w:val="15"/>
          <w:szCs w:val="15"/>
          <w:color w:val="auto"/>
        </w:rPr>
        <w:t>4</w:t>
      </w:r>
    </w:p>
    <w:p>
      <w:pPr>
        <w:spacing w:after="0" w:line="1" w:lineRule="exact"/>
        <w:rPr>
          <w:rFonts w:ascii="Arial" w:cs="Arial" w:eastAsia="Arial" w:hAnsi="Arial"/>
          <w:sz w:val="18"/>
          <w:szCs w:val="18"/>
          <w:color w:val="auto"/>
        </w:rPr>
      </w:pPr>
    </w:p>
    <w:p>
      <w:pPr>
        <w:ind w:left="780" w:hanging="615"/>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5"/>
          <w:szCs w:val="15"/>
          <w:color w:val="auto"/>
        </w:rPr>
      </w:pPr>
      <w:r>
        <w:rPr>
          <w:rFonts w:ascii="Arial" w:cs="Arial" w:eastAsia="Arial" w:hAnsi="Arial"/>
          <w:sz w:val="18"/>
          <w:szCs w:val="18"/>
          <w:color w:val="auto"/>
        </w:rPr>
        <w:t>Based on 48,867,065 of the Issuer’s Ordinary Shares outstanding as of December 31, 2015.</w:t>
      </w:r>
    </w:p>
    <w:p>
      <w:pPr>
        <w:sectPr>
          <w:pgSz w:w="11900" w:h="16838" w:orient="portrait"/>
          <w:cols w:equalWidth="0" w:num="1">
            <w:col w:w="11440"/>
          </w:cols>
          <w:pgMar w:left="240" w:top="274" w:right="219" w:bottom="1440" w:gutter="0" w:footer="0" w:header="0"/>
        </w:sectPr>
      </w:pPr>
    </w:p>
    <w:bookmarkStart w:id="5" w:name="page6"/>
    <w:bookmarkEnd w:id="5"/>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G5509L101</w:t>
      </w:r>
      <w:r>
        <w:rPr>
          <w:sz w:val="20"/>
          <w:szCs w:val="20"/>
          <w:color w:val="auto"/>
        </w:rPr>
        <w:tab/>
      </w:r>
      <w:r>
        <w:rPr>
          <w:rFonts w:ascii="Arial" w:cs="Arial" w:eastAsia="Arial" w:hAnsi="Arial"/>
          <w:sz w:val="17"/>
          <w:szCs w:val="17"/>
          <w:color w:val="auto"/>
        </w:rPr>
        <w:t>Page 6 of 9</w:t>
      </w:r>
    </w:p>
    <w:p>
      <w:pPr>
        <w:spacing w:after="0" w:line="266" w:lineRule="exact"/>
        <w:rPr>
          <w:sz w:val="20"/>
          <w:szCs w:val="20"/>
          <w:color w:val="auto"/>
        </w:rPr>
      </w:pPr>
    </w:p>
    <w:p>
      <w:pPr>
        <w:ind w:left="780" w:right="7840" w:hanging="525"/>
        <w:spacing w:after="0" w:line="407"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REPORTING PERSONS. Bios S.p.A.</w:t>
      </w:r>
    </w:p>
    <w:p>
      <w:pPr>
        <w:ind w:left="780" w:hanging="525"/>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-575945</wp:posOffset>
            </wp:positionV>
            <wp:extent cx="7254875" cy="522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5222875"/>
                    </a:xfrm>
                    <a:prstGeom prst="rect">
                      <a:avLst/>
                    </a:prstGeom>
                    <a:noFill/>
                  </pic:spPr>
                </pic:pic>
              </a:graphicData>
            </a:graphic>
          </wp:anchor>
        </w:drawing>
      </w:r>
    </w:p>
    <w:p>
      <w:pPr>
        <w:ind w:left="780"/>
        <w:spacing w:after="0" w:line="205"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80" w:right="7000" w:hanging="525"/>
        <w:spacing w:after="0" w:line="407"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Italy</w:t>
      </w:r>
    </w:p>
    <w:p>
      <w:pPr>
        <w:ind w:left="1900" w:hanging="366"/>
        <w:spacing w:after="0"/>
        <w:tabs>
          <w:tab w:leader="none" w:pos="1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126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SHARES</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962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40" w:type="dxa"/>
            <w:vAlign w:val="bottom"/>
          </w:tcPr>
          <w:p>
            <w:pPr>
              <w:spacing w:after="0"/>
              <w:rPr>
                <w:sz w:val="18"/>
                <w:szCs w:val="18"/>
                <w:color w:val="auto"/>
              </w:rPr>
            </w:pP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4,262,285</w:t>
            </w:r>
          </w:p>
        </w:tc>
        <w:tc>
          <w:tcPr>
            <w:tcW w:w="0" w:type="dxa"/>
            <w:vAlign w:val="bottom"/>
          </w:tcPr>
          <w:p>
            <w:pPr>
              <w:spacing w:after="0"/>
              <w:rPr>
                <w:sz w:val="1"/>
                <w:szCs w:val="1"/>
                <w:color w:val="auto"/>
              </w:rPr>
            </w:pPr>
          </w:p>
        </w:tc>
      </w:tr>
      <w:tr>
        <w:trPr>
          <w:trHeight w:val="230"/>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40" w:type="dxa"/>
            <w:vAlign w:val="bottom"/>
          </w:tcPr>
          <w:p>
            <w:pPr>
              <w:spacing w:after="0"/>
              <w:rPr>
                <w:sz w:val="20"/>
                <w:szCs w:val="20"/>
                <w:color w:val="auto"/>
              </w:rPr>
            </w:pPr>
          </w:p>
        </w:tc>
        <w:tc>
          <w:tcPr>
            <w:tcW w:w="96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260" w:type="dxa"/>
            <w:vAlign w:val="bottom"/>
          </w:tcPr>
          <w:p>
            <w:pPr>
              <w:jc w:val="center"/>
              <w:spacing w:after="0" w:line="182" w:lineRule="exact"/>
              <w:rPr>
                <w:sz w:val="20"/>
                <w:szCs w:val="20"/>
                <w:color w:val="auto"/>
              </w:rPr>
            </w:pPr>
            <w:r>
              <w:rPr>
                <w:rFonts w:ascii="Arial" w:cs="Arial" w:eastAsia="Arial" w:hAnsi="Arial"/>
                <w:sz w:val="18"/>
                <w:szCs w:val="18"/>
                <w:color w:val="auto"/>
                <w:w w:val="95"/>
              </w:rPr>
              <w:t>EACH</w:t>
            </w:r>
          </w:p>
        </w:tc>
        <w:tc>
          <w:tcPr>
            <w:tcW w:w="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62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40" w:type="dxa"/>
            <w:vAlign w:val="bottom"/>
          </w:tcPr>
          <w:p>
            <w:pPr>
              <w:spacing w:after="0"/>
              <w:rPr>
                <w:sz w:val="18"/>
                <w:szCs w:val="18"/>
                <w:color w:val="auto"/>
              </w:rPr>
            </w:pPr>
          </w:p>
        </w:tc>
        <w:tc>
          <w:tcPr>
            <w:tcW w:w="9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340" w:type="dxa"/>
            <w:vAlign w:val="bottom"/>
          </w:tcPr>
          <w:p>
            <w:pPr>
              <w:spacing w:after="0"/>
              <w:rPr>
                <w:sz w:val="18"/>
                <w:szCs w:val="18"/>
                <w:color w:val="auto"/>
              </w:rPr>
            </w:pPr>
          </w:p>
        </w:tc>
        <w:tc>
          <w:tcPr>
            <w:tcW w:w="9620" w:type="dxa"/>
            <w:vAlign w:val="bottom"/>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WITH</w:t>
            </w:r>
          </w:p>
        </w:tc>
        <w:tc>
          <w:tcPr>
            <w:tcW w:w="6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6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12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62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1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4,262,285</w:t>
      </w:r>
    </w:p>
    <w:p>
      <w:pPr>
        <w:spacing w:after="0" w:line="36" w:lineRule="exact"/>
        <w:rPr>
          <w:sz w:val="20"/>
          <w:szCs w:val="20"/>
          <w:color w:val="auto"/>
        </w:rPr>
      </w:pPr>
    </w:p>
    <w:p>
      <w:pPr>
        <w:ind w:left="780" w:right="4100" w:hanging="525"/>
        <w:spacing w:after="0" w:line="407"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4,262,285</w:t>
      </w:r>
    </w:p>
    <w:p>
      <w:pPr>
        <w:ind w:left="780" w:hanging="615"/>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78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3" w:lineRule="exact"/>
        <w:rPr>
          <w:rFonts w:ascii="Arial" w:cs="Arial" w:eastAsia="Arial" w:hAnsi="Arial"/>
          <w:sz w:val="18"/>
          <w:szCs w:val="18"/>
          <w:color w:val="auto"/>
        </w:rPr>
      </w:pPr>
    </w:p>
    <w:p>
      <w:pPr>
        <w:ind w:left="780" w:right="5600" w:hanging="615"/>
        <w:spacing w:after="0" w:line="402"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 8.7%</w:t>
      </w:r>
      <w:r>
        <w:rPr>
          <w:rFonts w:ascii="Arial" w:cs="Arial" w:eastAsia="Arial" w:hAnsi="Arial"/>
          <w:sz w:val="15"/>
          <w:szCs w:val="15"/>
          <w:color w:val="auto"/>
        </w:rPr>
        <w:t>5</w:t>
      </w:r>
    </w:p>
    <w:p>
      <w:pPr>
        <w:spacing w:after="0" w:line="1" w:lineRule="exact"/>
        <w:rPr>
          <w:rFonts w:ascii="Arial" w:cs="Arial" w:eastAsia="Arial" w:hAnsi="Arial"/>
          <w:sz w:val="18"/>
          <w:szCs w:val="18"/>
          <w:color w:val="auto"/>
        </w:rPr>
      </w:pPr>
    </w:p>
    <w:p>
      <w:pPr>
        <w:ind w:left="780" w:right="6320" w:hanging="615"/>
        <w:spacing w:after="0" w:line="559"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 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 w:lineRule="exact"/>
        <w:rPr>
          <w:sz w:val="20"/>
          <w:szCs w:val="20"/>
          <w:color w:val="auto"/>
        </w:rPr>
      </w:pPr>
    </w:p>
    <w:p>
      <w:pPr>
        <w:ind w:left="220" w:hanging="212"/>
        <w:spacing w:after="0"/>
        <w:tabs>
          <w:tab w:leader="none" w:pos="220" w:val="left"/>
        </w:tabs>
        <w:numPr>
          <w:ilvl w:val="0"/>
          <w:numId w:val="22"/>
        </w:numPr>
        <w:rPr>
          <w:rFonts w:ascii="Arial" w:cs="Arial" w:eastAsia="Arial" w:hAnsi="Arial"/>
          <w:sz w:val="15"/>
          <w:szCs w:val="15"/>
          <w:color w:val="auto"/>
        </w:rPr>
      </w:pPr>
      <w:r>
        <w:rPr>
          <w:rFonts w:ascii="Arial" w:cs="Arial" w:eastAsia="Arial" w:hAnsi="Arial"/>
          <w:sz w:val="18"/>
          <w:szCs w:val="18"/>
          <w:color w:val="auto"/>
        </w:rPr>
        <w:t>Based on 48,867,065 of the Issuer’s Ordinary Shares outstanding as of December 31, 2015.</w:t>
      </w:r>
    </w:p>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10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G5509L101</w:t>
      </w:r>
      <w:r>
        <w:rPr>
          <w:sz w:val="20"/>
          <w:szCs w:val="20"/>
          <w:color w:val="auto"/>
        </w:rPr>
        <w:tab/>
      </w:r>
      <w:r>
        <w:rPr>
          <w:rFonts w:ascii="Arial" w:cs="Arial" w:eastAsia="Arial" w:hAnsi="Arial"/>
          <w:sz w:val="17"/>
          <w:szCs w:val="17"/>
          <w:color w:val="auto"/>
        </w:rPr>
        <w:t>Page 7 of 9</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LivaNova PLC</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5 Merchant Square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 Wharf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 W2 1AY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35"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Mittel S.p.A.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Equinox S.c.a.</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Tower 6 S. à r.l.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Tower 6 Bis S. à r.l.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Bios S.p.A.</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Mittel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Piazza Armando Diaz, n.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20123 – Milan (Italy)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Equinox Two S.c.a.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Riva Albertoni,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6900 Lugano (CH)</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Tower 6 S. 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Place du Théâtre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L-2613 Luxembourg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Tower 6 Bis S. à 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Place du Théâtre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L-2613 Luxembourg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Bios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Piazza Armando Diaz, n.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20123 – Milan (Italy)</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Mittel S.p.A. and Bios S.p.A.: Italy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Equinox Two S.c.a., Tower 6 S. à r.l. and Tower 6 Bis S. à r.l.: Luxembourg</w:t>
      </w:r>
    </w:p>
    <w:p>
      <w:pPr>
        <w:spacing w:after="0" w:line="35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G5509L101</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G5509L101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Page 8 of 9</w:t>
      </w:r>
    </w:p>
    <w:p>
      <w:pPr>
        <w:spacing w:after="0" w:line="200" w:lineRule="exact"/>
        <w:rPr>
          <w:sz w:val="20"/>
          <w:szCs w:val="20"/>
          <w:color w:val="auto"/>
        </w:rPr>
      </w:pPr>
    </w:p>
    <w:p>
      <w:pPr>
        <w:sectPr>
          <w:pgSz w:w="11900" w:h="16838" w:orient="portrait"/>
          <w:cols w:equalWidth="0" w:num="2">
            <w:col w:w="9800" w:space="720"/>
            <w:col w:w="900"/>
          </w:cols>
          <w:pgMar w:left="240" w:top="274" w:right="239" w:bottom="1440" w:gutter="0" w:footer="0" w:header="0"/>
        </w:sectPr>
      </w:pP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p>
    <w:p>
      <w:pPr>
        <w:spacing w:after="0" w:line="144" w:lineRule="exact"/>
        <w:rPr>
          <w:sz w:val="20"/>
          <w:szCs w:val="20"/>
          <w:color w:val="auto"/>
        </w:rPr>
      </w:pPr>
    </w:p>
    <w:p>
      <w:pPr>
        <w:sectPr>
          <w:pgSz w:w="11900" w:h="16838" w:orient="portrait"/>
          <w:cols w:equalWidth="0" w:num="2">
            <w:col w:w="540" w:space="600"/>
            <w:col w:w="1028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information in items 1 and 5 through 11 on the cover pages (pp. 2-5) of this Schedule 13G is hereby incorporated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Bios S.p.A. and Tower 6 Bis S. à r.l. are the record holders of 4,262,285 and 1,486,084 Ordinary Shares, respectively.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Mittel S.p.A. and Equinox Two S.c.a. are the 50:50 beneficial owners of the special purpose vehicle Bios S.p.A, in which each Mittel S.p.A. and Equinox Two S.c.a. own 50% of the outstanding voting shares and holds two board director seats of Bios S.p.A. Equinox Two S.c.a. is the owner of 100% of the membership interest in Tower 6 S. à r.l. Tower 6 S. à r.l. (and Equinox Two S.c.a. indirectly through Tower 6 S. à r.l.) owns 51% of the membership interest in Tower 6 Bis S. à r.l. and Mittel S.p.A. owns 49% of the membership interest in Tower 6 Bis S. à r.l.</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40" w:right="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23,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Mittel S.p.A.</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Rosario Bifulco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Rosario Bifulco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Equinox Two S.c.a.</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Giorgio Mancuso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Giorgio Mancuso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Federico Franzina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Federico Franzina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Tower 6 S. à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Vania Baravini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Vania Baravini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Massimiliano Seliziato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Massimiliano Seliziato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Tower 6 Bis S. à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Vania Baravini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Vania Baravini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Massimiliano Seliziato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Massimiliano Seliziato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Bios S.p.A.</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Pietro Santicoli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Pietro Santicoli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Deputy Chairman</w:t>
            </w:r>
          </w:p>
        </w:tc>
      </w:tr>
    </w:tbl>
    <w:p>
      <w:pPr>
        <w:sectPr>
          <w:pgSz w:w="11900" w:h="16838" w:orient="portrait"/>
          <w:cols w:equalWidth="0" w:num="1">
            <w:col w:w="11420"/>
          </w:cols>
          <w:pgMar w:left="240" w:top="270"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other on behalf of each of them of such a statement on Schedule 13G with respect to the common stock beneficially owned by each of them of LivaNova PLC. This Joint Filing Agreement shall be included as an Exhibit to such Schedule 13G.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hereby execute this Joint Filing Agreement as of the 16th day of February,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Mittel S.p.A.</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Rosario Bifulco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Rosario Bifulco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Equinox Two S.c.a.</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Giorgio Mancuso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Giorgio Mancuso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Federico Franzina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Federico Franzina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Director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Tower 6 S. à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Vania Baravini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Vania Baravini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Massimiliano Seliziato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Massimiliano Seliziato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Tower 6 Bis S. à r.l.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Vania Baravini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Vania Baravini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Massimiliano Seliziato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Massimiliano Seliziato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Bios S.p.A.</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Pietro Santicoli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Pietro Santicoli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Deputy Chairman</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lvl w:ilvl="1">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3"/>
    </w:lvl>
    <w:lvl w:ilvl="1">
      <w:lvlJc w:val="left"/>
      <w:lvlText w:val="(%2)"/>
      <w:numFmt w:val="decimal"/>
      <w:start w:val="5"/>
    </w:lvl>
  </w:abstractNum>
  <w:abstractNum w:abstractNumId="4">
    <w:nsid w:val="DED7263"/>
    <w:multiLevelType w:val="hybridMultilevel"/>
    <w:lvl w:ilvl="0">
      <w:lvlJc w:val="left"/>
      <w:lvlText w:val="(%1)"/>
      <w:numFmt w:val="decimal"/>
      <w:start w:val="9"/>
    </w:lvl>
  </w:abstractNum>
  <w:abstractNum w:abstractNumId="5">
    <w:nsid w:val="7FDCC233"/>
    <w:multiLevelType w:val="hybridMultilevel"/>
    <w:lvl w:ilvl="0">
      <w:lvlJc w:val="left"/>
      <w:lvlText w:val="1"/>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3"/>
    </w:lvl>
    <w:lvl w:ilvl="1">
      <w:lvlJc w:val="left"/>
      <w:lvlText w:val="(%2)"/>
      <w:numFmt w:val="decimal"/>
      <w:start w:val="5"/>
    </w:lvl>
  </w:abstractNum>
  <w:abstractNum w:abstractNumId="8">
    <w:nsid w:val="6B68079A"/>
    <w:multiLevelType w:val="hybridMultilevel"/>
    <w:lvl w:ilvl="0">
      <w:lvlJc w:val="left"/>
      <w:lvlText w:val="(%1)"/>
      <w:numFmt w:val="decimal"/>
      <w:start w:val="9"/>
    </w:lvl>
  </w:abstractNum>
  <w:abstractNum w:abstractNumId="9">
    <w:nsid w:val="4E6AFB66"/>
    <w:multiLevelType w:val="hybridMultilevel"/>
    <w:lvl w:ilvl="0">
      <w:lvlJc w:val="left"/>
      <w:lvlText w:val="2"/>
      <w:numFmt w:val="bullet"/>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3"/>
    </w:lvl>
    <w:lvl w:ilvl="1">
      <w:lvlJc w:val="left"/>
      <w:lvlText w:val="(%2)"/>
      <w:numFmt w:val="decimal"/>
      <w:start w:val="5"/>
    </w:lvl>
  </w:abstractNum>
  <w:abstractNum w:abstractNumId="12">
    <w:nsid w:val="431BD7B7"/>
    <w:multiLevelType w:val="hybridMultilevel"/>
    <w:lvl w:ilvl="0">
      <w:lvlJc w:val="left"/>
      <w:lvlText w:val="(%1)"/>
      <w:numFmt w:val="decimal"/>
      <w:start w:val="9"/>
    </w:lvl>
  </w:abstractNum>
  <w:abstractNum w:abstractNumId="13">
    <w:nsid w:val="3F2DBA31"/>
    <w:multiLevelType w:val="hybridMultilevel"/>
    <w:lvl w:ilvl="0">
      <w:lvlJc w:val="left"/>
      <w:lvlText w:val="3"/>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3"/>
    </w:lvl>
    <w:lvl w:ilvl="1">
      <w:lvlJc w:val="left"/>
      <w:lvlText w:val="(%2)"/>
      <w:numFmt w:val="decimal"/>
      <w:start w:val="5"/>
    </w:lvl>
  </w:abstractNum>
  <w:abstractNum w:abstractNumId="16">
    <w:nsid w:val="62BBD95A"/>
    <w:multiLevelType w:val="hybridMultilevel"/>
    <w:lvl w:ilvl="0">
      <w:lvlJc w:val="left"/>
      <w:lvlText w:val="(%1)"/>
      <w:numFmt w:val="decimal"/>
      <w:start w:val="9"/>
    </w:lvl>
  </w:abstractNum>
  <w:abstractNum w:abstractNumId="17">
    <w:nsid w:val="436C6125"/>
    <w:multiLevelType w:val="hybridMultilevel"/>
    <w:lvl w:ilvl="0">
      <w:lvlJc w:val="left"/>
      <w:lvlText w:val="4"/>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3"/>
    </w:lvl>
    <w:lvl w:ilvl="1">
      <w:lvlJc w:val="left"/>
      <w:lvlText w:val="(%2)"/>
      <w:numFmt w:val="decimal"/>
      <w:start w:val="5"/>
    </w:lvl>
  </w:abstractNum>
  <w:abstractNum w:abstractNumId="20">
    <w:nsid w:val="721DA317"/>
    <w:multiLevelType w:val="hybridMultilevel"/>
    <w:lvl w:ilvl="0">
      <w:lvlJc w:val="left"/>
      <w:lvlText w:val="(%1)"/>
      <w:numFmt w:val="decimal"/>
      <w:start w:val="9"/>
    </w:lvl>
  </w:abstractNum>
  <w:abstractNum w:abstractNumId="21">
    <w:nsid w:val="2443A858"/>
    <w:multiLevelType w:val="hybridMultilevel"/>
    <w:lvl w:ilvl="0">
      <w:lvlJc w:val="left"/>
      <w:lvlText w:val="5"/>
      <w:numFmt w:val="bullet"/>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2019-12-09T02:18:36Z</dcterms:created>
  <dcterms:modified xsi:type="dcterms:W3CDTF">2019-12-09T02:18:36Z</dcterms:modified>
</cp:coreProperties>
</file>