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75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7504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 MERCHANT SQUARE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11/04/2016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4" w:lineRule="exact"/>
        <w:rPr>
          <w:sz w:val="24"/>
          <w:szCs w:val="24"/>
          <w:color w:val="auto"/>
        </w:rPr>
      </w:pPr>
    </w:p>
    <w:p>
      <w:pPr>
        <w:sectPr>
          <w:pgSz w:w="11900" w:h="16838" w:orient="portrait"/>
          <w:cols w:equalWidth="0" w:num="3">
            <w:col w:w="3340" w:space="720"/>
            <w:col w:w="3257" w:space="720"/>
            <w:col w:w="3483"/>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7"/>
          </w:tcPr>
          <w:p>
            <w:pPr>
              <w:jc w:val="center"/>
              <w:ind w:right="139"/>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30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7"/>
                <w:szCs w:val="17"/>
                <w:color w:val="0000FF"/>
              </w:rPr>
              <w:t>LONDON</w:t>
            </w:r>
          </w:p>
        </w:tc>
        <w:tc>
          <w:tcPr>
            <w:tcW w:w="780" w:type="dxa"/>
            <w:vAlign w:val="bottom"/>
            <w:vMerge w:val="restart"/>
          </w:tcPr>
          <w:p>
            <w:pPr>
              <w:ind w:left="520"/>
              <w:spacing w:after="0"/>
              <w:rPr>
                <w:sz w:val="20"/>
                <w:szCs w:val="20"/>
                <w:color w:val="auto"/>
              </w:rPr>
            </w:pPr>
            <w:r>
              <w:rPr>
                <w:rFonts w:ascii="Arial" w:cs="Arial" w:eastAsia="Arial" w:hAnsi="Arial"/>
                <w:sz w:val="17"/>
                <w:szCs w:val="17"/>
                <w:color w:val="0000FF"/>
              </w:rPr>
              <w:t>X0</w:t>
            </w:r>
          </w:p>
        </w:tc>
        <w:tc>
          <w:tcPr>
            <w:tcW w:w="100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W21AY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3"/>
          </w:tcPr>
          <w:p>
            <w:pPr>
              <w:jc w:val="center"/>
              <w:ind w:left="6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2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700" w:type="dxa"/>
            <w:vAlign w:val="bottom"/>
          </w:tcPr>
          <w:p>
            <w:pPr>
              <w:ind w:left="28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960" w:type="dxa"/>
            <w:vAlign w:val="bottom"/>
            <w:tcBorders>
              <w:bottom w:val="single" w:sz="8" w:color="2C2C2C"/>
            </w:tcBorders>
            <w:gridSpan w:val="6"/>
          </w:tcPr>
          <w:p>
            <w:pPr>
              <w:spacing w:after="0"/>
              <w:rPr>
                <w:sz w:val="7"/>
                <w:szCs w:val="7"/>
                <w:color w:val="auto"/>
              </w:rPr>
            </w:pPr>
          </w:p>
        </w:tc>
        <w:tc>
          <w:tcPr>
            <w:tcW w:w="2820" w:type="dxa"/>
            <w:vAlign w:val="bottom"/>
            <w:tcBorders>
              <w:bottom w:val="single" w:sz="8" w:color="2C2C2C"/>
            </w:tcBorders>
            <w:gridSpan w:val="5"/>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4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(Month/Day/Year)</w:t>
            </w: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4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8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1000" w:type="dxa"/>
            <w:vAlign w:val="bottom"/>
            <w:vMerge w:val="restart"/>
          </w:tcPr>
          <w:p>
            <w:pPr>
              <w:jc w:val="right"/>
              <w:ind w:right="114"/>
              <w:spacing w:after="0"/>
              <w:rPr>
                <w:sz w:val="20"/>
                <w:szCs w:val="20"/>
                <w:color w:val="auto"/>
              </w:rPr>
            </w:pPr>
            <w:r>
              <w:rPr>
                <w:rFonts w:ascii="Arial" w:cs="Arial" w:eastAsia="Arial" w:hAnsi="Arial"/>
                <w:sz w:val="13"/>
                <w:szCs w:val="13"/>
                <w:color w:val="0000FF"/>
              </w:rPr>
              <w:t>11/04/2016</w:t>
            </w: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right"/>
              <w:ind w:right="120"/>
              <w:spacing w:after="0"/>
              <w:rPr>
                <w:sz w:val="20"/>
                <w:szCs w:val="20"/>
                <w:color w:val="auto"/>
              </w:rPr>
            </w:pPr>
            <w:r>
              <w:rPr>
                <w:rFonts w:ascii="Arial" w:cs="Arial" w:eastAsia="Arial" w:hAnsi="Arial"/>
                <w:sz w:val="13"/>
                <w:szCs w:val="13"/>
                <w:color w:val="0000FF"/>
              </w:rPr>
              <w:t>66,979</w:t>
            </w:r>
          </w:p>
        </w:tc>
        <w:tc>
          <w:tcPr>
            <w:tcW w:w="2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620" w:type="dxa"/>
            <w:vAlign w:val="bottom"/>
            <w:vMerge w:val="restart"/>
          </w:tcPr>
          <w:p>
            <w:pPr>
              <w:jc w:val="right"/>
              <w:ind w:right="32"/>
              <w:spacing w:after="0"/>
              <w:rPr>
                <w:sz w:val="20"/>
                <w:szCs w:val="20"/>
                <w:color w:val="auto"/>
              </w:rPr>
            </w:pPr>
            <w:r>
              <w:rPr>
                <w:rFonts w:ascii="Arial" w:cs="Arial" w:eastAsia="Arial" w:hAnsi="Arial"/>
                <w:sz w:val="17"/>
                <w:szCs w:val="17"/>
                <w:color w:val="0000FF"/>
                <w:w w:val="96"/>
              </w:rPr>
              <w:t>66,979</w:t>
            </w: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jc w:val="right"/>
              <w:ind w:right="241"/>
              <w:spacing w:after="0"/>
              <w:rPr>
                <w:sz w:val="20"/>
                <w:szCs w:val="20"/>
                <w:color w:val="auto"/>
              </w:rPr>
            </w:pPr>
            <w:r>
              <w:rPr>
                <w:rFonts w:ascii="Arial" w:cs="Arial" w:eastAsia="Arial" w:hAnsi="Arial"/>
                <w:sz w:val="13"/>
                <w:szCs w:val="13"/>
                <w:color w:val="0000FF"/>
              </w:rPr>
              <w:t>66,979</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6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0000FF"/>
                <w:w w:val="87"/>
              </w:rPr>
              <w:t>174,227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line="127" w:lineRule="exact"/>
              <w:rPr>
                <w:sz w:val="20"/>
                <w:szCs w:val="20"/>
                <w:color w:val="auto"/>
              </w:rPr>
            </w:pPr>
            <w:r>
              <w:rPr>
                <w:rFonts w:ascii="Arial" w:cs="Arial" w:eastAsia="Arial" w:hAnsi="Arial"/>
                <w:sz w:val="13"/>
                <w:szCs w:val="13"/>
                <w:color w:val="0000FF"/>
              </w:rPr>
              <w:t>Appreciation</w:t>
            </w:r>
          </w:p>
        </w:tc>
        <w:tc>
          <w:tcPr>
            <w:tcW w:w="780" w:type="dxa"/>
            <w:vAlign w:val="bottom"/>
          </w:tcPr>
          <w:p>
            <w:pPr>
              <w:jc w:val="center"/>
              <w:ind w:right="158"/>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44.79</w:t>
            </w:r>
          </w:p>
        </w:tc>
        <w:tc>
          <w:tcPr>
            <w:tcW w:w="1000" w:type="dxa"/>
            <w:vAlign w:val="bottom"/>
          </w:tcPr>
          <w:p>
            <w:pPr>
              <w:jc w:val="right"/>
              <w:ind w:right="114"/>
              <w:spacing w:after="0" w:line="127" w:lineRule="exact"/>
              <w:rPr>
                <w:sz w:val="20"/>
                <w:szCs w:val="20"/>
                <w:color w:val="auto"/>
              </w:rPr>
            </w:pPr>
            <w:r>
              <w:rPr>
                <w:rFonts w:ascii="Arial" w:cs="Arial" w:eastAsia="Arial" w:hAnsi="Arial"/>
                <w:sz w:val="13"/>
                <w:szCs w:val="13"/>
                <w:color w:val="0000FF"/>
              </w:rPr>
              <w:t>11/04/2016</w:t>
            </w: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00"/>
              <w:spacing w:after="0" w:line="127" w:lineRule="exact"/>
              <w:rPr>
                <w:sz w:val="20"/>
                <w:szCs w:val="20"/>
                <w:color w:val="auto"/>
              </w:rPr>
            </w:pPr>
            <w:r>
              <w:rPr>
                <w:rFonts w:ascii="Arial" w:cs="Arial" w:eastAsia="Arial" w:hAnsi="Arial"/>
                <w:sz w:val="13"/>
                <w:szCs w:val="13"/>
                <w:color w:val="0000FF"/>
              </w:rPr>
              <w:t>A</w:t>
            </w:r>
          </w:p>
        </w:tc>
        <w:tc>
          <w:tcPr>
            <w:tcW w:w="720" w:type="dxa"/>
            <w:vAlign w:val="bottom"/>
          </w:tcPr>
          <w:p>
            <w:pPr>
              <w:jc w:val="right"/>
              <w:ind w:right="80"/>
              <w:spacing w:after="0" w:line="127" w:lineRule="exact"/>
              <w:rPr>
                <w:sz w:val="20"/>
                <w:szCs w:val="20"/>
                <w:color w:val="auto"/>
              </w:rPr>
            </w:pPr>
            <w:r>
              <w:rPr>
                <w:rFonts w:ascii="Arial" w:cs="Arial" w:eastAsia="Arial" w:hAnsi="Arial"/>
                <w:sz w:val="13"/>
                <w:szCs w:val="13"/>
                <w:color w:val="0000FF"/>
              </w:rPr>
              <w:t>174,227</w:t>
            </w:r>
          </w:p>
        </w:tc>
        <w:tc>
          <w:tcPr>
            <w:tcW w:w="2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40" w:type="dxa"/>
            <w:vAlign w:val="bottom"/>
            <w:gridSpan w:val="2"/>
          </w:tcPr>
          <w:p>
            <w:pPr>
              <w:ind w:left="300"/>
              <w:spacing w:after="0" w:line="12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jc w:val="right"/>
              <w:ind w:right="201"/>
              <w:spacing w:after="0" w:line="127" w:lineRule="exact"/>
              <w:rPr>
                <w:sz w:val="20"/>
                <w:szCs w:val="20"/>
                <w:color w:val="auto"/>
              </w:rPr>
            </w:pPr>
            <w:r>
              <w:rPr>
                <w:rFonts w:ascii="Arial" w:cs="Arial" w:eastAsia="Arial" w:hAnsi="Arial"/>
                <w:sz w:val="13"/>
                <w:szCs w:val="13"/>
                <w:color w:val="0000FF"/>
              </w:rPr>
              <w:t>174,227</w:t>
            </w:r>
          </w:p>
        </w:tc>
        <w:tc>
          <w:tcPr>
            <w:tcW w:w="640" w:type="dxa"/>
            <w:vAlign w:val="bottom"/>
          </w:tcPr>
          <w:p>
            <w:pPr>
              <w:ind w:left="320"/>
              <w:spacing w:after="0" w:line="12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ind w:left="140"/>
              <w:spacing w:after="0" w:line="144" w:lineRule="exact"/>
              <w:rPr>
                <w:sz w:val="20"/>
                <w:szCs w:val="20"/>
                <w:color w:val="auto"/>
              </w:rPr>
            </w:pPr>
            <w:r>
              <w:rPr>
                <w:rFonts w:ascii="Arial" w:cs="Arial" w:eastAsia="Arial" w:hAnsi="Arial"/>
                <w:sz w:val="13"/>
                <w:szCs w:val="13"/>
                <w:color w:val="0000FF"/>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or, at the option of the Company, a cash settlement in accordance with the terms of the LivaNova PLC 2015 Incentive Award Plan.</w:t>
      </w:r>
    </w:p>
    <w:p>
      <w:pPr>
        <w:spacing w:after="0" w:line="22" w:lineRule="exact"/>
        <w:rPr>
          <w:rFonts w:ascii="Arial" w:cs="Arial" w:eastAsia="Arial" w:hAnsi="Arial"/>
          <w:sz w:val="13"/>
          <w:szCs w:val="13"/>
          <w:color w:val="008000"/>
        </w:rPr>
      </w:pPr>
    </w:p>
    <w:p>
      <w:pPr>
        <w:ind w:left="40" w:right="46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November 4, 2016. The RSUs are subject to forfeiture prior to vesting in accordance with the terms of the LivaNova PLC 2015 Incentive Award Plan.</w:t>
      </w:r>
    </w:p>
    <w:p>
      <w:pPr>
        <w:spacing w:after="0" w:line="22" w:lineRule="exact"/>
        <w:rPr>
          <w:rFonts w:ascii="Arial" w:cs="Arial" w:eastAsia="Arial" w:hAnsi="Arial"/>
          <w:sz w:val="13"/>
          <w:szCs w:val="13"/>
          <w:color w:val="008000"/>
        </w:rPr>
      </w:pPr>
    </w:p>
    <w:p>
      <w:pPr>
        <w:jc w:val="both"/>
        <w:ind w:left="40" w:right="180" w:firstLine="4"/>
        <w:spacing w:after="0" w:line="24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LivaNova PLC 2015 Incentive Award Plan and the SAR Agreement, the SARs shall vest in equal installments of 25% on each of the four anniversaries of the grant date, November 4, 2016. Payment of such amount shall be in cash, Ordinary Shares (based on their fair market value as of the date the SAR is exercised) or a combination of both, as determined by the LivaNova PLC 2015 Incentive Award Plan Administrator.</w:t>
      </w:r>
    </w:p>
    <w:p>
      <w:pPr>
        <w:spacing w:after="0" w:line="4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Sarah K. Mohr as POA</w:t>
            </w:r>
          </w:p>
        </w:tc>
        <w:tc>
          <w:tcPr>
            <w:tcW w:w="760" w:type="dxa"/>
            <w:vAlign w:val="bottom"/>
          </w:tcPr>
          <w:p>
            <w:pPr>
              <w:spacing w:after="0"/>
              <w:rPr>
                <w:sz w:val="20"/>
                <w:szCs w:val="20"/>
                <w:color w:val="auto"/>
              </w:rPr>
            </w:pPr>
            <w:r>
              <w:rPr>
                <w:rFonts w:ascii="Arial" w:cs="Arial" w:eastAsia="Arial" w:hAnsi="Arial"/>
                <w:sz w:val="17"/>
                <w:szCs w:val="17"/>
                <w:color w:val="0000FF"/>
                <w:w w:val="86"/>
              </w:rPr>
              <w:t>11/08/2016</w:t>
            </w:r>
          </w:p>
        </w:tc>
      </w:tr>
      <w:tr>
        <w:trPr>
          <w:trHeight w:val="20"/>
        </w:trPr>
        <w:tc>
          <w:tcPr>
            <w:tcW w:w="1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8"/>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2019-12-09T02:05:19Z</dcterms:created>
  <dcterms:modified xsi:type="dcterms:W3CDTF">2019-12-09T02:05:19Z</dcterms:modified>
</cp:coreProperties>
</file>