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256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ectPr>
          <w:pgSz w:w="11900" w:h="16838" w:orient="portrait"/>
          <w:cols w:equalWidth="0" w:num="1">
            <w:col w:w="11420"/>
          </w:cols>
          <w:pgMar w:left="240" w:top="226" w:right="239" w:bottom="958"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Hebbelinck Trui</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420" w:type="dxa"/>
            <w:vAlign w:val="bottom"/>
            <w:tcBorders>
              <w:top w:val="single" w:sz="8" w:color="0000EE"/>
            </w:tcBorders>
          </w:tcPr>
          <w:p>
            <w:pPr>
              <w:spacing w:after="0"/>
              <w:rPr>
                <w:sz w:val="13"/>
                <w:szCs w:val="13"/>
                <w:color w:val="auto"/>
              </w:rPr>
            </w:pPr>
          </w:p>
        </w:tc>
        <w:tc>
          <w:tcPr>
            <w:tcW w:w="1540" w:type="dxa"/>
            <w:vAlign w:val="bottom"/>
          </w:tcPr>
          <w:p>
            <w:pPr>
              <w:spacing w:after="0"/>
              <w:rPr>
                <w:sz w:val="13"/>
                <w:szCs w:val="13"/>
                <w:color w:val="auto"/>
              </w:rPr>
            </w:pPr>
          </w:p>
        </w:tc>
        <w:tc>
          <w:tcPr>
            <w:tcW w:w="1640" w:type="dxa"/>
            <w:vAlign w:val="bottom"/>
          </w:tcPr>
          <w:p>
            <w:pPr>
              <w:ind w:left="420"/>
              <w:spacing w:after="0" w:line="155" w:lineRule="exact"/>
              <w:rPr>
                <w:sz w:val="20"/>
                <w:szCs w:val="20"/>
                <w:color w:val="auto"/>
              </w:rPr>
            </w:pPr>
            <w:r>
              <w:rPr>
                <w:rFonts w:ascii="Arial" w:cs="Arial" w:eastAsia="Arial" w:hAnsi="Arial"/>
                <w:sz w:val="16"/>
                <w:szCs w:val="16"/>
                <w:color w:val="0000FF"/>
              </w:rPr>
              <w:t>04/26/2019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9" w:lineRule="exact"/>
        <w:rPr>
          <w:sz w:val="24"/>
          <w:szCs w:val="24"/>
          <w:color w:val="auto"/>
        </w:rPr>
      </w:pPr>
    </w:p>
    <w:p>
      <w:pPr>
        <w:sectPr>
          <w:pgSz w:w="11900" w:h="16838" w:orient="portrait"/>
          <w:cols w:equalWidth="0" w:num="2">
            <w:col w:w="4720" w:space="480"/>
            <w:col w:w="6220"/>
          </w:cols>
          <w:pgMar w:left="240" w:top="226" w:right="239" w:bottom="958" w:gutter="0" w:footer="0" w:header="0"/>
          <w:type w:val="continuous"/>
        </w:sectPr>
      </w:pPr>
    </w:p>
    <w:p>
      <w:pPr>
        <w:spacing w:after="0" w:line="18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1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 EASTBOURNE TERRANCE</w:t>
            </w:r>
          </w:p>
        </w:tc>
      </w:tr>
      <w:tr>
        <w:trPr>
          <w:trHeight w:val="212"/>
        </w:trPr>
        <w:tc>
          <w:tcPr>
            <w:tcW w:w="2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920" w:type="dxa"/>
            <w:vAlign w:val="bottom"/>
          </w:tcPr>
          <w:p>
            <w:pPr>
              <w:ind w:left="180"/>
              <w:spacing w:after="0"/>
              <w:rPr>
                <w:sz w:val="20"/>
                <w:szCs w:val="20"/>
                <w:color w:val="auto"/>
              </w:rPr>
            </w:pPr>
            <w:r>
              <w:rPr>
                <w:rFonts w:ascii="Arial" w:cs="Arial" w:eastAsia="Arial" w:hAnsi="Arial"/>
                <w:sz w:val="18"/>
                <w:szCs w:val="18"/>
                <w:color w:val="0000FF"/>
              </w:rPr>
              <w:t>X0</w:t>
            </w:r>
          </w:p>
        </w:tc>
        <w:tc>
          <w:tcPr>
            <w:tcW w:w="1380" w:type="dxa"/>
            <w:vAlign w:val="bottom"/>
          </w:tcPr>
          <w:p>
            <w:pPr>
              <w:ind w:left="340"/>
              <w:spacing w:after="0"/>
              <w:rPr>
                <w:sz w:val="20"/>
                <w:szCs w:val="20"/>
                <w:color w:val="auto"/>
              </w:rPr>
            </w:pPr>
            <w:r>
              <w:rPr>
                <w:rFonts w:ascii="Arial" w:cs="Arial" w:eastAsia="Arial" w:hAnsi="Arial"/>
                <w:sz w:val="18"/>
                <w:szCs w:val="18"/>
                <w:color w:val="0000FF"/>
              </w:rPr>
              <w:t>W2 6LG</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920" w:type="dxa"/>
            <w:vAlign w:val="bottom"/>
          </w:tcPr>
          <w:p>
            <w:pPr>
              <w:ind w:left="1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Chief Human Resources Officer</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04/26/2019</w:t>
      </w:r>
    </w:p>
    <w:p>
      <w:pPr>
        <w:spacing w:after="0" w:line="246"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60" w:lineRule="exact"/>
        <w:rPr>
          <w:sz w:val="24"/>
          <w:szCs w:val="24"/>
          <w:color w:val="auto"/>
        </w:rPr>
      </w:pPr>
    </w:p>
    <w:p>
      <w:pPr>
        <w:sectPr>
          <w:pgSz w:w="11900" w:h="16838" w:orient="portrait"/>
          <w:cols w:equalWidth="0" w:num="3">
            <w:col w:w="4474" w:space="720"/>
            <w:col w:w="3006" w:space="397"/>
            <w:col w:w="2823"/>
          </w:cols>
          <w:pgMar w:left="240" w:top="226" w:right="239" w:bottom="958"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03/30/2020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93"/>
              </w:rPr>
              <w:t>418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03/30/2021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93"/>
              </w:rPr>
              <w:t>417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03/30/2022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93"/>
              </w:rPr>
              <w:t>418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03/30/2023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93"/>
              </w:rPr>
              <w:t>417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(1)(4)</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1,670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4"/>
              </w:rPr>
              <w:t>03/01/2022</w:t>
            </w:r>
            <w:r>
              <w:rPr>
                <w:rFonts w:ascii="Arial" w:cs="Arial" w:eastAsia="Arial" w:hAnsi="Arial"/>
                <w:sz w:val="22"/>
                <w:szCs w:val="22"/>
                <w:color w:val="008000"/>
                <w:w w:val="84"/>
                <w:vertAlign w:val="superscript"/>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1,670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Appreciation Rights</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03/30/2029</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5,183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97.25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Due to an administrative error, LivaNova PLC (the "Company") failed to include on the original Form 3 certain derivative securities owned by reporting person as of March 30, 2019. This amended Form 3 is being filed to provide the omitted information.</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the Company, GBP 1.00 par value, in accordance with the terms of the LivaNova PLC 2015 Incentive Award Plan (the "Plan") and the terms of the award agreement.</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On March 30, 2019, reporting person was granted RSUs subject to a four-year vesting schedule, vesting 25% on each of the first four anniversaries of the grant date, subject to continued service during the vesting period and the terms of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Each performance stock unit (PSU) represents a contingent right to receive one Ordinary Share of the Company in accordance with the terms of the Plan and the terms of the award agreement.</w:t>
      </w:r>
    </w:p>
    <w:p>
      <w:pPr>
        <w:spacing w:after="0" w:line="64" w:lineRule="exact"/>
        <w:rPr>
          <w:rFonts w:ascii="Arial" w:cs="Arial" w:eastAsia="Arial" w:hAnsi="Arial"/>
          <w:sz w:val="12"/>
          <w:szCs w:val="12"/>
          <w:color w:val="008000"/>
        </w:rPr>
      </w:pPr>
    </w:p>
    <w:p>
      <w:pPr>
        <w:ind w:left="40" w:right="80" w:firstLine="9"/>
        <w:spacing w:after="0" w:line="288"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On March 30, 2019, reporting person was granted PSUs to vest or lapse on the filing of the Company's Annual Report on Form 10-K for the fiscal year ending December 31, 2021 ("2021 Form 10-K") based on the rank of the Company's total shareholder return for the three-year period ending December 31, 2021 relative to the total shareholder return of a peer group of companies, as determined by the Plan Administrator. The number included in column 3 of Table II reflects the target number of PSUs eligible for vesting subject to continued service during the vesting period and the terms of the award agreement.</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Exercise and expiration dates are estimated and determined based on the actual filing date of the 2021 Form 10-K as referenced in Footnote 7.</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On March 30, 2019, reporting person was granted PSUs to vest or lapse on the filing of the 2021 Form 10-K based on how the Company's cumulative adjusted free cash flow for fiscal years 2019, 2020 and 2021 compares to a target determined by the Plan Administrator. The number included in column 3 of Table II reflects the target number of PSUs eligible for vesting subject to continued service during the vesting period and the terms of the award agreement.</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On March 30, 2019, reporting person was granted an award of stock appreciation rights ("SARs"). Subject to the terms and conditions of the Plan and the terms of the SAR Agreement, the SARs shall vest in equal installments of 25% on each of the first four anniversaries of the grant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01/17/2020</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958"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2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34" w:lineRule="exact"/>
        <w:rPr>
          <w:sz w:val="20"/>
          <w:szCs w:val="20"/>
          <w:color w:val="auto"/>
        </w:rPr>
      </w:pPr>
    </w:p>
    <w:p>
      <w:pPr>
        <w:ind w:left="1300" w:right="200" w:hanging="644"/>
        <w:spacing w:after="0" w:line="33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1" w:lineRule="exact"/>
        <w:rPr>
          <w:rFonts w:ascii="Arial" w:cs="Arial" w:eastAsia="Arial" w:hAnsi="Arial"/>
          <w:sz w:val="18"/>
          <w:szCs w:val="18"/>
          <w:color w:val="auto"/>
        </w:rPr>
      </w:pPr>
    </w:p>
    <w:p>
      <w:pPr>
        <w:ind w:left="1300" w:right="260" w:hanging="644"/>
        <w:spacing w:after="0" w:line="33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1" w:lineRule="exact"/>
        <w:rPr>
          <w:rFonts w:ascii="Arial" w:cs="Arial" w:eastAsia="Arial" w:hAnsi="Arial"/>
          <w:sz w:val="18"/>
          <w:szCs w:val="18"/>
          <w:color w:val="auto"/>
        </w:rPr>
      </w:pPr>
    </w:p>
    <w:p>
      <w:pPr>
        <w:ind w:left="1300" w:right="220" w:hanging="644"/>
        <w:spacing w:after="0" w:line="32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2" w:lineRule="exact"/>
        <w:rPr>
          <w:sz w:val="20"/>
          <w:szCs w:val="20"/>
          <w:color w:val="auto"/>
        </w:rPr>
      </w:pPr>
    </w:p>
    <w:p>
      <w:pPr>
        <w:ind w:firstLine="648"/>
        <w:spacing w:after="0" w:line="285" w:lineRule="auto"/>
        <w:rPr>
          <w:sz w:val="20"/>
          <w:szCs w:val="20"/>
          <w:color w:val="auto"/>
        </w:rPr>
      </w:pPr>
      <w:r>
        <w:rPr>
          <w:rFonts w:ascii="Arial" w:cs="Arial" w:eastAsia="Arial" w:hAnsi="Arial"/>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55" w:lineRule="exact"/>
        <w:rPr>
          <w:sz w:val="20"/>
          <w:szCs w:val="20"/>
          <w:color w:val="auto"/>
        </w:rPr>
      </w:pPr>
    </w:p>
    <w:p>
      <w:pPr>
        <w:ind w:right="220" w:firstLine="648"/>
        <w:spacing w:after="0" w:line="36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0" w:lineRule="exact"/>
        <w:rPr>
          <w:sz w:val="20"/>
          <w:szCs w:val="20"/>
          <w:color w:val="auto"/>
        </w:rPr>
      </w:pPr>
    </w:p>
    <w:p>
      <w:pPr>
        <w:ind w:right="20" w:firstLine="648"/>
        <w:spacing w:after="0" w:line="288"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March, 2019.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-14605</wp:posOffset>
            </wp:positionV>
            <wp:extent cx="13500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Trui Hebbelinck</w:t>
      </w:r>
    </w:p>
    <w:sectPr>
      <w:pgSz w:w="11900" w:h="16838" w:orient="portrait"/>
      <w:cols w:equalWidth="0" w:num="1">
        <w:col w:w="11400"/>
      </w:cols>
      <w:pgMar w:left="240" w:top="38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73051"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2020-01-17T14:36:49Z</dcterms:created>
  <dcterms:modified xsi:type="dcterms:W3CDTF">2020-01-17T14:36:49Z</dcterms:modified>
</cp:coreProperties>
</file>