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0"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80" w:type="dxa"/>
            <w:vAlign w:val="bottom"/>
          </w:tcPr>
          <w:p>
            <w:pPr>
              <w:jc w:val="center"/>
              <w:ind w:right="1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jc w:val="center"/>
              <w:ind w:right="17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7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-654050</wp:posOffset>
            </wp:positionV>
            <wp:extent cx="59690" cy="667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738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-654050</wp:posOffset>
            </wp:positionV>
            <wp:extent cx="59690" cy="667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738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20955</wp:posOffset>
            </wp:positionV>
            <wp:extent cx="7322820" cy="5253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5335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Huston Thad Allen</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05/23/2018</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57"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2"/>
        <w:spacing w:after="0"/>
        <w:rPr>
          <w:sz w:val="20"/>
          <w:szCs w:val="20"/>
          <w:color w:val="auto"/>
        </w:rPr>
      </w:pPr>
      <w:r>
        <w:rPr>
          <w:rFonts w:ascii="Arial" w:cs="Arial" w:eastAsia="Arial" w:hAnsi="Arial"/>
          <w:sz w:val="18"/>
          <w:szCs w:val="18"/>
          <w:color w:val="0000FF"/>
        </w:rPr>
        <w:t>Chief Financial Officer</w:t>
      </w:r>
    </w:p>
    <w:p>
      <w:pPr>
        <w:spacing w:after="0" w:line="324" w:lineRule="exact"/>
        <w:rPr>
          <w:sz w:val="24"/>
          <w:szCs w:val="24"/>
          <w:color w:val="auto"/>
        </w:rPr>
      </w:pPr>
    </w:p>
    <w:p>
      <w:pPr>
        <w:sectPr>
          <w:pgSz w:w="11900" w:h="16838" w:orient="portrait"/>
          <w:cols w:equalWidth="0" w:num="3">
            <w:col w:w="3340" w:space="720"/>
            <w:col w:w="3258" w:space="720"/>
            <w:col w:w="3482"/>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6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7"/>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4"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7"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8"/>
                <w:szCs w:val="18"/>
                <w:color w:val="0000FF"/>
              </w:rPr>
              <w:t>05/23/2018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9,907</w:t>
            </w:r>
          </w:p>
        </w:tc>
        <w:tc>
          <w:tcPr>
            <w:tcW w:w="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spacing w:after="0" w:line="322"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359"/>
              <w:spacing w:after="0"/>
              <w:rPr>
                <w:sz w:val="20"/>
                <w:szCs w:val="20"/>
                <w:color w:val="auto"/>
              </w:rPr>
            </w:pPr>
            <w:r>
              <w:rPr>
                <w:rFonts w:ascii="Arial" w:cs="Arial" w:eastAsia="Arial" w:hAnsi="Arial"/>
                <w:sz w:val="18"/>
                <w:szCs w:val="18"/>
                <w:color w:val="0000FF"/>
              </w:rPr>
              <w:t>13,289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8"/>
                <w:szCs w:val="18"/>
                <w:color w:val="0000FF"/>
              </w:rPr>
              <w:t>05/23/2018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5"/>
              </w:rPr>
              <w:t>4,656</w:t>
            </w:r>
            <w:r>
              <w:rPr>
                <w:rFonts w:ascii="Arial" w:cs="Arial" w:eastAsia="Arial" w:hAnsi="Arial"/>
                <w:sz w:val="22"/>
                <w:szCs w:val="22"/>
                <w:color w:val="008000"/>
                <w:w w:val="95"/>
                <w:vertAlign w:val="superscript"/>
              </w:rPr>
              <w:t>(2)</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83.95</w:t>
            </w:r>
          </w:p>
        </w:tc>
        <w:tc>
          <w:tcPr>
            <w:tcW w:w="1240" w:type="dxa"/>
            <w:vAlign w:val="bottom"/>
            <w:tcBorders>
              <w:bottom w:val="single" w:sz="8" w:color="2C2C2C"/>
            </w:tcBorders>
            <w:gridSpan w:val="2"/>
          </w:tcPr>
          <w:p>
            <w:pPr>
              <w:jc w:val="right"/>
              <w:ind w:right="399"/>
              <w:spacing w:after="0"/>
              <w:rPr>
                <w:sz w:val="20"/>
                <w:szCs w:val="20"/>
                <w:color w:val="auto"/>
              </w:rPr>
            </w:pPr>
            <w:r>
              <w:rPr>
                <w:rFonts w:ascii="Arial" w:cs="Arial" w:eastAsia="Arial" w:hAnsi="Arial"/>
                <w:sz w:val="18"/>
                <w:szCs w:val="18"/>
                <w:color w:val="0000FF"/>
              </w:rPr>
              <w:t>8,633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11"/>
          </w:tcPr>
          <w:p>
            <w:pPr>
              <w:ind w:left="7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color w:val="008000"/>
              </w:rPr>
              <w:t>(4)</w:t>
            </w:r>
          </w:p>
        </w:tc>
        <w:tc>
          <w:tcPr>
            <w:tcW w:w="680" w:type="dxa"/>
            <w:vAlign w:val="bottom"/>
            <w:gridSpan w:val="2"/>
          </w:tcPr>
          <w:p>
            <w:pPr>
              <w:ind w:left="20"/>
              <w:spacing w:after="0"/>
              <w:rPr>
                <w:sz w:val="20"/>
                <w:szCs w:val="20"/>
                <w:color w:val="auto"/>
              </w:rPr>
            </w:pPr>
            <w:r>
              <w:rPr>
                <w:rFonts w:ascii="Arial" w:cs="Arial" w:eastAsia="Arial" w:hAnsi="Arial"/>
                <w:sz w:val="13"/>
                <w:szCs w:val="13"/>
                <w:color w:val="0000FF"/>
              </w:rPr>
              <w:t>Restricted</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9,907</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2"/>
                <w:szCs w:val="12"/>
                <w:color w:val="auto"/>
              </w:rPr>
            </w:pPr>
          </w:p>
        </w:tc>
        <w:tc>
          <w:tcPr>
            <w:tcW w:w="1060" w:type="dxa"/>
            <w:vAlign w:val="bottom"/>
          </w:tcPr>
          <w:p>
            <w:pPr>
              <w:jc w:val="right"/>
              <w:ind w:right="118"/>
              <w:spacing w:after="0" w:line="148" w:lineRule="exact"/>
              <w:rPr>
                <w:sz w:val="20"/>
                <w:szCs w:val="20"/>
                <w:color w:val="auto"/>
              </w:rPr>
            </w:pPr>
            <w:r>
              <w:rPr>
                <w:rFonts w:ascii="Arial" w:cs="Arial" w:eastAsia="Arial" w:hAnsi="Arial"/>
                <w:sz w:val="13"/>
                <w:szCs w:val="13"/>
                <w:color w:val="0000FF"/>
              </w:rPr>
              <w:t>05/23/2018</w:t>
            </w:r>
          </w:p>
        </w:tc>
        <w:tc>
          <w:tcPr>
            <w:tcW w:w="1200" w:type="dxa"/>
            <w:vAlign w:val="bottom"/>
          </w:tcPr>
          <w:p>
            <w:pPr>
              <w:spacing w:after="0"/>
              <w:rPr>
                <w:sz w:val="12"/>
                <w:szCs w:val="12"/>
                <w:color w:val="auto"/>
              </w:rPr>
            </w:pPr>
          </w:p>
        </w:tc>
        <w:tc>
          <w:tcPr>
            <w:tcW w:w="660" w:type="dxa"/>
            <w:vAlign w:val="bottom"/>
          </w:tcPr>
          <w:p>
            <w:pPr>
              <w:ind w:left="160"/>
              <w:spacing w:after="0" w:line="148"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20" w:type="dxa"/>
            <w:vAlign w:val="bottom"/>
          </w:tcPr>
          <w:p>
            <w:pPr>
              <w:ind w:left="400"/>
              <w:spacing w:after="0" w:line="148" w:lineRule="exact"/>
              <w:rPr>
                <w:sz w:val="20"/>
                <w:szCs w:val="20"/>
                <w:color w:val="auto"/>
              </w:rPr>
            </w:pPr>
            <w:r>
              <w:rPr>
                <w:rFonts w:ascii="Arial" w:cs="Arial" w:eastAsia="Arial" w:hAnsi="Arial"/>
                <w:sz w:val="13"/>
                <w:szCs w:val="13"/>
                <w:color w:val="0000FF"/>
              </w:rPr>
              <w:t>9,907</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line="148" w:lineRule="exact"/>
              <w:rPr>
                <w:sz w:val="20"/>
                <w:szCs w:val="20"/>
                <w:color w:val="auto"/>
              </w:rPr>
            </w:pPr>
            <w:r>
              <w:rPr>
                <w:rFonts w:ascii="Arial" w:cs="Arial" w:eastAsia="Arial" w:hAnsi="Arial"/>
                <w:sz w:val="13"/>
                <w:szCs w:val="13"/>
                <w:color w:val="0000FF"/>
                <w:w w:val="95"/>
              </w:rPr>
              <w:t>61,583</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rPr>
              <w:t>Units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52" w:lineRule="exact"/>
        <w:rPr>
          <w:rFonts w:ascii="Arial" w:cs="Arial" w:eastAsia="Arial" w:hAnsi="Arial"/>
          <w:sz w:val="13"/>
          <w:szCs w:val="13"/>
          <w:color w:val="008000"/>
        </w:rPr>
      </w:pPr>
    </w:p>
    <w:p>
      <w:pPr>
        <w:ind w:left="40" w:right="3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Such shares were forfeited and the associated value was used to offset the tax liability associated with the May 23, 2018 vesting of 9,907 RSUs.</w:t>
      </w:r>
    </w:p>
    <w:p>
      <w:pPr>
        <w:spacing w:after="0" w:line="8" w:lineRule="exact"/>
        <w:rPr>
          <w:rFonts w:ascii="Arial" w:cs="Arial" w:eastAsia="Arial" w:hAnsi="Arial"/>
          <w:sz w:val="13"/>
          <w:szCs w:val="13"/>
          <w:color w:val="008000"/>
        </w:rPr>
      </w:pPr>
    </w:p>
    <w:p>
      <w:pPr>
        <w:ind w:left="40" w:right="28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8"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May 23, 2017, subject to continued service during the vesting period.</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Arial" w:cs="Arial" w:eastAsia="Arial" w:hAnsi="Arial"/>
                <w:sz w:val="18"/>
                <w:szCs w:val="18"/>
                <w:color w:val="0000FF"/>
              </w:rPr>
              <w:t>/s/ Sarah K. Mohr as POA</w:t>
            </w:r>
          </w:p>
        </w:tc>
        <w:tc>
          <w:tcPr>
            <w:tcW w:w="800" w:type="dxa"/>
            <w:vAlign w:val="bottom"/>
          </w:tcPr>
          <w:p>
            <w:pPr>
              <w:spacing w:after="0"/>
              <w:rPr>
                <w:sz w:val="20"/>
                <w:szCs w:val="20"/>
                <w:color w:val="auto"/>
              </w:rPr>
            </w:pPr>
            <w:r>
              <w:rPr>
                <w:rFonts w:ascii="Arial" w:cs="Arial" w:eastAsia="Arial" w:hAnsi="Arial"/>
                <w:sz w:val="18"/>
                <w:szCs w:val="18"/>
                <w:color w:val="0000FF"/>
                <w:w w:val="86"/>
              </w:rPr>
              <w:t>05/25/2018</w:t>
            </w:r>
          </w:p>
        </w:tc>
      </w:tr>
      <w:tr>
        <w:trPr>
          <w:trHeight w:val="20"/>
        </w:trPr>
        <w:tc>
          <w:tcPr>
            <w:tcW w:w="1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605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2019-12-08T13:07:17Z</dcterms:created>
  <dcterms:modified xsi:type="dcterms:W3CDTF">2019-12-08T13:07:17Z</dcterms:modified>
</cp:coreProperties>
</file>