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June 9,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168910</wp:posOffset>
            </wp:positionV>
            <wp:extent cx="1474470" cy="4629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LivaNova PLC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39" w:lineRule="exact"/>
        <w:rPr>
          <w:sz w:val="24"/>
          <w:szCs w:val="24"/>
          <w:color w:val="auto"/>
        </w:rPr>
      </w:pPr>
    </w:p>
    <w:tbl>
      <w:tblPr>
        <w:tblLayout w:type="fixed"/>
        <w:tblInd w:w="1320" w:type="dxa"/>
        <w:tblCellMar>
          <w:top w:w="0" w:type="dxa"/>
          <w:left w:w="0" w:type="dxa"/>
          <w:bottom w:w="0" w:type="dxa"/>
          <w:right w:w="0" w:type="dxa"/>
        </w:tblCellMar>
      </w:tblPr>
      <w:tr>
        <w:trPr>
          <w:trHeight w:val="234"/>
        </w:trPr>
        <w:tc>
          <w:tcPr>
            <w:tcW w:w="21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England and Wales</w:t>
            </w:r>
          </w:p>
        </w:tc>
        <w:tc>
          <w:tcPr>
            <w:tcW w:w="45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001-37599</w:t>
            </w:r>
          </w:p>
        </w:tc>
        <w:tc>
          <w:tcPr>
            <w:tcW w:w="1660" w:type="dxa"/>
            <w:vAlign w:val="bottom"/>
          </w:tcPr>
          <w:p>
            <w:pPr>
              <w:jc w:val="center"/>
              <w:ind w:left="250"/>
              <w:spacing w:after="0"/>
              <w:rPr>
                <w:sz w:val="20"/>
                <w:szCs w:val="20"/>
                <w:color w:val="auto"/>
              </w:rPr>
            </w:pPr>
            <w:r>
              <w:rPr>
                <w:rFonts w:ascii="Arial" w:cs="Arial" w:eastAsia="Arial" w:hAnsi="Arial"/>
                <w:sz w:val="18"/>
                <w:szCs w:val="18"/>
                <w:b w:val="1"/>
                <w:bCs w:val="1"/>
                <w:color w:val="auto"/>
                <w:w w:val="91"/>
              </w:rPr>
              <w:t>98-1268150</w:t>
            </w:r>
          </w:p>
        </w:tc>
      </w:tr>
      <w:tr>
        <w:trPr>
          <w:trHeight w:val="256"/>
        </w:trPr>
        <w:tc>
          <w:tcPr>
            <w:tcW w:w="2120" w:type="dxa"/>
            <w:vAlign w:val="bottom"/>
          </w:tcPr>
          <w:p>
            <w:pPr>
              <w:jc w:val="center"/>
              <w:ind w:right="70"/>
              <w:spacing w:after="0"/>
              <w:rPr>
                <w:sz w:val="20"/>
                <w:szCs w:val="20"/>
                <w:color w:val="auto"/>
              </w:rPr>
            </w:pPr>
            <w:r>
              <w:rPr>
                <w:rFonts w:ascii="Arial" w:cs="Arial" w:eastAsia="Arial" w:hAnsi="Arial"/>
                <w:sz w:val="18"/>
                <w:szCs w:val="18"/>
                <w:color w:val="auto"/>
                <w:w w:val="91"/>
              </w:rPr>
              <w:t>(State or Other Jurisdiction</w:t>
            </w:r>
          </w:p>
        </w:tc>
        <w:tc>
          <w:tcPr>
            <w:tcW w:w="4500" w:type="dxa"/>
            <w:vAlign w:val="bottom"/>
          </w:tcPr>
          <w:p>
            <w:pPr>
              <w:ind w:left="1660"/>
              <w:spacing w:after="0"/>
              <w:rPr>
                <w:sz w:val="20"/>
                <w:szCs w:val="20"/>
                <w:color w:val="auto"/>
              </w:rPr>
            </w:pPr>
            <w:r>
              <w:rPr>
                <w:rFonts w:ascii="Arial" w:cs="Arial" w:eastAsia="Arial" w:hAnsi="Arial"/>
                <w:sz w:val="18"/>
                <w:szCs w:val="18"/>
                <w:color w:val="auto"/>
              </w:rPr>
              <w:t>(Commission</w:t>
            </w:r>
          </w:p>
        </w:tc>
        <w:tc>
          <w:tcPr>
            <w:tcW w:w="1660" w:type="dxa"/>
            <w:vAlign w:val="bottom"/>
          </w:tcPr>
          <w:p>
            <w:pPr>
              <w:jc w:val="center"/>
              <w:ind w:left="190"/>
              <w:spacing w:after="0"/>
              <w:rPr>
                <w:sz w:val="20"/>
                <w:szCs w:val="20"/>
                <w:color w:val="auto"/>
              </w:rPr>
            </w:pPr>
            <w:r>
              <w:rPr>
                <w:rFonts w:ascii="Arial" w:cs="Arial" w:eastAsia="Arial" w:hAnsi="Arial"/>
                <w:sz w:val="18"/>
                <w:szCs w:val="18"/>
                <w:color w:val="auto"/>
                <w:w w:val="93"/>
              </w:rPr>
              <w:t>(IRS Employer</w:t>
            </w:r>
          </w:p>
        </w:tc>
      </w:tr>
      <w:tr>
        <w:trPr>
          <w:trHeight w:val="230"/>
        </w:trPr>
        <w:tc>
          <w:tcPr>
            <w:tcW w:w="2120" w:type="dxa"/>
            <w:vAlign w:val="bottom"/>
          </w:tcPr>
          <w:p>
            <w:pPr>
              <w:jc w:val="center"/>
              <w:ind w:right="30"/>
              <w:spacing w:after="0"/>
              <w:rPr>
                <w:sz w:val="20"/>
                <w:szCs w:val="20"/>
                <w:color w:val="auto"/>
              </w:rPr>
            </w:pPr>
            <w:r>
              <w:rPr>
                <w:rFonts w:ascii="Arial" w:cs="Arial" w:eastAsia="Arial" w:hAnsi="Arial"/>
                <w:sz w:val="18"/>
                <w:szCs w:val="18"/>
                <w:color w:val="auto"/>
                <w:w w:val="94"/>
              </w:rPr>
              <w:t>of Incorporation)</w:t>
            </w:r>
          </w:p>
        </w:tc>
        <w:tc>
          <w:tcPr>
            <w:tcW w:w="4500" w:type="dxa"/>
            <w:vAlign w:val="bottom"/>
          </w:tcPr>
          <w:p>
            <w:pPr>
              <w:jc w:val="center"/>
              <w:ind w:right="70"/>
              <w:spacing w:after="0"/>
              <w:rPr>
                <w:sz w:val="20"/>
                <w:szCs w:val="20"/>
                <w:color w:val="auto"/>
              </w:rPr>
            </w:pPr>
            <w:r>
              <w:rPr>
                <w:rFonts w:ascii="Arial" w:cs="Arial" w:eastAsia="Arial" w:hAnsi="Arial"/>
                <w:sz w:val="18"/>
                <w:szCs w:val="18"/>
                <w:color w:val="auto"/>
                <w:w w:val="94"/>
              </w:rPr>
              <w:t>File Number)</w:t>
            </w:r>
          </w:p>
        </w:tc>
        <w:tc>
          <w:tcPr>
            <w:tcW w:w="1660" w:type="dxa"/>
            <w:vAlign w:val="bottom"/>
          </w:tcPr>
          <w:p>
            <w:pPr>
              <w:jc w:val="center"/>
              <w:ind w:left="230"/>
              <w:spacing w:after="0"/>
              <w:rPr>
                <w:sz w:val="20"/>
                <w:szCs w:val="20"/>
                <w:color w:val="auto"/>
              </w:rPr>
            </w:pPr>
            <w:r>
              <w:rPr>
                <w:rFonts w:ascii="Arial" w:cs="Arial" w:eastAsia="Arial" w:hAnsi="Arial"/>
                <w:sz w:val="18"/>
                <w:szCs w:val="18"/>
                <w:color w:val="auto"/>
                <w:w w:val="95"/>
              </w:rPr>
              <w:t>Identification No.)</w:t>
            </w:r>
          </w:p>
        </w:tc>
      </w:tr>
      <w:tr>
        <w:trPr>
          <w:trHeight w:val="562"/>
        </w:trPr>
        <w:tc>
          <w:tcPr>
            <w:tcW w:w="2120" w:type="dxa"/>
            <w:vAlign w:val="bottom"/>
          </w:tcPr>
          <w:p>
            <w:pPr>
              <w:spacing w:after="0"/>
              <w:rPr>
                <w:sz w:val="24"/>
                <w:szCs w:val="24"/>
                <w:color w:val="auto"/>
              </w:rPr>
            </w:pPr>
          </w:p>
        </w:tc>
        <w:tc>
          <w:tcPr>
            <w:tcW w:w="45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20 Eastbourne Terrace</w:t>
            </w:r>
          </w:p>
        </w:tc>
        <w:tc>
          <w:tcPr>
            <w:tcW w:w="1660" w:type="dxa"/>
            <w:vAlign w:val="bottom"/>
          </w:tcPr>
          <w:p>
            <w:pPr>
              <w:spacing w:after="0"/>
              <w:rPr>
                <w:sz w:val="24"/>
                <w:szCs w:val="24"/>
                <w:color w:val="auto"/>
              </w:rPr>
            </w:pPr>
          </w:p>
        </w:tc>
      </w:tr>
      <w:tr>
        <w:trPr>
          <w:trHeight w:val="216"/>
        </w:trPr>
        <w:tc>
          <w:tcPr>
            <w:tcW w:w="2120" w:type="dxa"/>
            <w:vAlign w:val="bottom"/>
          </w:tcPr>
          <w:p>
            <w:pPr>
              <w:spacing w:after="0"/>
              <w:rPr>
                <w:sz w:val="18"/>
                <w:szCs w:val="18"/>
                <w:color w:val="auto"/>
              </w:rPr>
            </w:pPr>
          </w:p>
        </w:tc>
        <w:tc>
          <w:tcPr>
            <w:tcW w:w="450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London, W2 6LG</w:t>
            </w:r>
          </w:p>
        </w:tc>
        <w:tc>
          <w:tcPr>
            <w:tcW w:w="1660" w:type="dxa"/>
            <w:vAlign w:val="bottom"/>
          </w:tcPr>
          <w:p>
            <w:pPr>
              <w:spacing w:after="0"/>
              <w:rPr>
                <w:sz w:val="18"/>
                <w:szCs w:val="18"/>
                <w:color w:val="auto"/>
              </w:rPr>
            </w:pPr>
          </w:p>
        </w:tc>
      </w:tr>
      <w:tr>
        <w:trPr>
          <w:trHeight w:val="220"/>
        </w:trPr>
        <w:tc>
          <w:tcPr>
            <w:tcW w:w="2120" w:type="dxa"/>
            <w:vAlign w:val="bottom"/>
          </w:tcPr>
          <w:p>
            <w:pPr>
              <w:spacing w:after="0"/>
              <w:rPr>
                <w:sz w:val="19"/>
                <w:szCs w:val="19"/>
                <w:color w:val="auto"/>
              </w:rPr>
            </w:pPr>
          </w:p>
        </w:tc>
        <w:tc>
          <w:tcPr>
            <w:tcW w:w="45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United Kingdom</w:t>
            </w:r>
          </w:p>
        </w:tc>
        <w:tc>
          <w:tcPr>
            <w:tcW w:w="1660" w:type="dxa"/>
            <w:vAlign w:val="bottom"/>
          </w:tcPr>
          <w:p>
            <w:pPr>
              <w:spacing w:after="0"/>
              <w:rPr>
                <w:sz w:val="19"/>
                <w:szCs w:val="19"/>
                <w:color w:val="auto"/>
              </w:rPr>
            </w:pPr>
          </w:p>
        </w:tc>
      </w:tr>
      <w:tr>
        <w:trPr>
          <w:trHeight w:val="230"/>
        </w:trPr>
        <w:tc>
          <w:tcPr>
            <w:tcW w:w="2120" w:type="dxa"/>
            <w:vAlign w:val="bottom"/>
          </w:tcPr>
          <w:p>
            <w:pPr>
              <w:spacing w:after="0"/>
              <w:rPr>
                <w:sz w:val="20"/>
                <w:szCs w:val="20"/>
                <w:color w:val="auto"/>
              </w:rPr>
            </w:pPr>
          </w:p>
        </w:tc>
        <w:tc>
          <w:tcPr>
            <w:tcW w:w="4500" w:type="dxa"/>
            <w:vAlign w:val="bottom"/>
          </w:tcPr>
          <w:p>
            <w:pPr>
              <w:jc w:val="center"/>
              <w:ind w:right="30"/>
              <w:spacing w:after="0"/>
              <w:rPr>
                <w:sz w:val="20"/>
                <w:szCs w:val="20"/>
                <w:color w:val="auto"/>
              </w:rPr>
            </w:pPr>
            <w:r>
              <w:rPr>
                <w:rFonts w:ascii="Arial" w:cs="Arial" w:eastAsia="Arial" w:hAnsi="Arial"/>
                <w:sz w:val="18"/>
                <w:szCs w:val="18"/>
                <w:color w:val="auto"/>
                <w:w w:val="92"/>
              </w:rPr>
              <w:t>(Address of Principal Executive Offices)</w:t>
            </w:r>
          </w:p>
        </w:tc>
        <w:tc>
          <w:tcPr>
            <w:tcW w:w="1660" w:type="dxa"/>
            <w:vAlign w:val="bottom"/>
          </w:tcPr>
          <w:p>
            <w:pPr>
              <w:spacing w:after="0"/>
              <w:rPr>
                <w:sz w:val="20"/>
                <w:szCs w:val="20"/>
                <w:color w:val="auto"/>
              </w:rPr>
            </w:pPr>
          </w:p>
        </w:tc>
      </w:tr>
      <w:tr>
        <w:trPr>
          <w:trHeight w:val="445"/>
        </w:trPr>
        <w:tc>
          <w:tcPr>
            <w:tcW w:w="2120" w:type="dxa"/>
            <w:vAlign w:val="bottom"/>
          </w:tcPr>
          <w:p>
            <w:pPr>
              <w:spacing w:after="0"/>
              <w:rPr>
                <w:sz w:val="24"/>
                <w:szCs w:val="24"/>
                <w:color w:val="auto"/>
              </w:rPr>
            </w:pPr>
          </w:p>
        </w:tc>
        <w:tc>
          <w:tcPr>
            <w:tcW w:w="45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+44 20 33250660</w:t>
            </w:r>
          </w:p>
        </w:tc>
        <w:tc>
          <w:tcPr>
            <w:tcW w:w="1660" w:type="dxa"/>
            <w:vAlign w:val="bottom"/>
          </w:tcPr>
          <w:p>
            <w:pPr>
              <w:spacing w:after="0"/>
              <w:rPr>
                <w:sz w:val="24"/>
                <w:szCs w:val="24"/>
                <w:color w:val="auto"/>
              </w:rPr>
            </w:pPr>
          </w:p>
        </w:tc>
      </w:tr>
      <w:tr>
        <w:trPr>
          <w:trHeight w:val="230"/>
        </w:trPr>
        <w:tc>
          <w:tcPr>
            <w:tcW w:w="2120" w:type="dxa"/>
            <w:vAlign w:val="bottom"/>
          </w:tcPr>
          <w:p>
            <w:pPr>
              <w:spacing w:after="0"/>
              <w:rPr>
                <w:sz w:val="20"/>
                <w:szCs w:val="20"/>
                <w:color w:val="auto"/>
              </w:rPr>
            </w:pPr>
          </w:p>
        </w:tc>
        <w:tc>
          <w:tcPr>
            <w:tcW w:w="4500" w:type="dxa"/>
            <w:vAlign w:val="bottom"/>
          </w:tcPr>
          <w:p>
            <w:pPr>
              <w:jc w:val="center"/>
              <w:ind w:right="50"/>
              <w:spacing w:after="0"/>
              <w:rPr>
                <w:sz w:val="20"/>
                <w:szCs w:val="20"/>
                <w:color w:val="auto"/>
              </w:rPr>
            </w:pPr>
            <w:r>
              <w:rPr>
                <w:rFonts w:ascii="Arial" w:cs="Arial" w:eastAsia="Arial" w:hAnsi="Arial"/>
                <w:sz w:val="18"/>
                <w:szCs w:val="18"/>
                <w:color w:val="auto"/>
                <w:w w:val="91"/>
              </w:rPr>
              <w:t>(Registrant’s Telephone Number, Including Area Code)</w:t>
            </w:r>
          </w:p>
        </w:tc>
        <w:tc>
          <w:tcPr>
            <w:tcW w:w="1660" w:type="dxa"/>
            <w:vAlign w:val="bottom"/>
          </w:tcPr>
          <w:p>
            <w:pPr>
              <w:spacing w:after="0"/>
              <w:rPr>
                <w:sz w:val="20"/>
                <w:szCs w:val="20"/>
                <w:color w:val="auto"/>
              </w:rPr>
            </w:pPr>
          </w:p>
        </w:tc>
      </w:tr>
    </w:tbl>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238"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272"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272"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272" w:lineRule="exact"/>
        <w:rPr>
          <w:rFonts w:ascii="MS PGothic" w:cs="MS PGothic" w:eastAsia="MS PGothic" w:hAnsi="MS PGothic"/>
          <w:sz w:val="22"/>
          <w:szCs w:val="22"/>
          <w:color w:val="auto"/>
        </w:rPr>
      </w:pPr>
    </w:p>
    <w:p>
      <w:pPr>
        <w:ind w:right="2960" w:firstLine="8"/>
        <w:spacing w:after="0" w:line="395" w:lineRule="auto"/>
        <w:tabs>
          <w:tab w:leader="none" w:pos="234"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5"/>
        </w:trPr>
        <w:tc>
          <w:tcPr>
            <w:tcW w:w="41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19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8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on each exchange on which registered</w:t>
            </w:r>
          </w:p>
        </w:tc>
      </w:tr>
      <w:tr>
        <w:trPr>
          <w:trHeight w:val="223"/>
        </w:trPr>
        <w:tc>
          <w:tcPr>
            <w:tcW w:w="4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Ordinary Shares - £1.00 par value per share</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LIVN</w:t>
            </w:r>
          </w:p>
        </w:tc>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NASDAQ Global Market</w:t>
            </w:r>
          </w:p>
        </w:tc>
      </w:tr>
    </w:tbl>
    <w:p>
      <w:pPr>
        <w:spacing w:after="0" w:line="31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2" w:lineRule="exact"/>
        <w:rPr>
          <w:sz w:val="24"/>
          <w:szCs w:val="24"/>
          <w:color w:val="auto"/>
        </w:rPr>
      </w:pPr>
    </w:p>
    <w:p>
      <w:pPr>
        <w:ind w:left="7780"/>
        <w:spacing w:after="0" w:line="207" w:lineRule="exact"/>
        <w:tabs>
          <w:tab w:leader="none" w:pos="1072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3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ectPr>
          <w:pgSz w:w="11900" w:h="16838" w:orient="portrait"/>
          <w:cols w:equalWidth="0" w:num="1">
            <w:col w:w="11240"/>
          </w:cols>
          <w:pgMar w:left="320" w:top="783" w:right="339" w:bottom="1440" w:gutter="0" w:footer="0" w:header="0"/>
        </w:sectPr>
      </w:pPr>
    </w:p>
    <w:p>
      <w:pPr>
        <w:spacing w:after="0" w:line="29" w:lineRule="exact"/>
        <w:rPr>
          <w:sz w:val="24"/>
          <w:szCs w:val="24"/>
          <w:color w:val="auto"/>
        </w:rPr>
      </w:pPr>
    </w:p>
    <w:p>
      <w:pPr>
        <w:ind w:left="1074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503555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215900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29"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LivaNova PLC (the “Company”) held its 2021 Annual General Meeting of shareholders (“AGM”) on June 9, 2021. A total of 43,129,248 of the Company’s ordinary shares, representing 88.28% of the shares outstanding and eligible to vote and constituting a quorum, were present virtually or by proxy at the AGM.</w:t>
      </w:r>
    </w:p>
    <w:p>
      <w:pPr>
        <w:spacing w:after="0" w:line="202"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At the Company’s AGM, LivaNova’s shareholders considered nine proposals as more fully described in the Company’s 2021 Proxy Statement and as summarized below. All of the proposals were adopted. The number of votes for and against, as well as the number of abstentions and broker non-votes are set forth below.</w:t>
      </w:r>
    </w:p>
    <w:p>
      <w:pPr>
        <w:spacing w:after="0" w:line="202" w:lineRule="exact"/>
        <w:rPr>
          <w:sz w:val="20"/>
          <w:szCs w:val="20"/>
          <w:color w:val="auto"/>
        </w:rPr>
      </w:pPr>
    </w:p>
    <w:p>
      <w:pPr>
        <w:ind w:right="320" w:firstLine="8"/>
        <w:spacing w:after="0" w:line="246" w:lineRule="auto"/>
        <w:tabs>
          <w:tab w:leader="none" w:pos="315" w:val="left"/>
        </w:tabs>
        <w:numPr>
          <w:ilvl w:val="0"/>
          <w:numId w:val="2"/>
        </w:numPr>
        <w:rPr>
          <w:rFonts w:ascii="Arial" w:cs="Arial" w:eastAsia="Arial" w:hAnsi="Arial"/>
          <w:sz w:val="18"/>
          <w:szCs w:val="18"/>
          <w:color w:val="auto"/>
        </w:rPr>
      </w:pPr>
      <w:r>
        <w:rPr>
          <w:rFonts w:ascii="Arial" w:cs="Arial" w:eastAsia="Arial" w:hAnsi="Arial"/>
          <w:sz w:val="18"/>
          <w:szCs w:val="18"/>
          <w:color w:val="auto"/>
        </w:rPr>
        <w:t>Ordinary resolution to elect, by separate resolutions, each of the following ten (10) directors for a term expiring at the AGM to be held in 2022. All nominees were elected.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80" w:type="dxa"/>
            <w:vAlign w:val="bottom"/>
          </w:tcPr>
          <w:p>
            <w:pPr>
              <w:spacing w:after="0"/>
              <w:rPr>
                <w:sz w:val="20"/>
                <w:szCs w:val="20"/>
                <w:color w:val="auto"/>
              </w:rPr>
            </w:pPr>
            <w:r>
              <w:rPr>
                <w:rFonts w:ascii="Arial" w:cs="Arial" w:eastAsia="Arial" w:hAnsi="Arial"/>
                <w:sz w:val="18"/>
                <w:szCs w:val="18"/>
                <w:b w:val="1"/>
                <w:bCs w:val="1"/>
                <w:color w:val="auto"/>
              </w:rPr>
              <w:t>Mr. Francesco Bianchi</w:t>
            </w:r>
          </w:p>
        </w:tc>
        <w:tc>
          <w:tcPr>
            <w:tcW w:w="1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8"/>
        </w:trPr>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Votes For</w:t>
            </w:r>
          </w:p>
        </w:tc>
        <w:tc>
          <w:tcPr>
            <w:tcW w:w="140" w:type="dxa"/>
            <w:vAlign w:val="bottom"/>
          </w:tcPr>
          <w:p>
            <w:pPr>
              <w:spacing w:after="0"/>
              <w:rPr>
                <w:sz w:val="24"/>
                <w:szCs w:val="24"/>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Votes Against</w:t>
            </w:r>
          </w:p>
        </w:tc>
        <w:tc>
          <w:tcPr>
            <w:tcW w:w="140" w:type="dxa"/>
            <w:vAlign w:val="bottom"/>
          </w:tcPr>
          <w:p>
            <w:pPr>
              <w:spacing w:after="0"/>
              <w:rPr>
                <w:sz w:val="24"/>
                <w:szCs w:val="24"/>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Votes Abstained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Broker Non-Votes</w:t>
            </w:r>
          </w:p>
        </w:tc>
        <w:tc>
          <w:tcPr>
            <w:tcW w:w="0" w:type="dxa"/>
            <w:vAlign w:val="bottom"/>
          </w:tcPr>
          <w:p>
            <w:pPr>
              <w:spacing w:after="0"/>
              <w:rPr>
                <w:sz w:val="1"/>
                <w:szCs w:val="1"/>
                <w:color w:val="auto"/>
              </w:rPr>
            </w:pPr>
          </w:p>
        </w:tc>
      </w:tr>
      <w:tr>
        <w:trPr>
          <w:trHeight w:val="378"/>
        </w:trPr>
        <w:tc>
          <w:tcPr>
            <w:tcW w:w="278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268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266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120" w:type="dxa"/>
            <w:vAlign w:val="bottom"/>
            <w:vMerge w:val="restart"/>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40,636,034</w:t>
            </w:r>
          </w:p>
        </w:tc>
        <w:tc>
          <w:tcPr>
            <w:tcW w:w="140" w:type="dxa"/>
            <w:vAlign w:val="bottom"/>
            <w:vMerge w:val="continue"/>
          </w:tcPr>
          <w:p>
            <w:pPr>
              <w:spacing w:after="0"/>
              <w:rPr>
                <w:sz w:val="19"/>
                <w:szCs w:val="19"/>
                <w:color w:val="auto"/>
              </w:rPr>
            </w:pPr>
          </w:p>
        </w:tc>
        <w:tc>
          <w:tcPr>
            <w:tcW w:w="2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1,250,487</w:t>
            </w:r>
          </w:p>
        </w:tc>
        <w:tc>
          <w:tcPr>
            <w:tcW w:w="140" w:type="dxa"/>
            <w:vAlign w:val="bottom"/>
            <w:vMerge w:val="continue"/>
          </w:tcPr>
          <w:p>
            <w:pPr>
              <w:spacing w:after="0"/>
              <w:rPr>
                <w:sz w:val="19"/>
                <w:szCs w:val="19"/>
                <w:color w:val="auto"/>
              </w:rPr>
            </w:pPr>
          </w:p>
        </w:tc>
        <w:tc>
          <w:tcPr>
            <w:tcW w:w="2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28,666</w:t>
            </w:r>
          </w:p>
        </w:tc>
        <w:tc>
          <w:tcPr>
            <w:tcW w:w="2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27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1,214,061</w:t>
            </w:r>
          </w:p>
        </w:tc>
        <w:tc>
          <w:tcPr>
            <w:tcW w:w="0" w:type="dxa"/>
            <w:vAlign w:val="bottom"/>
          </w:tcPr>
          <w:p>
            <w:pPr>
              <w:spacing w:after="0"/>
              <w:rPr>
                <w:sz w:val="1"/>
                <w:szCs w:val="1"/>
                <w:color w:val="auto"/>
              </w:rPr>
            </w:pPr>
          </w:p>
        </w:tc>
      </w:tr>
      <w:tr>
        <w:trPr>
          <w:trHeight w:val="648"/>
        </w:trPr>
        <w:tc>
          <w:tcPr>
            <w:tcW w:w="2780" w:type="dxa"/>
            <w:vAlign w:val="bottom"/>
          </w:tcPr>
          <w:p>
            <w:pPr>
              <w:spacing w:after="0"/>
              <w:rPr>
                <w:sz w:val="20"/>
                <w:szCs w:val="20"/>
                <w:color w:val="auto"/>
              </w:rPr>
            </w:pPr>
            <w:r>
              <w:rPr>
                <w:rFonts w:ascii="Arial" w:cs="Arial" w:eastAsia="Arial" w:hAnsi="Arial"/>
                <w:sz w:val="18"/>
                <w:szCs w:val="18"/>
                <w:b w:val="1"/>
                <w:bCs w:val="1"/>
                <w:color w:val="auto"/>
              </w:rPr>
              <w:t>Ms. Stacy Enxing Seng</w:t>
            </w:r>
          </w:p>
        </w:tc>
        <w:tc>
          <w:tcPr>
            <w:tcW w:w="1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Votes For</w:t>
            </w:r>
          </w:p>
        </w:tc>
        <w:tc>
          <w:tcPr>
            <w:tcW w:w="140" w:type="dxa"/>
            <w:vAlign w:val="bottom"/>
          </w:tcPr>
          <w:p>
            <w:pPr>
              <w:spacing w:after="0"/>
              <w:rPr>
                <w:sz w:val="24"/>
                <w:szCs w:val="24"/>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Votes Against</w:t>
            </w:r>
          </w:p>
        </w:tc>
        <w:tc>
          <w:tcPr>
            <w:tcW w:w="140" w:type="dxa"/>
            <w:vAlign w:val="bottom"/>
          </w:tcPr>
          <w:p>
            <w:pPr>
              <w:spacing w:after="0"/>
              <w:rPr>
                <w:sz w:val="24"/>
                <w:szCs w:val="24"/>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Votes Abstained</w:t>
            </w:r>
          </w:p>
        </w:tc>
        <w:tc>
          <w:tcPr>
            <w:tcW w:w="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Broker Non-Votes</w:t>
            </w:r>
          </w:p>
        </w:tc>
        <w:tc>
          <w:tcPr>
            <w:tcW w:w="0" w:type="dxa"/>
            <w:vAlign w:val="bottom"/>
          </w:tcPr>
          <w:p>
            <w:pPr>
              <w:spacing w:after="0"/>
              <w:rPr>
                <w:sz w:val="1"/>
                <w:szCs w:val="1"/>
                <w:color w:val="auto"/>
              </w:rPr>
            </w:pPr>
          </w:p>
        </w:tc>
      </w:tr>
      <w:tr>
        <w:trPr>
          <w:trHeight w:val="378"/>
        </w:trPr>
        <w:tc>
          <w:tcPr>
            <w:tcW w:w="278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268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2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gridSpan w:val="2"/>
            <w:vMerge w:val="restart"/>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40,072,366</w:t>
            </w:r>
          </w:p>
        </w:tc>
        <w:tc>
          <w:tcPr>
            <w:tcW w:w="140" w:type="dxa"/>
            <w:vAlign w:val="bottom"/>
            <w:vMerge w:val="continue"/>
          </w:tcPr>
          <w:p>
            <w:pPr>
              <w:spacing w:after="0"/>
              <w:rPr>
                <w:sz w:val="19"/>
                <w:szCs w:val="19"/>
                <w:color w:val="auto"/>
              </w:rPr>
            </w:pPr>
          </w:p>
        </w:tc>
        <w:tc>
          <w:tcPr>
            <w:tcW w:w="2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1,816,182</w:t>
            </w:r>
          </w:p>
        </w:tc>
        <w:tc>
          <w:tcPr>
            <w:tcW w:w="140" w:type="dxa"/>
            <w:vAlign w:val="bottom"/>
            <w:vMerge w:val="continue"/>
          </w:tcPr>
          <w:p>
            <w:pPr>
              <w:spacing w:after="0"/>
              <w:rPr>
                <w:sz w:val="19"/>
                <w:szCs w:val="19"/>
                <w:color w:val="auto"/>
              </w:rPr>
            </w:pPr>
          </w:p>
        </w:tc>
        <w:tc>
          <w:tcPr>
            <w:tcW w:w="2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26,639</w:t>
            </w:r>
          </w:p>
        </w:tc>
        <w:tc>
          <w:tcPr>
            <w:tcW w:w="20" w:type="dxa"/>
            <w:vAlign w:val="bottom"/>
            <w:shd w:val="clear" w:color="auto" w:fill="CCEEFF"/>
          </w:tcPr>
          <w:p>
            <w:pPr>
              <w:spacing w:after="0"/>
              <w:rPr>
                <w:sz w:val="19"/>
                <w:szCs w:val="19"/>
                <w:color w:val="auto"/>
              </w:rPr>
            </w:pPr>
          </w:p>
        </w:tc>
        <w:tc>
          <w:tcPr>
            <w:tcW w:w="140" w:type="dxa"/>
            <w:vAlign w:val="bottom"/>
            <w:gridSpan w:val="2"/>
            <w:vMerge w:val="continue"/>
          </w:tcPr>
          <w:p>
            <w:pPr>
              <w:spacing w:after="0"/>
              <w:rPr>
                <w:sz w:val="19"/>
                <w:szCs w:val="19"/>
                <w:color w:val="auto"/>
              </w:rPr>
            </w:pPr>
          </w:p>
        </w:tc>
        <w:tc>
          <w:tcPr>
            <w:tcW w:w="2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1,214,061</w:t>
            </w:r>
          </w:p>
        </w:tc>
        <w:tc>
          <w:tcPr>
            <w:tcW w:w="0" w:type="dxa"/>
            <w:vAlign w:val="bottom"/>
          </w:tcPr>
          <w:p>
            <w:pPr>
              <w:spacing w:after="0"/>
              <w:rPr>
                <w:sz w:val="1"/>
                <w:szCs w:val="1"/>
                <w:color w:val="auto"/>
              </w:rPr>
            </w:pPr>
          </w:p>
        </w:tc>
      </w:tr>
      <w:tr>
        <w:trPr>
          <w:trHeight w:val="635"/>
        </w:trPr>
        <w:tc>
          <w:tcPr>
            <w:tcW w:w="2780" w:type="dxa"/>
            <w:vAlign w:val="bottom"/>
          </w:tcPr>
          <w:p>
            <w:pPr>
              <w:spacing w:after="0"/>
              <w:rPr>
                <w:sz w:val="20"/>
                <w:szCs w:val="20"/>
                <w:color w:val="auto"/>
              </w:rPr>
            </w:pPr>
            <w:r>
              <w:rPr>
                <w:rFonts w:ascii="Arial" w:cs="Arial" w:eastAsia="Arial" w:hAnsi="Arial"/>
                <w:sz w:val="18"/>
                <w:szCs w:val="18"/>
                <w:b w:val="1"/>
                <w:bCs w:val="1"/>
                <w:color w:val="auto"/>
              </w:rPr>
              <w:t>Mr. William Kozy</w:t>
            </w:r>
          </w:p>
        </w:tc>
        <w:tc>
          <w:tcPr>
            <w:tcW w:w="1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Votes For</w:t>
            </w:r>
          </w:p>
        </w:tc>
        <w:tc>
          <w:tcPr>
            <w:tcW w:w="140" w:type="dxa"/>
            <w:vAlign w:val="bottom"/>
          </w:tcPr>
          <w:p>
            <w:pPr>
              <w:spacing w:after="0"/>
              <w:rPr>
                <w:sz w:val="24"/>
                <w:szCs w:val="24"/>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Votes Against</w:t>
            </w:r>
          </w:p>
        </w:tc>
        <w:tc>
          <w:tcPr>
            <w:tcW w:w="140" w:type="dxa"/>
            <w:vAlign w:val="bottom"/>
          </w:tcPr>
          <w:p>
            <w:pPr>
              <w:spacing w:after="0"/>
              <w:rPr>
                <w:sz w:val="24"/>
                <w:szCs w:val="24"/>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Votes Abstained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Broker Non-Votes</w:t>
            </w:r>
          </w:p>
        </w:tc>
        <w:tc>
          <w:tcPr>
            <w:tcW w:w="0" w:type="dxa"/>
            <w:vAlign w:val="bottom"/>
          </w:tcPr>
          <w:p>
            <w:pPr>
              <w:spacing w:after="0"/>
              <w:rPr>
                <w:sz w:val="1"/>
                <w:szCs w:val="1"/>
                <w:color w:val="auto"/>
              </w:rPr>
            </w:pPr>
          </w:p>
        </w:tc>
      </w:tr>
      <w:tr>
        <w:trPr>
          <w:trHeight w:val="378"/>
        </w:trPr>
        <w:tc>
          <w:tcPr>
            <w:tcW w:w="278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268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2660" w:type="dxa"/>
            <w:vAlign w:val="bottom"/>
          </w:tcPr>
          <w:p>
            <w:pPr>
              <w:spacing w:after="0"/>
              <w:rPr>
                <w:sz w:val="24"/>
                <w:szCs w:val="24"/>
                <w:color w:val="auto"/>
              </w:rPr>
            </w:pPr>
          </w:p>
        </w:tc>
        <w:tc>
          <w:tcPr>
            <w:tcW w:w="140" w:type="dxa"/>
            <w:vAlign w:val="bottom"/>
            <w:gridSpan w:val="2"/>
            <w:vMerge w:val="restart"/>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40,868,046</w:t>
            </w:r>
          </w:p>
        </w:tc>
        <w:tc>
          <w:tcPr>
            <w:tcW w:w="140" w:type="dxa"/>
            <w:vAlign w:val="bottom"/>
            <w:vMerge w:val="continue"/>
          </w:tcPr>
          <w:p>
            <w:pPr>
              <w:spacing w:after="0"/>
              <w:rPr>
                <w:sz w:val="19"/>
                <w:szCs w:val="19"/>
                <w:color w:val="auto"/>
              </w:rPr>
            </w:pPr>
          </w:p>
        </w:tc>
        <w:tc>
          <w:tcPr>
            <w:tcW w:w="2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1,018,175</w:t>
            </w:r>
          </w:p>
        </w:tc>
        <w:tc>
          <w:tcPr>
            <w:tcW w:w="140" w:type="dxa"/>
            <w:vAlign w:val="bottom"/>
            <w:vMerge w:val="continue"/>
          </w:tcPr>
          <w:p>
            <w:pPr>
              <w:spacing w:after="0"/>
              <w:rPr>
                <w:sz w:val="19"/>
                <w:szCs w:val="19"/>
                <w:color w:val="auto"/>
              </w:rPr>
            </w:pPr>
          </w:p>
        </w:tc>
        <w:tc>
          <w:tcPr>
            <w:tcW w:w="2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28,966</w:t>
            </w:r>
          </w:p>
        </w:tc>
        <w:tc>
          <w:tcPr>
            <w:tcW w:w="140" w:type="dxa"/>
            <w:vAlign w:val="bottom"/>
            <w:gridSpan w:val="2"/>
            <w:vMerge w:val="continue"/>
          </w:tcPr>
          <w:p>
            <w:pPr>
              <w:spacing w:after="0"/>
              <w:rPr>
                <w:sz w:val="19"/>
                <w:szCs w:val="19"/>
                <w:color w:val="auto"/>
              </w:rPr>
            </w:pPr>
          </w:p>
        </w:tc>
        <w:tc>
          <w:tcPr>
            <w:tcW w:w="27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1,214,061</w:t>
            </w:r>
          </w:p>
        </w:tc>
        <w:tc>
          <w:tcPr>
            <w:tcW w:w="0" w:type="dxa"/>
            <w:vAlign w:val="bottom"/>
          </w:tcPr>
          <w:p>
            <w:pPr>
              <w:spacing w:after="0"/>
              <w:rPr>
                <w:sz w:val="1"/>
                <w:szCs w:val="1"/>
                <w:color w:val="auto"/>
              </w:rPr>
            </w:pPr>
          </w:p>
        </w:tc>
      </w:tr>
      <w:tr>
        <w:trPr>
          <w:trHeight w:val="648"/>
        </w:trPr>
        <w:tc>
          <w:tcPr>
            <w:tcW w:w="2780" w:type="dxa"/>
            <w:vAlign w:val="bottom"/>
          </w:tcPr>
          <w:p>
            <w:pPr>
              <w:spacing w:after="0"/>
              <w:rPr>
                <w:sz w:val="20"/>
                <w:szCs w:val="20"/>
                <w:color w:val="auto"/>
              </w:rPr>
            </w:pPr>
            <w:r>
              <w:rPr>
                <w:rFonts w:ascii="Arial" w:cs="Arial" w:eastAsia="Arial" w:hAnsi="Arial"/>
                <w:sz w:val="18"/>
                <w:szCs w:val="18"/>
                <w:b w:val="1"/>
                <w:bCs w:val="1"/>
                <w:color w:val="auto"/>
              </w:rPr>
              <w:t>Mr. Damien McDonald</w:t>
            </w:r>
          </w:p>
        </w:tc>
        <w:tc>
          <w:tcPr>
            <w:tcW w:w="1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Votes For</w:t>
            </w:r>
          </w:p>
        </w:tc>
        <w:tc>
          <w:tcPr>
            <w:tcW w:w="140" w:type="dxa"/>
            <w:vAlign w:val="bottom"/>
          </w:tcPr>
          <w:p>
            <w:pPr>
              <w:spacing w:after="0"/>
              <w:rPr>
                <w:sz w:val="24"/>
                <w:szCs w:val="24"/>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Votes Against</w:t>
            </w:r>
          </w:p>
        </w:tc>
        <w:tc>
          <w:tcPr>
            <w:tcW w:w="140" w:type="dxa"/>
            <w:vAlign w:val="bottom"/>
          </w:tcPr>
          <w:p>
            <w:pPr>
              <w:spacing w:after="0"/>
              <w:rPr>
                <w:sz w:val="24"/>
                <w:szCs w:val="24"/>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Votes Abstained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Broker Non-Votes</w:t>
            </w:r>
          </w:p>
        </w:tc>
        <w:tc>
          <w:tcPr>
            <w:tcW w:w="0" w:type="dxa"/>
            <w:vAlign w:val="bottom"/>
          </w:tcPr>
          <w:p>
            <w:pPr>
              <w:spacing w:after="0"/>
              <w:rPr>
                <w:sz w:val="1"/>
                <w:szCs w:val="1"/>
                <w:color w:val="auto"/>
              </w:rPr>
            </w:pPr>
          </w:p>
        </w:tc>
      </w:tr>
      <w:tr>
        <w:trPr>
          <w:trHeight w:val="378"/>
        </w:trPr>
        <w:tc>
          <w:tcPr>
            <w:tcW w:w="278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268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2660" w:type="dxa"/>
            <w:vAlign w:val="bottom"/>
          </w:tcPr>
          <w:p>
            <w:pPr>
              <w:spacing w:after="0"/>
              <w:rPr>
                <w:sz w:val="24"/>
                <w:szCs w:val="24"/>
                <w:color w:val="auto"/>
              </w:rPr>
            </w:pPr>
          </w:p>
        </w:tc>
        <w:tc>
          <w:tcPr>
            <w:tcW w:w="140" w:type="dxa"/>
            <w:vAlign w:val="bottom"/>
            <w:gridSpan w:val="2"/>
            <w:vMerge w:val="restart"/>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39,927,952</w:t>
            </w:r>
          </w:p>
        </w:tc>
        <w:tc>
          <w:tcPr>
            <w:tcW w:w="140" w:type="dxa"/>
            <w:vAlign w:val="bottom"/>
            <w:vMerge w:val="continue"/>
          </w:tcPr>
          <w:p>
            <w:pPr>
              <w:spacing w:after="0"/>
              <w:rPr>
                <w:sz w:val="19"/>
                <w:szCs w:val="19"/>
                <w:color w:val="auto"/>
              </w:rPr>
            </w:pPr>
          </w:p>
        </w:tc>
        <w:tc>
          <w:tcPr>
            <w:tcW w:w="2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1,966,263</w:t>
            </w:r>
          </w:p>
        </w:tc>
        <w:tc>
          <w:tcPr>
            <w:tcW w:w="140" w:type="dxa"/>
            <w:vAlign w:val="bottom"/>
            <w:vMerge w:val="continue"/>
          </w:tcPr>
          <w:p>
            <w:pPr>
              <w:spacing w:after="0"/>
              <w:rPr>
                <w:sz w:val="19"/>
                <w:szCs w:val="19"/>
                <w:color w:val="auto"/>
              </w:rPr>
            </w:pPr>
          </w:p>
        </w:tc>
        <w:tc>
          <w:tcPr>
            <w:tcW w:w="2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20,972</w:t>
            </w:r>
          </w:p>
        </w:tc>
        <w:tc>
          <w:tcPr>
            <w:tcW w:w="140" w:type="dxa"/>
            <w:vAlign w:val="bottom"/>
            <w:gridSpan w:val="2"/>
            <w:vMerge w:val="continue"/>
          </w:tcPr>
          <w:p>
            <w:pPr>
              <w:spacing w:after="0"/>
              <w:rPr>
                <w:sz w:val="19"/>
                <w:szCs w:val="19"/>
                <w:color w:val="auto"/>
              </w:rPr>
            </w:pPr>
          </w:p>
        </w:tc>
        <w:tc>
          <w:tcPr>
            <w:tcW w:w="27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1,214,061</w:t>
            </w:r>
          </w:p>
        </w:tc>
        <w:tc>
          <w:tcPr>
            <w:tcW w:w="0" w:type="dxa"/>
            <w:vAlign w:val="bottom"/>
          </w:tcPr>
          <w:p>
            <w:pPr>
              <w:spacing w:after="0"/>
              <w:rPr>
                <w:sz w:val="1"/>
                <w:szCs w:val="1"/>
                <w:color w:val="auto"/>
              </w:rPr>
            </w:pPr>
          </w:p>
        </w:tc>
      </w:tr>
      <w:tr>
        <w:trPr>
          <w:trHeight w:val="648"/>
        </w:trPr>
        <w:tc>
          <w:tcPr>
            <w:tcW w:w="2780" w:type="dxa"/>
            <w:vAlign w:val="bottom"/>
          </w:tcPr>
          <w:p>
            <w:pPr>
              <w:spacing w:after="0"/>
              <w:rPr>
                <w:sz w:val="20"/>
                <w:szCs w:val="20"/>
                <w:color w:val="auto"/>
              </w:rPr>
            </w:pPr>
            <w:r>
              <w:rPr>
                <w:rFonts w:ascii="Arial" w:cs="Arial" w:eastAsia="Arial" w:hAnsi="Arial"/>
                <w:sz w:val="18"/>
                <w:szCs w:val="18"/>
                <w:b w:val="1"/>
                <w:bCs w:val="1"/>
                <w:color w:val="auto"/>
              </w:rPr>
              <w:t>Mr. Daniel Moore</w:t>
            </w:r>
          </w:p>
        </w:tc>
        <w:tc>
          <w:tcPr>
            <w:tcW w:w="1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Votes For</w:t>
            </w:r>
          </w:p>
        </w:tc>
        <w:tc>
          <w:tcPr>
            <w:tcW w:w="140" w:type="dxa"/>
            <w:vAlign w:val="bottom"/>
          </w:tcPr>
          <w:p>
            <w:pPr>
              <w:spacing w:after="0"/>
              <w:rPr>
                <w:sz w:val="24"/>
                <w:szCs w:val="24"/>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Votes Against</w:t>
            </w:r>
          </w:p>
        </w:tc>
        <w:tc>
          <w:tcPr>
            <w:tcW w:w="140" w:type="dxa"/>
            <w:vAlign w:val="bottom"/>
          </w:tcPr>
          <w:p>
            <w:pPr>
              <w:spacing w:after="0"/>
              <w:rPr>
                <w:sz w:val="24"/>
                <w:szCs w:val="24"/>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Votes Abstained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Broker Non-Votes</w:t>
            </w:r>
          </w:p>
        </w:tc>
        <w:tc>
          <w:tcPr>
            <w:tcW w:w="0" w:type="dxa"/>
            <w:vAlign w:val="bottom"/>
          </w:tcPr>
          <w:p>
            <w:pPr>
              <w:spacing w:after="0"/>
              <w:rPr>
                <w:sz w:val="1"/>
                <w:szCs w:val="1"/>
                <w:color w:val="auto"/>
              </w:rPr>
            </w:pPr>
          </w:p>
        </w:tc>
      </w:tr>
      <w:tr>
        <w:trPr>
          <w:trHeight w:val="378"/>
        </w:trPr>
        <w:tc>
          <w:tcPr>
            <w:tcW w:w="278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268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2660" w:type="dxa"/>
            <w:vAlign w:val="bottom"/>
          </w:tcPr>
          <w:p>
            <w:pPr>
              <w:spacing w:after="0"/>
              <w:rPr>
                <w:sz w:val="24"/>
                <w:szCs w:val="24"/>
                <w:color w:val="auto"/>
              </w:rPr>
            </w:pPr>
          </w:p>
        </w:tc>
        <w:tc>
          <w:tcPr>
            <w:tcW w:w="140" w:type="dxa"/>
            <w:vAlign w:val="bottom"/>
            <w:gridSpan w:val="2"/>
            <w:vMerge w:val="restart"/>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39,926,018</w:t>
            </w:r>
          </w:p>
        </w:tc>
        <w:tc>
          <w:tcPr>
            <w:tcW w:w="140" w:type="dxa"/>
            <w:vAlign w:val="bottom"/>
            <w:vMerge w:val="continue"/>
          </w:tcPr>
          <w:p>
            <w:pPr>
              <w:spacing w:after="0"/>
              <w:rPr>
                <w:sz w:val="19"/>
                <w:szCs w:val="19"/>
                <w:color w:val="auto"/>
              </w:rPr>
            </w:pPr>
          </w:p>
        </w:tc>
        <w:tc>
          <w:tcPr>
            <w:tcW w:w="2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1,965,583</w:t>
            </w:r>
          </w:p>
        </w:tc>
        <w:tc>
          <w:tcPr>
            <w:tcW w:w="140" w:type="dxa"/>
            <w:vAlign w:val="bottom"/>
            <w:vMerge w:val="continue"/>
          </w:tcPr>
          <w:p>
            <w:pPr>
              <w:spacing w:after="0"/>
              <w:rPr>
                <w:sz w:val="19"/>
                <w:szCs w:val="19"/>
                <w:color w:val="auto"/>
              </w:rPr>
            </w:pPr>
          </w:p>
        </w:tc>
        <w:tc>
          <w:tcPr>
            <w:tcW w:w="2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23,586</w:t>
            </w:r>
          </w:p>
        </w:tc>
        <w:tc>
          <w:tcPr>
            <w:tcW w:w="140" w:type="dxa"/>
            <w:vAlign w:val="bottom"/>
            <w:gridSpan w:val="2"/>
            <w:vMerge w:val="continue"/>
          </w:tcPr>
          <w:p>
            <w:pPr>
              <w:spacing w:after="0"/>
              <w:rPr>
                <w:sz w:val="19"/>
                <w:szCs w:val="19"/>
                <w:color w:val="auto"/>
              </w:rPr>
            </w:pPr>
          </w:p>
        </w:tc>
        <w:tc>
          <w:tcPr>
            <w:tcW w:w="27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1,214,061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780" w:type="dxa"/>
            <w:vAlign w:val="bottom"/>
            <w:gridSpan w:val="2"/>
          </w:tcPr>
          <w:p>
            <w:pPr>
              <w:spacing w:after="0"/>
              <w:rPr>
                <w:sz w:val="20"/>
                <w:szCs w:val="20"/>
                <w:color w:val="auto"/>
              </w:rPr>
            </w:pPr>
            <w:r>
              <w:rPr>
                <w:rFonts w:ascii="Arial" w:cs="Arial" w:eastAsia="Arial" w:hAnsi="Arial"/>
                <w:sz w:val="18"/>
                <w:szCs w:val="18"/>
                <w:b w:val="1"/>
                <w:bCs w:val="1"/>
                <w:color w:val="auto"/>
              </w:rPr>
              <w:t>Mr. Alfred Novak</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8"/>
        </w:trPr>
        <w:tc>
          <w:tcPr>
            <w:tcW w:w="27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Votes For</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tcBorders>
              <w:bottom w:val="single" w:sz="8" w:color="auto"/>
            </w:tcBorders>
            <w:gridSpan w:val="2"/>
          </w:tcPr>
          <w:p>
            <w:pPr>
              <w:ind w:left="820"/>
              <w:spacing w:after="0"/>
              <w:rPr>
                <w:sz w:val="20"/>
                <w:szCs w:val="20"/>
                <w:color w:val="auto"/>
              </w:rPr>
            </w:pPr>
            <w:r>
              <w:rPr>
                <w:rFonts w:ascii="Arial" w:cs="Arial" w:eastAsia="Arial" w:hAnsi="Arial"/>
                <w:sz w:val="18"/>
                <w:szCs w:val="18"/>
                <w:b w:val="1"/>
                <w:bCs w:val="1"/>
                <w:color w:val="auto"/>
              </w:rPr>
              <w:t>Votes Against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Votes Abstained</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Broker Non-Votes</w:t>
            </w:r>
          </w:p>
        </w:tc>
        <w:tc>
          <w:tcPr>
            <w:tcW w:w="0" w:type="dxa"/>
            <w:vAlign w:val="bottom"/>
          </w:tcPr>
          <w:p>
            <w:pPr>
              <w:spacing w:after="0"/>
              <w:rPr>
                <w:sz w:val="1"/>
                <w:szCs w:val="1"/>
                <w:color w:val="auto"/>
              </w:rPr>
            </w:pPr>
          </w:p>
        </w:tc>
      </w:tr>
      <w:tr>
        <w:trPr>
          <w:trHeight w:val="243"/>
        </w:trPr>
        <w:tc>
          <w:tcPr>
            <w:tcW w:w="2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120" w:type="dxa"/>
            <w:vAlign w:val="bottom"/>
            <w:vMerge w:val="restart"/>
          </w:tcPr>
          <w:p>
            <w:pPr>
              <w:spacing w:after="0"/>
              <w:rPr>
                <w:sz w:val="21"/>
                <w:szCs w:val="21"/>
                <w:color w:val="auto"/>
              </w:rPr>
            </w:pPr>
          </w:p>
        </w:tc>
        <w:tc>
          <w:tcPr>
            <w:tcW w:w="2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120" w:type="dxa"/>
            <w:vAlign w:val="bottom"/>
            <w:vMerge w:val="restart"/>
          </w:tcPr>
          <w:p>
            <w:pPr>
              <w:spacing w:after="0"/>
              <w:rPr>
                <w:sz w:val="21"/>
                <w:szCs w:val="21"/>
                <w:color w:val="auto"/>
              </w:rPr>
            </w:pPr>
          </w:p>
        </w:tc>
        <w:tc>
          <w:tcPr>
            <w:tcW w:w="2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20" w:type="dxa"/>
            <w:vAlign w:val="bottom"/>
            <w:vMerge w:val="restart"/>
          </w:tcPr>
          <w:p>
            <w:pPr>
              <w:spacing w:after="0"/>
              <w:rPr>
                <w:sz w:val="21"/>
                <w:szCs w:val="21"/>
                <w:color w:val="auto"/>
              </w:rPr>
            </w:pPr>
          </w:p>
        </w:tc>
        <w:tc>
          <w:tcPr>
            <w:tcW w:w="100" w:type="dxa"/>
            <w:vAlign w:val="bottom"/>
            <w:vMerge w:val="restart"/>
          </w:tcPr>
          <w:p>
            <w:pPr>
              <w:spacing w:after="0"/>
              <w:rPr>
                <w:sz w:val="21"/>
                <w:szCs w:val="21"/>
                <w:color w:val="auto"/>
              </w:rPr>
            </w:pPr>
          </w:p>
        </w:tc>
        <w:tc>
          <w:tcPr>
            <w:tcW w:w="2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66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8"/>
              </w:rPr>
              <w:t>39,418,681</w:t>
            </w:r>
          </w:p>
        </w:tc>
        <w:tc>
          <w:tcPr>
            <w:tcW w:w="120" w:type="dxa"/>
            <w:vAlign w:val="bottom"/>
            <w:shd w:val="clear" w:color="auto" w:fill="CCEEFF"/>
          </w:tcPr>
          <w:p>
            <w:pPr>
              <w:spacing w:after="0"/>
              <w:rPr>
                <w:sz w:val="19"/>
                <w:szCs w:val="19"/>
                <w:color w:val="auto"/>
              </w:rPr>
            </w:pPr>
          </w:p>
        </w:tc>
        <w:tc>
          <w:tcPr>
            <w:tcW w:w="2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25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9"/>
              </w:rPr>
              <w:t>2,467,584</w:t>
            </w:r>
          </w:p>
        </w:tc>
        <w:tc>
          <w:tcPr>
            <w:tcW w:w="120" w:type="dxa"/>
            <w:vAlign w:val="bottom"/>
            <w:shd w:val="clear" w:color="auto" w:fill="CCEEFF"/>
          </w:tcPr>
          <w:p>
            <w:pPr>
              <w:spacing w:after="0"/>
              <w:rPr>
                <w:sz w:val="19"/>
                <w:szCs w:val="19"/>
                <w:color w:val="auto"/>
              </w:rPr>
            </w:pPr>
          </w:p>
        </w:tc>
        <w:tc>
          <w:tcPr>
            <w:tcW w:w="2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2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28,922</w:t>
            </w:r>
          </w:p>
        </w:tc>
        <w:tc>
          <w:tcPr>
            <w:tcW w:w="80" w:type="dxa"/>
            <w:vAlign w:val="bottom"/>
            <w:shd w:val="clear" w:color="auto" w:fill="CCEEFF"/>
          </w:tcPr>
          <w:p>
            <w:pPr>
              <w:spacing w:after="0"/>
              <w:rPr>
                <w:sz w:val="19"/>
                <w:szCs w:val="19"/>
                <w:color w:val="auto"/>
              </w:rPr>
            </w:pPr>
          </w:p>
        </w:tc>
        <w:tc>
          <w:tcPr>
            <w:tcW w:w="2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27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1,214,061</w:t>
            </w:r>
          </w:p>
        </w:tc>
        <w:tc>
          <w:tcPr>
            <w:tcW w:w="0" w:type="dxa"/>
            <w:vAlign w:val="bottom"/>
          </w:tcPr>
          <w:p>
            <w:pPr>
              <w:spacing w:after="0"/>
              <w:rPr>
                <w:sz w:val="1"/>
                <w:szCs w:val="1"/>
                <w:color w:val="auto"/>
              </w:rPr>
            </w:pPr>
          </w:p>
        </w:tc>
      </w:tr>
      <w:tr>
        <w:trPr>
          <w:trHeight w:val="662"/>
        </w:trPr>
        <w:tc>
          <w:tcPr>
            <w:tcW w:w="2780" w:type="dxa"/>
            <w:vAlign w:val="bottom"/>
            <w:gridSpan w:val="2"/>
          </w:tcPr>
          <w:p>
            <w:pPr>
              <w:spacing w:after="0"/>
              <w:rPr>
                <w:sz w:val="20"/>
                <w:szCs w:val="20"/>
                <w:color w:val="auto"/>
              </w:rPr>
            </w:pPr>
            <w:r>
              <w:rPr>
                <w:rFonts w:ascii="Arial" w:cs="Arial" w:eastAsia="Arial" w:hAnsi="Arial"/>
                <w:sz w:val="18"/>
                <w:szCs w:val="18"/>
                <w:b w:val="1"/>
                <w:bCs w:val="1"/>
                <w:color w:val="auto"/>
              </w:rPr>
              <w:t>Dr. Sharon O’Kane</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7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Votes For</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tcBorders>
              <w:bottom w:val="single" w:sz="8" w:color="auto"/>
            </w:tcBorders>
            <w:gridSpan w:val="2"/>
          </w:tcPr>
          <w:p>
            <w:pPr>
              <w:ind w:left="820"/>
              <w:spacing w:after="0"/>
              <w:rPr>
                <w:sz w:val="20"/>
                <w:szCs w:val="20"/>
                <w:color w:val="auto"/>
              </w:rPr>
            </w:pPr>
            <w:r>
              <w:rPr>
                <w:rFonts w:ascii="Arial" w:cs="Arial" w:eastAsia="Arial" w:hAnsi="Arial"/>
                <w:sz w:val="18"/>
                <w:szCs w:val="18"/>
                <w:b w:val="1"/>
                <w:bCs w:val="1"/>
                <w:color w:val="auto"/>
              </w:rPr>
              <w:t>Votes Against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Votes Abstained</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Broker Non-Votes</w:t>
            </w:r>
          </w:p>
        </w:tc>
        <w:tc>
          <w:tcPr>
            <w:tcW w:w="0" w:type="dxa"/>
            <w:vAlign w:val="bottom"/>
          </w:tcPr>
          <w:p>
            <w:pPr>
              <w:spacing w:after="0"/>
              <w:rPr>
                <w:sz w:val="1"/>
                <w:szCs w:val="1"/>
                <w:color w:val="auto"/>
              </w:rPr>
            </w:pPr>
          </w:p>
        </w:tc>
      </w:tr>
      <w:tr>
        <w:trPr>
          <w:trHeight w:val="378"/>
        </w:trPr>
        <w:tc>
          <w:tcPr>
            <w:tcW w:w="2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120" w:type="dxa"/>
            <w:vAlign w:val="bottom"/>
            <w:vMerge w:val="restart"/>
          </w:tcPr>
          <w:p>
            <w:pPr>
              <w:spacing w:after="0"/>
              <w:rPr>
                <w:sz w:val="24"/>
                <w:szCs w:val="24"/>
                <w:color w:val="auto"/>
              </w:rPr>
            </w:pPr>
          </w:p>
        </w:tc>
        <w:tc>
          <w:tcPr>
            <w:tcW w:w="2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120" w:type="dxa"/>
            <w:vAlign w:val="bottom"/>
            <w:vMerge w:val="restart"/>
          </w:tcPr>
          <w:p>
            <w:pPr>
              <w:spacing w:after="0"/>
              <w:rPr>
                <w:sz w:val="24"/>
                <w:szCs w:val="24"/>
                <w:color w:val="auto"/>
              </w:rPr>
            </w:pPr>
          </w:p>
        </w:tc>
        <w:tc>
          <w:tcPr>
            <w:tcW w:w="2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100" w:type="dxa"/>
            <w:vAlign w:val="bottom"/>
            <w:vMerge w:val="restart"/>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66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8"/>
              </w:rPr>
              <w:t>39,602,534</w:t>
            </w:r>
          </w:p>
        </w:tc>
        <w:tc>
          <w:tcPr>
            <w:tcW w:w="120" w:type="dxa"/>
            <w:vAlign w:val="bottom"/>
            <w:shd w:val="clear" w:color="auto" w:fill="CCEEFF"/>
          </w:tcPr>
          <w:p>
            <w:pPr>
              <w:spacing w:after="0"/>
              <w:rPr>
                <w:sz w:val="19"/>
                <w:szCs w:val="19"/>
                <w:color w:val="auto"/>
              </w:rPr>
            </w:pPr>
          </w:p>
        </w:tc>
        <w:tc>
          <w:tcPr>
            <w:tcW w:w="2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25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9"/>
              </w:rPr>
              <w:t>2,286,283</w:t>
            </w:r>
          </w:p>
        </w:tc>
        <w:tc>
          <w:tcPr>
            <w:tcW w:w="120" w:type="dxa"/>
            <w:vAlign w:val="bottom"/>
            <w:shd w:val="clear" w:color="auto" w:fill="CCEEFF"/>
          </w:tcPr>
          <w:p>
            <w:pPr>
              <w:spacing w:after="0"/>
              <w:rPr>
                <w:sz w:val="19"/>
                <w:szCs w:val="19"/>
                <w:color w:val="auto"/>
              </w:rPr>
            </w:pPr>
          </w:p>
        </w:tc>
        <w:tc>
          <w:tcPr>
            <w:tcW w:w="2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2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26,370</w:t>
            </w:r>
          </w:p>
        </w:tc>
        <w:tc>
          <w:tcPr>
            <w:tcW w:w="80" w:type="dxa"/>
            <w:vAlign w:val="bottom"/>
            <w:shd w:val="clear" w:color="auto" w:fill="CCEEFF"/>
          </w:tcPr>
          <w:p>
            <w:pPr>
              <w:spacing w:after="0"/>
              <w:rPr>
                <w:sz w:val="19"/>
                <w:szCs w:val="19"/>
                <w:color w:val="auto"/>
              </w:rPr>
            </w:pPr>
          </w:p>
        </w:tc>
        <w:tc>
          <w:tcPr>
            <w:tcW w:w="2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27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1,214,061</w:t>
            </w:r>
          </w:p>
        </w:tc>
        <w:tc>
          <w:tcPr>
            <w:tcW w:w="0" w:type="dxa"/>
            <w:vAlign w:val="bottom"/>
          </w:tcPr>
          <w:p>
            <w:pPr>
              <w:spacing w:after="0"/>
              <w:rPr>
                <w:sz w:val="1"/>
                <w:szCs w:val="1"/>
                <w:color w:val="auto"/>
              </w:rPr>
            </w:pPr>
          </w:p>
        </w:tc>
      </w:tr>
      <w:tr>
        <w:trPr>
          <w:trHeight w:val="635"/>
        </w:trPr>
        <w:tc>
          <w:tcPr>
            <w:tcW w:w="2780" w:type="dxa"/>
            <w:vAlign w:val="bottom"/>
            <w:gridSpan w:val="2"/>
          </w:tcPr>
          <w:p>
            <w:pPr>
              <w:spacing w:after="0"/>
              <w:rPr>
                <w:sz w:val="20"/>
                <w:szCs w:val="20"/>
                <w:color w:val="auto"/>
              </w:rPr>
            </w:pPr>
            <w:r>
              <w:rPr>
                <w:rFonts w:ascii="Arial" w:cs="Arial" w:eastAsia="Arial" w:hAnsi="Arial"/>
                <w:sz w:val="18"/>
                <w:szCs w:val="18"/>
                <w:b w:val="1"/>
                <w:bCs w:val="1"/>
                <w:color w:val="auto"/>
              </w:rPr>
              <w:t>Dr. Arthur L. Rosenthal</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780" w:type="dxa"/>
            <w:vAlign w:val="bottom"/>
            <w:gridSpan w:val="2"/>
          </w:tcPr>
          <w:p>
            <w:pPr>
              <w:ind w:left="980"/>
              <w:spacing w:after="0"/>
              <w:rPr>
                <w:sz w:val="20"/>
                <w:szCs w:val="20"/>
                <w:color w:val="auto"/>
              </w:rPr>
            </w:pPr>
            <w:r>
              <w:rPr>
                <w:rFonts w:ascii="Arial" w:cs="Arial" w:eastAsia="Arial" w:hAnsi="Arial"/>
                <w:sz w:val="18"/>
                <w:szCs w:val="18"/>
                <w:b w:val="1"/>
                <w:bCs w:val="1"/>
                <w:color w:val="auto"/>
              </w:rPr>
              <w:t>Votes For</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Votes Against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Votes Abstained</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Broker Non-Votes</w:t>
            </w:r>
          </w:p>
        </w:tc>
        <w:tc>
          <w:tcPr>
            <w:tcW w:w="0" w:type="dxa"/>
            <w:vAlign w:val="bottom"/>
          </w:tcPr>
          <w:p>
            <w:pPr>
              <w:spacing w:after="0"/>
              <w:rPr>
                <w:sz w:val="1"/>
                <w:szCs w:val="1"/>
                <w:color w:val="auto"/>
              </w:rPr>
            </w:pPr>
          </w:p>
        </w:tc>
      </w:tr>
      <w:tr>
        <w:trPr>
          <w:trHeight w:val="378"/>
        </w:trPr>
        <w:tc>
          <w:tcPr>
            <w:tcW w:w="26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560" w:type="dxa"/>
            <w:vAlign w:val="bottom"/>
            <w:tcBorders>
              <w:top w:val="single" w:sz="8" w:color="auto"/>
            </w:tcBorders>
          </w:tcPr>
          <w:p>
            <w:pPr>
              <w:spacing w:after="0"/>
              <w:rPr>
                <w:sz w:val="24"/>
                <w:szCs w:val="24"/>
                <w:color w:val="auto"/>
              </w:rPr>
            </w:pPr>
          </w:p>
        </w:tc>
        <w:tc>
          <w:tcPr>
            <w:tcW w:w="12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580" w:type="dxa"/>
            <w:vAlign w:val="bottom"/>
            <w:tcBorders>
              <w:top w:val="single" w:sz="8" w:color="auto"/>
            </w:tcBorders>
          </w:tcPr>
          <w:p>
            <w:pPr>
              <w:spacing w:after="0"/>
              <w:rPr>
                <w:sz w:val="24"/>
                <w:szCs w:val="24"/>
                <w:color w:val="auto"/>
              </w:rPr>
            </w:pPr>
          </w:p>
        </w:tc>
        <w:tc>
          <w:tcPr>
            <w:tcW w:w="8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6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660" w:type="dxa"/>
            <w:vAlign w:val="bottom"/>
            <w:shd w:val="clear" w:color="auto" w:fill="CCEEFF"/>
          </w:tcPr>
          <w:p>
            <w:pPr>
              <w:ind w:left="940"/>
              <w:spacing w:after="0"/>
              <w:rPr>
                <w:sz w:val="20"/>
                <w:szCs w:val="20"/>
                <w:color w:val="auto"/>
              </w:rPr>
            </w:pPr>
            <w:r>
              <w:rPr>
                <w:rFonts w:ascii="Arial" w:cs="Arial" w:eastAsia="Arial" w:hAnsi="Arial"/>
                <w:sz w:val="18"/>
                <w:szCs w:val="18"/>
                <w:color w:val="auto"/>
              </w:rPr>
              <w:t>39,447,321</w:t>
            </w:r>
          </w:p>
        </w:tc>
        <w:tc>
          <w:tcPr>
            <w:tcW w:w="12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2680" w:type="dxa"/>
            <w:vAlign w:val="bottom"/>
            <w:gridSpan w:val="2"/>
            <w:shd w:val="clear" w:color="auto" w:fill="CCEEFF"/>
          </w:tcPr>
          <w:p>
            <w:pPr>
              <w:jc w:val="right"/>
              <w:ind w:right="890"/>
              <w:spacing w:after="0"/>
              <w:rPr>
                <w:sz w:val="20"/>
                <w:szCs w:val="20"/>
                <w:color w:val="auto"/>
              </w:rPr>
            </w:pPr>
            <w:r>
              <w:rPr>
                <w:rFonts w:ascii="Arial" w:cs="Arial" w:eastAsia="Arial" w:hAnsi="Arial"/>
                <w:sz w:val="18"/>
                <w:szCs w:val="18"/>
                <w:color w:val="auto"/>
              </w:rPr>
              <w:t>2,439,244</w:t>
            </w:r>
          </w:p>
        </w:tc>
        <w:tc>
          <w:tcPr>
            <w:tcW w:w="12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2700" w:type="dxa"/>
            <w:vAlign w:val="bottom"/>
            <w:gridSpan w:val="2"/>
            <w:shd w:val="clear" w:color="auto" w:fill="CCEEFF"/>
          </w:tcPr>
          <w:p>
            <w:pPr>
              <w:jc w:val="right"/>
              <w:ind w:right="1010"/>
              <w:spacing w:after="0"/>
              <w:rPr>
                <w:sz w:val="20"/>
                <w:szCs w:val="20"/>
                <w:color w:val="auto"/>
              </w:rPr>
            </w:pPr>
            <w:r>
              <w:rPr>
                <w:rFonts w:ascii="Arial" w:cs="Arial" w:eastAsia="Arial" w:hAnsi="Arial"/>
                <w:sz w:val="18"/>
                <w:szCs w:val="18"/>
                <w:color w:val="auto"/>
              </w:rPr>
              <w:t>28,622</w:t>
            </w:r>
          </w:p>
        </w:tc>
        <w:tc>
          <w:tcPr>
            <w:tcW w:w="8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2800" w:type="dxa"/>
            <w:vAlign w:val="bottom"/>
            <w:gridSpan w:val="3"/>
            <w:shd w:val="clear" w:color="auto" w:fill="CCEEFF"/>
          </w:tcPr>
          <w:p>
            <w:pPr>
              <w:jc w:val="right"/>
              <w:ind w:right="950"/>
              <w:spacing w:after="0"/>
              <w:rPr>
                <w:sz w:val="20"/>
                <w:szCs w:val="20"/>
                <w:color w:val="auto"/>
              </w:rPr>
            </w:pPr>
            <w:r>
              <w:rPr>
                <w:rFonts w:ascii="Arial" w:cs="Arial" w:eastAsia="Arial" w:hAnsi="Arial"/>
                <w:sz w:val="18"/>
                <w:szCs w:val="18"/>
                <w:color w:val="auto"/>
              </w:rPr>
              <w:t>1,214,061</w:t>
            </w:r>
          </w:p>
        </w:tc>
        <w:tc>
          <w:tcPr>
            <w:tcW w:w="0" w:type="dxa"/>
            <w:vAlign w:val="bottom"/>
          </w:tcPr>
          <w:p>
            <w:pPr>
              <w:spacing w:after="0"/>
              <w:rPr>
                <w:sz w:val="1"/>
                <w:szCs w:val="1"/>
                <w:color w:val="auto"/>
              </w:rPr>
            </w:pPr>
          </w:p>
        </w:tc>
      </w:tr>
      <w:tr>
        <w:trPr>
          <w:trHeight w:val="648"/>
        </w:trPr>
        <w:tc>
          <w:tcPr>
            <w:tcW w:w="2780" w:type="dxa"/>
            <w:vAlign w:val="bottom"/>
            <w:gridSpan w:val="2"/>
          </w:tcPr>
          <w:p>
            <w:pPr>
              <w:spacing w:after="0"/>
              <w:rPr>
                <w:sz w:val="20"/>
                <w:szCs w:val="20"/>
                <w:color w:val="auto"/>
              </w:rPr>
            </w:pPr>
            <w:r>
              <w:rPr>
                <w:rFonts w:ascii="Arial" w:cs="Arial" w:eastAsia="Arial" w:hAnsi="Arial"/>
                <w:sz w:val="18"/>
                <w:szCs w:val="18"/>
                <w:b w:val="1"/>
                <w:bCs w:val="1"/>
                <w:color w:val="auto"/>
              </w:rPr>
              <w:t>Ms. Andrea Saia</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7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Votes For</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tcBorders>
              <w:bottom w:val="single" w:sz="8" w:color="auto"/>
            </w:tcBorders>
            <w:gridSpan w:val="2"/>
          </w:tcPr>
          <w:p>
            <w:pPr>
              <w:ind w:left="820"/>
              <w:spacing w:after="0"/>
              <w:rPr>
                <w:sz w:val="20"/>
                <w:szCs w:val="20"/>
                <w:color w:val="auto"/>
              </w:rPr>
            </w:pPr>
            <w:r>
              <w:rPr>
                <w:rFonts w:ascii="Arial" w:cs="Arial" w:eastAsia="Arial" w:hAnsi="Arial"/>
                <w:sz w:val="18"/>
                <w:szCs w:val="18"/>
                <w:b w:val="1"/>
                <w:bCs w:val="1"/>
                <w:color w:val="auto"/>
              </w:rPr>
              <w:t>Votes Against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Votes Abstained</w:t>
            </w: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Broker Non-Votes</w:t>
            </w:r>
          </w:p>
        </w:tc>
        <w:tc>
          <w:tcPr>
            <w:tcW w:w="0" w:type="dxa"/>
            <w:vAlign w:val="bottom"/>
          </w:tcPr>
          <w:p>
            <w:pPr>
              <w:spacing w:after="0"/>
              <w:rPr>
                <w:sz w:val="1"/>
                <w:szCs w:val="1"/>
                <w:color w:val="auto"/>
              </w:rPr>
            </w:pPr>
          </w:p>
        </w:tc>
      </w:tr>
      <w:tr>
        <w:trPr>
          <w:trHeight w:val="378"/>
        </w:trPr>
        <w:tc>
          <w:tcPr>
            <w:tcW w:w="2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gridSpan w:val="2"/>
            <w:vMerge w:val="restart"/>
          </w:tcPr>
          <w:p>
            <w:pPr>
              <w:spacing w:after="0"/>
              <w:rPr>
                <w:sz w:val="24"/>
                <w:szCs w:val="24"/>
                <w:color w:val="auto"/>
              </w:rPr>
            </w:pPr>
          </w:p>
        </w:tc>
        <w:tc>
          <w:tcPr>
            <w:tcW w:w="2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gridSpan w:val="2"/>
            <w:vMerge w:val="restart"/>
          </w:tcPr>
          <w:p>
            <w:pPr>
              <w:spacing w:after="0"/>
              <w:rPr>
                <w:sz w:val="24"/>
                <w:szCs w:val="24"/>
                <w:color w:val="auto"/>
              </w:rPr>
            </w:pPr>
          </w:p>
        </w:tc>
        <w:tc>
          <w:tcPr>
            <w:tcW w:w="2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gridSpan w:val="3"/>
            <w:vMerge w:val="restart"/>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8"/>
              </w:rPr>
              <w:t>40,867,498</w:t>
            </w:r>
          </w:p>
        </w:tc>
        <w:tc>
          <w:tcPr>
            <w:tcW w:w="120" w:type="dxa"/>
            <w:vAlign w:val="bottom"/>
            <w:shd w:val="clear" w:color="auto" w:fill="CCEEFF"/>
          </w:tcPr>
          <w:p>
            <w:pPr>
              <w:spacing w:after="0"/>
              <w:rPr>
                <w:sz w:val="19"/>
                <w:szCs w:val="19"/>
                <w:color w:val="auto"/>
              </w:rPr>
            </w:pPr>
          </w:p>
        </w:tc>
        <w:tc>
          <w:tcPr>
            <w:tcW w:w="140" w:type="dxa"/>
            <w:vAlign w:val="bottom"/>
            <w:gridSpan w:val="2"/>
            <w:vMerge w:val="continue"/>
          </w:tcPr>
          <w:p>
            <w:pPr>
              <w:spacing w:after="0"/>
              <w:rPr>
                <w:sz w:val="19"/>
                <w:szCs w:val="19"/>
                <w:color w:val="auto"/>
              </w:rPr>
            </w:pPr>
          </w:p>
        </w:tc>
        <w:tc>
          <w:tcPr>
            <w:tcW w:w="25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9"/>
              </w:rPr>
              <w:t>1,021,319</w:t>
            </w:r>
          </w:p>
        </w:tc>
        <w:tc>
          <w:tcPr>
            <w:tcW w:w="120" w:type="dxa"/>
            <w:vAlign w:val="bottom"/>
            <w:shd w:val="clear" w:color="auto" w:fill="CCEEFF"/>
          </w:tcPr>
          <w:p>
            <w:pPr>
              <w:spacing w:after="0"/>
              <w:rPr>
                <w:sz w:val="19"/>
                <w:szCs w:val="19"/>
                <w:color w:val="auto"/>
              </w:rPr>
            </w:pPr>
          </w:p>
        </w:tc>
        <w:tc>
          <w:tcPr>
            <w:tcW w:w="140" w:type="dxa"/>
            <w:vAlign w:val="bottom"/>
            <w:gridSpan w:val="2"/>
            <w:vMerge w:val="continue"/>
          </w:tcPr>
          <w:p>
            <w:pPr>
              <w:spacing w:after="0"/>
              <w:rPr>
                <w:sz w:val="19"/>
                <w:szCs w:val="19"/>
                <w:color w:val="auto"/>
              </w:rPr>
            </w:pPr>
          </w:p>
        </w:tc>
        <w:tc>
          <w:tcPr>
            <w:tcW w:w="2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26,370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gridSpan w:val="3"/>
            <w:vMerge w:val="continue"/>
          </w:tcPr>
          <w:p>
            <w:pPr>
              <w:spacing w:after="0"/>
              <w:rPr>
                <w:sz w:val="19"/>
                <w:szCs w:val="19"/>
                <w:color w:val="auto"/>
              </w:rPr>
            </w:pPr>
          </w:p>
        </w:tc>
        <w:tc>
          <w:tcPr>
            <w:tcW w:w="2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1,214,061</w:t>
            </w:r>
          </w:p>
        </w:tc>
        <w:tc>
          <w:tcPr>
            <w:tcW w:w="0" w:type="dxa"/>
            <w:vAlign w:val="bottom"/>
          </w:tcPr>
          <w:p>
            <w:pPr>
              <w:spacing w:after="0"/>
              <w:rPr>
                <w:sz w:val="1"/>
                <w:szCs w:val="1"/>
                <w:color w:val="auto"/>
              </w:rPr>
            </w:pPr>
          </w:p>
        </w:tc>
      </w:tr>
      <w:tr>
        <w:trPr>
          <w:trHeight w:val="648"/>
        </w:trPr>
        <w:tc>
          <w:tcPr>
            <w:tcW w:w="2780" w:type="dxa"/>
            <w:vAlign w:val="bottom"/>
            <w:gridSpan w:val="2"/>
          </w:tcPr>
          <w:p>
            <w:pPr>
              <w:spacing w:after="0"/>
              <w:rPr>
                <w:sz w:val="20"/>
                <w:szCs w:val="20"/>
                <w:color w:val="auto"/>
              </w:rPr>
            </w:pPr>
            <w:r>
              <w:rPr>
                <w:rFonts w:ascii="Arial" w:cs="Arial" w:eastAsia="Arial" w:hAnsi="Arial"/>
                <w:sz w:val="18"/>
                <w:szCs w:val="18"/>
                <w:b w:val="1"/>
                <w:bCs w:val="1"/>
                <w:color w:val="auto"/>
              </w:rPr>
              <w:t>Mr. Todd Schermerhorn</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7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Votes For</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tcBorders>
              <w:bottom w:val="single" w:sz="8" w:color="auto"/>
            </w:tcBorders>
            <w:gridSpan w:val="2"/>
          </w:tcPr>
          <w:p>
            <w:pPr>
              <w:ind w:left="820"/>
              <w:spacing w:after="0"/>
              <w:rPr>
                <w:sz w:val="20"/>
                <w:szCs w:val="20"/>
                <w:color w:val="auto"/>
              </w:rPr>
            </w:pPr>
            <w:r>
              <w:rPr>
                <w:rFonts w:ascii="Arial" w:cs="Arial" w:eastAsia="Arial" w:hAnsi="Arial"/>
                <w:sz w:val="18"/>
                <w:szCs w:val="18"/>
                <w:b w:val="1"/>
                <w:bCs w:val="1"/>
                <w:color w:val="auto"/>
              </w:rPr>
              <w:t>Votes Against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Votes Abstained</w:t>
            </w: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Broker Non-Votes</w:t>
            </w:r>
          </w:p>
        </w:tc>
        <w:tc>
          <w:tcPr>
            <w:tcW w:w="0" w:type="dxa"/>
            <w:vAlign w:val="bottom"/>
          </w:tcPr>
          <w:p>
            <w:pPr>
              <w:spacing w:after="0"/>
              <w:rPr>
                <w:sz w:val="1"/>
                <w:szCs w:val="1"/>
                <w:color w:val="auto"/>
              </w:rPr>
            </w:pPr>
          </w:p>
        </w:tc>
      </w:tr>
      <w:tr>
        <w:trPr>
          <w:trHeight w:val="243"/>
        </w:trPr>
        <w:tc>
          <w:tcPr>
            <w:tcW w:w="2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gridSpan w:val="2"/>
            <w:vMerge w:val="restart"/>
          </w:tcPr>
          <w:p>
            <w:pPr>
              <w:spacing w:after="0"/>
              <w:rPr>
                <w:sz w:val="21"/>
                <w:szCs w:val="21"/>
                <w:color w:val="auto"/>
              </w:rPr>
            </w:pPr>
          </w:p>
        </w:tc>
        <w:tc>
          <w:tcPr>
            <w:tcW w:w="2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gridSpan w:val="2"/>
            <w:vMerge w:val="restart"/>
          </w:tcPr>
          <w:p>
            <w:pPr>
              <w:spacing w:after="0"/>
              <w:rPr>
                <w:sz w:val="21"/>
                <w:szCs w:val="21"/>
                <w:color w:val="auto"/>
              </w:rPr>
            </w:pPr>
          </w:p>
        </w:tc>
        <w:tc>
          <w:tcPr>
            <w:tcW w:w="2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gridSpan w:val="3"/>
            <w:vMerge w:val="restart"/>
          </w:tcPr>
          <w:p>
            <w:pPr>
              <w:spacing w:after="0"/>
              <w:rPr>
                <w:sz w:val="21"/>
                <w:szCs w:val="21"/>
                <w:color w:val="auto"/>
              </w:rPr>
            </w:pPr>
          </w:p>
        </w:tc>
        <w:tc>
          <w:tcPr>
            <w:tcW w:w="2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8"/>
              </w:rPr>
              <w:t>41,825,856</w:t>
            </w:r>
          </w:p>
        </w:tc>
        <w:tc>
          <w:tcPr>
            <w:tcW w:w="120" w:type="dxa"/>
            <w:vAlign w:val="bottom"/>
            <w:shd w:val="clear" w:color="auto" w:fill="CCEEFF"/>
          </w:tcPr>
          <w:p>
            <w:pPr>
              <w:spacing w:after="0"/>
              <w:rPr>
                <w:sz w:val="19"/>
                <w:szCs w:val="19"/>
                <w:color w:val="auto"/>
              </w:rPr>
            </w:pPr>
          </w:p>
        </w:tc>
        <w:tc>
          <w:tcPr>
            <w:tcW w:w="140" w:type="dxa"/>
            <w:vAlign w:val="bottom"/>
            <w:gridSpan w:val="2"/>
            <w:vMerge w:val="continue"/>
          </w:tcPr>
          <w:p>
            <w:pPr>
              <w:spacing w:after="0"/>
              <w:rPr>
                <w:sz w:val="19"/>
                <w:szCs w:val="19"/>
                <w:color w:val="auto"/>
              </w:rPr>
            </w:pPr>
          </w:p>
        </w:tc>
        <w:tc>
          <w:tcPr>
            <w:tcW w:w="25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7"/>
              </w:rPr>
              <w:t>60,474</w:t>
            </w:r>
          </w:p>
        </w:tc>
        <w:tc>
          <w:tcPr>
            <w:tcW w:w="120" w:type="dxa"/>
            <w:vAlign w:val="bottom"/>
            <w:shd w:val="clear" w:color="auto" w:fill="CCEEFF"/>
          </w:tcPr>
          <w:p>
            <w:pPr>
              <w:spacing w:after="0"/>
              <w:rPr>
                <w:sz w:val="19"/>
                <w:szCs w:val="19"/>
                <w:color w:val="auto"/>
              </w:rPr>
            </w:pPr>
          </w:p>
        </w:tc>
        <w:tc>
          <w:tcPr>
            <w:tcW w:w="140" w:type="dxa"/>
            <w:vAlign w:val="bottom"/>
            <w:gridSpan w:val="2"/>
            <w:vMerge w:val="continue"/>
          </w:tcPr>
          <w:p>
            <w:pPr>
              <w:spacing w:after="0"/>
              <w:rPr>
                <w:sz w:val="19"/>
                <w:szCs w:val="19"/>
                <w:color w:val="auto"/>
              </w:rPr>
            </w:pPr>
          </w:p>
        </w:tc>
        <w:tc>
          <w:tcPr>
            <w:tcW w:w="2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28,857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gridSpan w:val="3"/>
            <w:vMerge w:val="continue"/>
          </w:tcPr>
          <w:p>
            <w:pPr>
              <w:spacing w:after="0"/>
              <w:rPr>
                <w:sz w:val="19"/>
                <w:szCs w:val="19"/>
                <w:color w:val="auto"/>
              </w:rPr>
            </w:pPr>
          </w:p>
        </w:tc>
        <w:tc>
          <w:tcPr>
            <w:tcW w:w="2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1,214,061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Ordinary resolution to approve, on an advisory basis, LivaNova’s compensation of its Named Executive Officers (“U.S. Say-on-Pay”).</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Votes For</w:t>
            </w:r>
          </w:p>
        </w:tc>
        <w:tc>
          <w:tcPr>
            <w:tcW w:w="140" w:type="dxa"/>
            <w:vAlign w:val="bottom"/>
          </w:tcPr>
          <w:p>
            <w:pPr>
              <w:spacing w:after="0"/>
              <w:rPr>
                <w:sz w:val="20"/>
                <w:szCs w:val="20"/>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Votes Against</w:t>
            </w:r>
          </w:p>
        </w:tc>
        <w:tc>
          <w:tcPr>
            <w:tcW w:w="140" w:type="dxa"/>
            <w:vAlign w:val="bottom"/>
          </w:tcPr>
          <w:p>
            <w:pPr>
              <w:spacing w:after="0"/>
              <w:rPr>
                <w:sz w:val="20"/>
                <w:szCs w:val="20"/>
                <w:color w:val="auto"/>
              </w:rPr>
            </w:pP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Votes Abstained</w:t>
            </w:r>
          </w:p>
        </w:tc>
        <w:tc>
          <w:tcPr>
            <w:tcW w:w="120" w:type="dxa"/>
            <w:vAlign w:val="bottom"/>
          </w:tcPr>
          <w:p>
            <w:pPr>
              <w:spacing w:after="0"/>
              <w:rPr>
                <w:sz w:val="20"/>
                <w:szCs w:val="20"/>
                <w:color w:val="auto"/>
              </w:rPr>
            </w:pP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Broker Non-Votes</w:t>
            </w:r>
          </w:p>
        </w:tc>
        <w:tc>
          <w:tcPr>
            <w:tcW w:w="0" w:type="dxa"/>
            <w:vAlign w:val="bottom"/>
          </w:tcPr>
          <w:p>
            <w:pPr>
              <w:spacing w:after="0"/>
              <w:rPr>
                <w:sz w:val="1"/>
                <w:szCs w:val="1"/>
                <w:color w:val="auto"/>
              </w:rPr>
            </w:pPr>
          </w:p>
        </w:tc>
      </w:tr>
      <w:tr>
        <w:trPr>
          <w:trHeight w:val="378"/>
        </w:trPr>
        <w:tc>
          <w:tcPr>
            <w:tcW w:w="266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268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2700" w:type="dxa"/>
            <w:vAlign w:val="bottom"/>
          </w:tcPr>
          <w:p>
            <w:pPr>
              <w:spacing w:after="0"/>
              <w:rPr>
                <w:sz w:val="24"/>
                <w:szCs w:val="24"/>
                <w:color w:val="auto"/>
              </w:rPr>
            </w:pPr>
          </w:p>
        </w:tc>
        <w:tc>
          <w:tcPr>
            <w:tcW w:w="120" w:type="dxa"/>
            <w:vAlign w:val="bottom"/>
            <w:vMerge w:val="restart"/>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37,971,805</w:t>
            </w:r>
          </w:p>
        </w:tc>
        <w:tc>
          <w:tcPr>
            <w:tcW w:w="140" w:type="dxa"/>
            <w:vAlign w:val="bottom"/>
            <w:vMerge w:val="continue"/>
          </w:tcPr>
          <w:p>
            <w:pPr>
              <w:spacing w:after="0"/>
              <w:rPr>
                <w:sz w:val="19"/>
                <w:szCs w:val="19"/>
                <w:color w:val="auto"/>
              </w:rPr>
            </w:pPr>
          </w:p>
        </w:tc>
        <w:tc>
          <w:tcPr>
            <w:tcW w:w="268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3,915,484</w:t>
            </w:r>
          </w:p>
        </w:tc>
        <w:tc>
          <w:tcPr>
            <w:tcW w:w="140" w:type="dxa"/>
            <w:vAlign w:val="bottom"/>
            <w:vMerge w:val="continue"/>
          </w:tcPr>
          <w:p>
            <w:pPr>
              <w:spacing w:after="0"/>
              <w:rPr>
                <w:sz w:val="19"/>
                <w:szCs w:val="19"/>
                <w:color w:val="auto"/>
              </w:rPr>
            </w:pPr>
          </w:p>
        </w:tc>
        <w:tc>
          <w:tcPr>
            <w:tcW w:w="270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rPr>
              <w:t>27,898</w:t>
            </w:r>
          </w:p>
        </w:tc>
        <w:tc>
          <w:tcPr>
            <w:tcW w:w="120" w:type="dxa"/>
            <w:vAlign w:val="bottom"/>
            <w:vMerge w:val="continue"/>
          </w:tcPr>
          <w:p>
            <w:pPr>
              <w:spacing w:after="0"/>
              <w:rPr>
                <w:sz w:val="19"/>
                <w:szCs w:val="19"/>
                <w:color w:val="auto"/>
              </w:rPr>
            </w:pPr>
          </w:p>
        </w:tc>
        <w:tc>
          <w:tcPr>
            <w:tcW w:w="280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rPr>
              <w:t>1,214,061</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820" w:firstLine="8"/>
        <w:spacing w:after="0" w:line="246" w:lineRule="auto"/>
        <w:tabs>
          <w:tab w:leader="none" w:pos="315" w:val="left"/>
        </w:tabs>
        <w:numPr>
          <w:ilvl w:val="0"/>
          <w:numId w:val="3"/>
        </w:numPr>
        <w:rPr>
          <w:rFonts w:ascii="Arial" w:cs="Arial" w:eastAsia="Arial" w:hAnsi="Arial"/>
          <w:sz w:val="18"/>
          <w:szCs w:val="18"/>
          <w:color w:val="auto"/>
        </w:rPr>
      </w:pPr>
      <w:r>
        <w:rPr>
          <w:rFonts w:ascii="Arial" w:cs="Arial" w:eastAsia="Arial" w:hAnsi="Arial"/>
          <w:sz w:val="18"/>
          <w:szCs w:val="18"/>
          <w:color w:val="auto"/>
        </w:rPr>
        <w:t>Ordinary resolution to ratify the appointment of PricewaterhouseCoopers LLP, a Delaware limited liability partnership ("PwC USA"), as the Company’s independent registered public accounting firm.</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Votes For</w:t>
            </w:r>
          </w:p>
        </w:tc>
        <w:tc>
          <w:tcPr>
            <w:tcW w:w="140" w:type="dxa"/>
            <w:vAlign w:val="bottom"/>
          </w:tcPr>
          <w:p>
            <w:pPr>
              <w:spacing w:after="0"/>
              <w:rPr>
                <w:sz w:val="20"/>
                <w:szCs w:val="20"/>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Votes Against</w:t>
            </w:r>
          </w:p>
        </w:tc>
        <w:tc>
          <w:tcPr>
            <w:tcW w:w="140" w:type="dxa"/>
            <w:vAlign w:val="bottom"/>
          </w:tcPr>
          <w:p>
            <w:pPr>
              <w:spacing w:after="0"/>
              <w:rPr>
                <w:sz w:val="20"/>
                <w:szCs w:val="20"/>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Votes Abstained</w:t>
            </w:r>
          </w:p>
        </w:tc>
        <w:tc>
          <w:tcPr>
            <w:tcW w:w="140" w:type="dxa"/>
            <w:vAlign w:val="bottom"/>
          </w:tcPr>
          <w:p>
            <w:pPr>
              <w:spacing w:after="0"/>
              <w:rPr>
                <w:sz w:val="20"/>
                <w:szCs w:val="20"/>
                <w:color w:val="auto"/>
              </w:rPr>
            </w:pP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Broker Non-Votes</w:t>
            </w:r>
          </w:p>
        </w:tc>
        <w:tc>
          <w:tcPr>
            <w:tcW w:w="0" w:type="dxa"/>
            <w:vAlign w:val="bottom"/>
          </w:tcPr>
          <w:p>
            <w:pPr>
              <w:spacing w:after="0"/>
              <w:rPr>
                <w:sz w:val="1"/>
                <w:szCs w:val="1"/>
                <w:color w:val="auto"/>
              </w:rPr>
            </w:pPr>
          </w:p>
        </w:tc>
      </w:tr>
      <w:tr>
        <w:trPr>
          <w:trHeight w:val="378"/>
        </w:trPr>
        <w:tc>
          <w:tcPr>
            <w:tcW w:w="278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268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266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78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43,108,022</w:t>
            </w:r>
          </w:p>
        </w:tc>
        <w:tc>
          <w:tcPr>
            <w:tcW w:w="140" w:type="dxa"/>
            <w:vAlign w:val="bottom"/>
            <w:vMerge w:val="continue"/>
          </w:tcPr>
          <w:p>
            <w:pPr>
              <w:spacing w:after="0"/>
              <w:rPr>
                <w:sz w:val="19"/>
                <w:szCs w:val="19"/>
                <w:color w:val="auto"/>
              </w:rPr>
            </w:pPr>
          </w:p>
        </w:tc>
        <w:tc>
          <w:tcPr>
            <w:tcW w:w="2680" w:type="dxa"/>
            <w:vAlign w:val="bottom"/>
            <w:shd w:val="clear" w:color="auto" w:fill="CCEEFF"/>
          </w:tcPr>
          <w:p>
            <w:pPr>
              <w:jc w:val="right"/>
              <w:ind w:right="1050"/>
              <w:spacing w:after="0"/>
              <w:rPr>
                <w:sz w:val="20"/>
                <w:szCs w:val="20"/>
                <w:color w:val="auto"/>
              </w:rPr>
            </w:pPr>
            <w:r>
              <w:rPr>
                <w:rFonts w:ascii="Arial" w:cs="Arial" w:eastAsia="Arial" w:hAnsi="Arial"/>
                <w:sz w:val="18"/>
                <w:szCs w:val="18"/>
                <w:color w:val="auto"/>
              </w:rPr>
              <w:t>3,029</w:t>
            </w:r>
          </w:p>
        </w:tc>
        <w:tc>
          <w:tcPr>
            <w:tcW w:w="140" w:type="dxa"/>
            <w:vAlign w:val="bottom"/>
            <w:vMerge w:val="continue"/>
          </w:tcPr>
          <w:p>
            <w:pPr>
              <w:spacing w:after="0"/>
              <w:rPr>
                <w:sz w:val="19"/>
                <w:szCs w:val="19"/>
                <w:color w:val="auto"/>
              </w:rPr>
            </w:pPr>
          </w:p>
        </w:tc>
        <w:tc>
          <w:tcPr>
            <w:tcW w:w="266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rPr>
              <w:t>18,197</w:t>
            </w:r>
          </w:p>
        </w:tc>
        <w:tc>
          <w:tcPr>
            <w:tcW w:w="140" w:type="dxa"/>
            <w:vAlign w:val="bottom"/>
            <w:vMerge w:val="continue"/>
          </w:tcPr>
          <w:p>
            <w:pPr>
              <w:spacing w:after="0"/>
              <w:rPr>
                <w:sz w:val="19"/>
                <w:szCs w:val="19"/>
                <w:color w:val="auto"/>
              </w:rPr>
            </w:pPr>
          </w:p>
        </w:tc>
        <w:tc>
          <w:tcPr>
            <w:tcW w:w="2700" w:type="dxa"/>
            <w:vAlign w:val="bottom"/>
            <w:shd w:val="clear" w:color="auto" w:fill="CCEEFF"/>
          </w:tcPr>
          <w:p>
            <w:pPr>
              <w:jc w:val="right"/>
              <w:ind w:right="12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235585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type w:val="continuous"/>
        </w:sectPr>
      </w:pPr>
    </w:p>
    <w:bookmarkStart w:id="3" w:name="page4"/>
    <w:bookmarkEnd w:id="3"/>
    <w:p>
      <w:pPr>
        <w:ind w:right="20" w:firstLine="8"/>
        <w:spacing w:after="0" w:line="235" w:lineRule="auto"/>
        <w:tabs>
          <w:tab w:leader="none" w:pos="315" w:val="left"/>
        </w:tabs>
        <w:numPr>
          <w:ilvl w:val="0"/>
          <w:numId w:val="4"/>
        </w:numPr>
        <w:rPr>
          <w:rFonts w:ascii="Arial" w:cs="Arial" w:eastAsia="Arial" w:hAnsi="Arial"/>
          <w:sz w:val="18"/>
          <w:szCs w:val="18"/>
          <w:color w:val="auto"/>
        </w:rPr>
      </w:pPr>
      <w:r>
        <w:rPr>
          <w:rFonts w:ascii="Arial" w:cs="Arial" w:eastAsia="Arial" w:hAnsi="Arial"/>
          <w:sz w:val="18"/>
          <w:szCs w:val="18"/>
          <w:color w:val="auto"/>
        </w:rPr>
        <w:t>Ordinary resolution to generally and unconditionally authorize the directors, for purposes of section 551 of the Companies Act 2006 (the “Companies Act”) to exercise all powers of the Company to allot shares in the Company and to grant rights to subscribe for, or to convert any security into, shares in the Company up to an aggregate nominal amount of £16,122,679,</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provided that:</w:t>
      </w:r>
    </w:p>
    <w:p>
      <w:pPr>
        <w:spacing w:after="0" w:line="225" w:lineRule="exact"/>
        <w:rPr>
          <w:sz w:val="20"/>
          <w:szCs w:val="20"/>
          <w:color w:val="auto"/>
        </w:rPr>
      </w:pPr>
    </w:p>
    <w:p>
      <w:pPr>
        <w:ind w:right="60" w:firstLine="656"/>
        <w:spacing w:after="0" w:line="242" w:lineRule="auto"/>
        <w:tabs>
          <w:tab w:leader="none" w:pos="943" w:val="left"/>
        </w:tabs>
        <w:numPr>
          <w:ilvl w:val="0"/>
          <w:numId w:val="5"/>
        </w:numPr>
        <w:rPr>
          <w:rFonts w:ascii="Arial" w:cs="Arial" w:eastAsia="Arial" w:hAnsi="Arial"/>
          <w:sz w:val="17"/>
          <w:szCs w:val="17"/>
          <w:color w:val="auto"/>
        </w:rPr>
      </w:pPr>
      <w:r>
        <w:rPr>
          <w:rFonts w:ascii="Arial" w:cs="Arial" w:eastAsia="Arial" w:hAnsi="Arial"/>
          <w:sz w:val="17"/>
          <w:szCs w:val="17"/>
          <w:color w:val="auto"/>
        </w:rPr>
        <w:t>(unless previously revoked, varied or renewed by the Company) this authority will expire at the end of the next annual general meeting of the Company or, if earlier, the close of business on the date that is fifteen (15) months after the date on which this resolution is passed, save that the directors may, before this authority expires, make offers or agreements which would or might require shares in the Company to be allotted, or rights to subscribe for, or convert securities into, shares to be granted, after its expiry and the directors may allot shares or grant rights to subscribe for, or convert securities into, shares pursuant to such offers or agreements as if this authority had not expired, and</w:t>
      </w:r>
    </w:p>
    <w:p>
      <w:pPr>
        <w:spacing w:after="0" w:line="202" w:lineRule="exact"/>
        <w:rPr>
          <w:rFonts w:ascii="Arial" w:cs="Arial" w:eastAsia="Arial" w:hAnsi="Arial"/>
          <w:sz w:val="17"/>
          <w:szCs w:val="17"/>
          <w:color w:val="auto"/>
        </w:rPr>
      </w:pPr>
    </w:p>
    <w:p>
      <w:pPr>
        <w:ind w:right="180" w:firstLine="656"/>
        <w:spacing w:after="0" w:line="235" w:lineRule="auto"/>
        <w:tabs>
          <w:tab w:leader="none" w:pos="933"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authority replaces all subsisting authorities previously granted to the directors for the purposes of section 551 of the Companies Act which, to the extent unused at the date of this resolution, are revoked with immediate effect without prejudice to any allotment of shares or grant of rights already made, offered or agreed to be made under such authorities.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Votes For</w:t>
            </w:r>
          </w:p>
        </w:tc>
        <w:tc>
          <w:tcPr>
            <w:tcW w:w="100" w:type="dxa"/>
            <w:vAlign w:val="bottom"/>
          </w:tcPr>
          <w:p>
            <w:pPr>
              <w:spacing w:after="0"/>
              <w:rPr>
                <w:sz w:val="20"/>
                <w:szCs w:val="20"/>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Votes Against</w:t>
            </w:r>
          </w:p>
        </w:tc>
        <w:tc>
          <w:tcPr>
            <w:tcW w:w="100" w:type="dxa"/>
            <w:vAlign w:val="bottom"/>
          </w:tcPr>
          <w:p>
            <w:pPr>
              <w:spacing w:after="0"/>
              <w:rPr>
                <w:sz w:val="20"/>
                <w:szCs w:val="20"/>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Votes Abstained</w:t>
            </w:r>
          </w:p>
        </w:tc>
        <w:tc>
          <w:tcPr>
            <w:tcW w:w="100" w:type="dxa"/>
            <w:vAlign w:val="bottom"/>
          </w:tcPr>
          <w:p>
            <w:pPr>
              <w:spacing w:after="0"/>
              <w:rPr>
                <w:sz w:val="20"/>
                <w:szCs w:val="20"/>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Broker Non-Votes</w:t>
            </w:r>
          </w:p>
        </w:tc>
        <w:tc>
          <w:tcPr>
            <w:tcW w:w="0" w:type="dxa"/>
            <w:vAlign w:val="bottom"/>
          </w:tcPr>
          <w:p>
            <w:pPr>
              <w:spacing w:after="0"/>
              <w:rPr>
                <w:sz w:val="1"/>
                <w:szCs w:val="1"/>
                <w:color w:val="auto"/>
              </w:rPr>
            </w:pPr>
          </w:p>
        </w:tc>
      </w:tr>
      <w:tr>
        <w:trPr>
          <w:trHeight w:val="378"/>
        </w:trPr>
        <w:tc>
          <w:tcPr>
            <w:tcW w:w="2700" w:type="dxa"/>
            <w:vAlign w:val="bottom"/>
          </w:tcPr>
          <w:p>
            <w:pPr>
              <w:spacing w:after="0"/>
              <w:rPr>
                <w:sz w:val="24"/>
                <w:szCs w:val="24"/>
                <w:color w:val="auto"/>
              </w:rPr>
            </w:pPr>
          </w:p>
        </w:tc>
        <w:tc>
          <w:tcPr>
            <w:tcW w:w="100" w:type="dxa"/>
            <w:vAlign w:val="bottom"/>
            <w:vMerge w:val="restart"/>
          </w:tcPr>
          <w:p>
            <w:pPr>
              <w:spacing w:after="0"/>
              <w:rPr>
                <w:sz w:val="24"/>
                <w:szCs w:val="24"/>
                <w:color w:val="auto"/>
              </w:rPr>
            </w:pPr>
          </w:p>
        </w:tc>
        <w:tc>
          <w:tcPr>
            <w:tcW w:w="2720" w:type="dxa"/>
            <w:vAlign w:val="bottom"/>
          </w:tcPr>
          <w:p>
            <w:pPr>
              <w:spacing w:after="0"/>
              <w:rPr>
                <w:sz w:val="24"/>
                <w:szCs w:val="24"/>
                <w:color w:val="auto"/>
              </w:rPr>
            </w:pPr>
          </w:p>
        </w:tc>
        <w:tc>
          <w:tcPr>
            <w:tcW w:w="100" w:type="dxa"/>
            <w:vAlign w:val="bottom"/>
            <w:vMerge w:val="restart"/>
          </w:tcPr>
          <w:p>
            <w:pPr>
              <w:spacing w:after="0"/>
              <w:rPr>
                <w:sz w:val="24"/>
                <w:szCs w:val="24"/>
                <w:color w:val="auto"/>
              </w:rPr>
            </w:pPr>
          </w:p>
        </w:tc>
        <w:tc>
          <w:tcPr>
            <w:tcW w:w="2720" w:type="dxa"/>
            <w:vAlign w:val="bottom"/>
          </w:tcPr>
          <w:p>
            <w:pPr>
              <w:spacing w:after="0"/>
              <w:rPr>
                <w:sz w:val="24"/>
                <w:szCs w:val="24"/>
                <w:color w:val="auto"/>
              </w:rPr>
            </w:pPr>
          </w:p>
        </w:tc>
        <w:tc>
          <w:tcPr>
            <w:tcW w:w="100" w:type="dxa"/>
            <w:vAlign w:val="bottom"/>
            <w:vMerge w:val="restart"/>
          </w:tcPr>
          <w:p>
            <w:pPr>
              <w:spacing w:after="0"/>
              <w:rPr>
                <w:sz w:val="24"/>
                <w:szCs w:val="24"/>
                <w:color w:val="auto"/>
              </w:rPr>
            </w:pP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70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40,893,042</w:t>
            </w:r>
          </w:p>
        </w:tc>
        <w:tc>
          <w:tcPr>
            <w:tcW w:w="100" w:type="dxa"/>
            <w:vAlign w:val="bottom"/>
            <w:vMerge w:val="continue"/>
          </w:tcPr>
          <w:p>
            <w:pPr>
              <w:spacing w:after="0"/>
              <w:rPr>
                <w:sz w:val="19"/>
                <w:szCs w:val="19"/>
                <w:color w:val="auto"/>
              </w:rPr>
            </w:pPr>
          </w:p>
        </w:tc>
        <w:tc>
          <w:tcPr>
            <w:tcW w:w="272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1,015,868</w:t>
            </w:r>
          </w:p>
        </w:tc>
        <w:tc>
          <w:tcPr>
            <w:tcW w:w="100" w:type="dxa"/>
            <w:vAlign w:val="bottom"/>
            <w:vMerge w:val="continue"/>
          </w:tcPr>
          <w:p>
            <w:pPr>
              <w:spacing w:after="0"/>
              <w:rPr>
                <w:sz w:val="19"/>
                <w:szCs w:val="19"/>
                <w:color w:val="auto"/>
              </w:rPr>
            </w:pPr>
          </w:p>
        </w:tc>
        <w:tc>
          <w:tcPr>
            <w:tcW w:w="2720" w:type="dxa"/>
            <w:vAlign w:val="bottom"/>
            <w:shd w:val="clear" w:color="auto" w:fill="CCEEFF"/>
          </w:tcPr>
          <w:p>
            <w:pPr>
              <w:jc w:val="right"/>
              <w:ind w:right="1070"/>
              <w:spacing w:after="0"/>
              <w:rPr>
                <w:sz w:val="20"/>
                <w:szCs w:val="20"/>
                <w:color w:val="auto"/>
              </w:rPr>
            </w:pPr>
            <w:r>
              <w:rPr>
                <w:rFonts w:ascii="Arial" w:cs="Arial" w:eastAsia="Arial" w:hAnsi="Arial"/>
                <w:sz w:val="18"/>
                <w:szCs w:val="18"/>
                <w:color w:val="auto"/>
              </w:rPr>
              <w:t>6,277</w:t>
            </w:r>
          </w:p>
        </w:tc>
        <w:tc>
          <w:tcPr>
            <w:tcW w:w="100" w:type="dxa"/>
            <w:vAlign w:val="bottom"/>
            <w:vMerge w:val="continue"/>
          </w:tcPr>
          <w:p>
            <w:pPr>
              <w:spacing w:after="0"/>
              <w:rPr>
                <w:sz w:val="19"/>
                <w:szCs w:val="19"/>
                <w:color w:val="auto"/>
              </w:rPr>
            </w:pPr>
          </w:p>
        </w:tc>
        <w:tc>
          <w:tcPr>
            <w:tcW w:w="272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1,214,061</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100" w:firstLine="8"/>
        <w:spacing w:after="0" w:line="228" w:lineRule="auto"/>
        <w:tabs>
          <w:tab w:leader="none" w:pos="315" w:val="left"/>
        </w:tabs>
        <w:numPr>
          <w:ilvl w:val="0"/>
          <w:numId w:val="6"/>
        </w:numPr>
        <w:rPr>
          <w:rFonts w:ascii="Arial" w:cs="Arial" w:eastAsia="Arial" w:hAnsi="Arial"/>
          <w:sz w:val="18"/>
          <w:szCs w:val="18"/>
          <w:color w:val="auto"/>
        </w:rPr>
      </w:pPr>
      <w:r>
        <w:rPr>
          <w:rFonts w:ascii="Arial" w:cs="Arial" w:eastAsia="Arial" w:hAnsi="Arial"/>
          <w:sz w:val="18"/>
          <w:szCs w:val="18"/>
          <w:color w:val="auto"/>
        </w:rPr>
        <w:t>Special Resolution subject to the passing of resolution 4 and in accordance with sections 570 and 573 of the Companies Act, to empower the directors generally to allot equity securities (as defined in section 560 of the Companies Act) for cash pursuant to the authority conferred by resolution 4, and/or to sell ordinary shares (as defined in section 560 of the Companies Act) held by the Company as treasury shares for cash, in each case as if section 561 of the Companies Act (existing shareholders’ pre-emption rights) did not apply to any such allotment or sale, provided that this power is limited to the allotment of equity securities or sale of treasury shares for cash:</w:t>
      </w:r>
    </w:p>
    <w:p>
      <w:pPr>
        <w:spacing w:after="0" w:line="204" w:lineRule="exact"/>
        <w:rPr>
          <w:rFonts w:ascii="Arial" w:cs="Arial" w:eastAsia="Arial" w:hAnsi="Arial"/>
          <w:sz w:val="18"/>
          <w:szCs w:val="18"/>
          <w:color w:val="auto"/>
        </w:rPr>
      </w:pPr>
    </w:p>
    <w:p>
      <w:pPr>
        <w:ind w:left="900" w:hanging="244"/>
        <w:spacing w:after="0"/>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up to an aggregate nominal amount of £2,442,830 for any purpose; and</w:t>
      </w:r>
    </w:p>
    <w:p>
      <w:pPr>
        <w:spacing w:after="0" w:line="225" w:lineRule="exact"/>
        <w:rPr>
          <w:rFonts w:ascii="Arial" w:cs="Arial" w:eastAsia="Arial" w:hAnsi="Arial"/>
          <w:sz w:val="18"/>
          <w:szCs w:val="18"/>
          <w:color w:val="auto"/>
        </w:rPr>
      </w:pPr>
    </w:p>
    <w:p>
      <w:pPr>
        <w:ind w:right="480" w:firstLine="656"/>
        <w:spacing w:after="0" w:line="246" w:lineRule="auto"/>
        <w:tabs>
          <w:tab w:leader="none" w:pos="903" w:val="left"/>
        </w:tabs>
        <w:numPr>
          <w:ilvl w:val="1"/>
          <w:numId w:val="6"/>
        </w:numPr>
        <w:rPr>
          <w:rFonts w:ascii="Arial" w:cs="Arial" w:eastAsia="Arial" w:hAnsi="Arial"/>
          <w:sz w:val="18"/>
          <w:szCs w:val="18"/>
          <w:color w:val="auto"/>
        </w:rPr>
      </w:pPr>
      <w:r>
        <w:rPr>
          <w:rFonts w:ascii="Arial" w:cs="Arial" w:eastAsia="Arial" w:hAnsi="Arial"/>
          <w:sz w:val="18"/>
          <w:szCs w:val="18"/>
          <w:color w:val="auto"/>
        </w:rPr>
        <w:t>(in addition to the amount set out under (a) above), up to an aggregate nominal amount of £2,442,830 to be used only for the purposes of financing an acquisition or other capital investment.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provided that:</w:t>
      </w:r>
    </w:p>
    <w:p>
      <w:pPr>
        <w:spacing w:after="0" w:line="225" w:lineRule="exact"/>
        <w:rPr>
          <w:sz w:val="20"/>
          <w:szCs w:val="20"/>
          <w:color w:val="auto"/>
        </w:rPr>
      </w:pPr>
    </w:p>
    <w:p>
      <w:pPr>
        <w:ind w:right="40" w:firstLine="656"/>
        <w:spacing w:after="0" w:line="228" w:lineRule="auto"/>
        <w:tabs>
          <w:tab w:leader="none" w:pos="943" w:val="left"/>
        </w:tabs>
        <w:numPr>
          <w:ilvl w:val="0"/>
          <w:numId w:val="7"/>
        </w:numPr>
        <w:rPr>
          <w:rFonts w:ascii="Arial" w:cs="Arial" w:eastAsia="Arial" w:hAnsi="Arial"/>
          <w:sz w:val="18"/>
          <w:szCs w:val="18"/>
          <w:color w:val="auto"/>
        </w:rPr>
      </w:pPr>
      <w:r>
        <w:rPr>
          <w:rFonts w:ascii="Arial" w:cs="Arial" w:eastAsia="Arial" w:hAnsi="Arial"/>
          <w:sz w:val="18"/>
          <w:szCs w:val="18"/>
          <w:color w:val="auto"/>
        </w:rPr>
        <w:t>(unless previously revoked, varied or renewed by the Company) this power will expire at the end of the next annual general meeting of the Company or, if earlier, the close of business on the date that is fifteen (15) months after the date on which this resolution is passed, save that the directors may, before this power expires, make offers or agreements which would or might require equity securities to be allotted and/or treasury shares to be sold after its expiry and the directors may allot equity securities and/or sell treasury shares pursuant to such offers or agreement as if this power had not expired; and</w:t>
      </w:r>
    </w:p>
    <w:p>
      <w:pPr>
        <w:spacing w:after="0" w:line="204" w:lineRule="exact"/>
        <w:rPr>
          <w:rFonts w:ascii="Arial" w:cs="Arial" w:eastAsia="Arial" w:hAnsi="Arial"/>
          <w:sz w:val="18"/>
          <w:szCs w:val="18"/>
          <w:color w:val="auto"/>
        </w:rPr>
      </w:pPr>
    </w:p>
    <w:p>
      <w:pPr>
        <w:jc w:val="both"/>
        <w:ind w:right="100" w:firstLine="656"/>
        <w:spacing w:after="0" w:line="235" w:lineRule="auto"/>
        <w:tabs>
          <w:tab w:leader="none" w:pos="933"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power replaces (except for any power conferred by resolution 4) all subsisting powers previously granted to the directors for the purposes of section 570 of the Companies Act which, to the extent unused at the date of this resolution, are revoked with immediate effect, without prejudice to any allotment of equity securities already made, offered or agreed to be made under such powers.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Votes For</w:t>
            </w:r>
          </w:p>
        </w:tc>
        <w:tc>
          <w:tcPr>
            <w:tcW w:w="140" w:type="dxa"/>
            <w:vAlign w:val="bottom"/>
          </w:tcPr>
          <w:p>
            <w:pPr>
              <w:spacing w:after="0"/>
              <w:rPr>
                <w:sz w:val="20"/>
                <w:szCs w:val="20"/>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Votes Against</w:t>
            </w:r>
          </w:p>
        </w:tc>
        <w:tc>
          <w:tcPr>
            <w:tcW w:w="140" w:type="dxa"/>
            <w:vAlign w:val="bottom"/>
          </w:tcPr>
          <w:p>
            <w:pPr>
              <w:spacing w:after="0"/>
              <w:rPr>
                <w:sz w:val="20"/>
                <w:szCs w:val="20"/>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Votes Abstained</w:t>
            </w:r>
          </w:p>
        </w:tc>
        <w:tc>
          <w:tcPr>
            <w:tcW w:w="140" w:type="dxa"/>
            <w:vAlign w:val="bottom"/>
          </w:tcPr>
          <w:p>
            <w:pPr>
              <w:spacing w:after="0"/>
              <w:rPr>
                <w:sz w:val="20"/>
                <w:szCs w:val="20"/>
                <w:color w:val="auto"/>
              </w:rPr>
            </w:pP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Broker Non-Votes</w:t>
            </w:r>
          </w:p>
        </w:tc>
        <w:tc>
          <w:tcPr>
            <w:tcW w:w="0" w:type="dxa"/>
            <w:vAlign w:val="bottom"/>
          </w:tcPr>
          <w:p>
            <w:pPr>
              <w:spacing w:after="0"/>
              <w:rPr>
                <w:sz w:val="1"/>
                <w:szCs w:val="1"/>
                <w:color w:val="auto"/>
              </w:rPr>
            </w:pPr>
          </w:p>
        </w:tc>
      </w:tr>
      <w:tr>
        <w:trPr>
          <w:trHeight w:val="378"/>
        </w:trPr>
        <w:tc>
          <w:tcPr>
            <w:tcW w:w="278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268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266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78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42,776,176</w:t>
            </w:r>
          </w:p>
        </w:tc>
        <w:tc>
          <w:tcPr>
            <w:tcW w:w="140" w:type="dxa"/>
            <w:vAlign w:val="bottom"/>
            <w:vMerge w:val="continue"/>
          </w:tcPr>
          <w:p>
            <w:pPr>
              <w:spacing w:after="0"/>
              <w:rPr>
                <w:sz w:val="19"/>
                <w:szCs w:val="19"/>
                <w:color w:val="auto"/>
              </w:rPr>
            </w:pPr>
          </w:p>
        </w:tc>
        <w:tc>
          <w:tcPr>
            <w:tcW w:w="268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rPr>
              <w:t>342,188</w:t>
            </w:r>
          </w:p>
        </w:tc>
        <w:tc>
          <w:tcPr>
            <w:tcW w:w="140" w:type="dxa"/>
            <w:vAlign w:val="bottom"/>
            <w:vMerge w:val="continue"/>
          </w:tcPr>
          <w:p>
            <w:pPr>
              <w:spacing w:after="0"/>
              <w:rPr>
                <w:sz w:val="19"/>
                <w:szCs w:val="19"/>
                <w:color w:val="auto"/>
              </w:rPr>
            </w:pPr>
          </w:p>
        </w:tc>
        <w:tc>
          <w:tcPr>
            <w:tcW w:w="266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rPr>
              <w:t>10,884</w:t>
            </w:r>
          </w:p>
        </w:tc>
        <w:tc>
          <w:tcPr>
            <w:tcW w:w="140" w:type="dxa"/>
            <w:vAlign w:val="bottom"/>
            <w:vMerge w:val="continue"/>
          </w:tcPr>
          <w:p>
            <w:pPr>
              <w:spacing w:after="0"/>
              <w:rPr>
                <w:sz w:val="19"/>
                <w:szCs w:val="19"/>
                <w:color w:val="auto"/>
              </w:rPr>
            </w:pPr>
          </w:p>
        </w:tc>
        <w:tc>
          <w:tcPr>
            <w:tcW w:w="2700" w:type="dxa"/>
            <w:vAlign w:val="bottom"/>
            <w:shd w:val="clear" w:color="auto" w:fill="CCEEFF"/>
          </w:tcPr>
          <w:p>
            <w:pPr>
              <w:jc w:val="right"/>
              <w:ind w:right="12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 w:name="page5"/>
    <w:bookmarkEnd w:id="4"/>
    <w:p>
      <w:pPr>
        <w:spacing w:after="0" w:line="211" w:lineRule="exact"/>
        <w:rPr>
          <w:sz w:val="20"/>
          <w:szCs w:val="20"/>
          <w:color w:val="auto"/>
        </w:rPr>
      </w:pPr>
    </w:p>
    <w:p>
      <w:pPr>
        <w:ind w:right="100" w:firstLine="8"/>
        <w:spacing w:after="0" w:line="246" w:lineRule="auto"/>
        <w:tabs>
          <w:tab w:leader="none" w:pos="315" w:val="left"/>
        </w:tabs>
        <w:numPr>
          <w:ilvl w:val="0"/>
          <w:numId w:val="8"/>
        </w:numPr>
        <w:rPr>
          <w:rFonts w:ascii="Arial" w:cs="Arial" w:eastAsia="Arial" w:hAnsi="Arial"/>
          <w:sz w:val="18"/>
          <w:szCs w:val="18"/>
          <w:color w:val="auto"/>
        </w:rPr>
      </w:pPr>
      <w:r>
        <w:rPr>
          <w:rFonts w:ascii="Arial" w:cs="Arial" w:eastAsia="Arial" w:hAnsi="Arial"/>
          <w:sz w:val="18"/>
          <w:szCs w:val="18"/>
          <w:color w:val="auto"/>
        </w:rPr>
        <w:t>Ordinary resolution to approve, on an advisory basis, the United Kingdom (“UK”) directors’ remuneration report in the form set out in the Company’s UK annual report and accounts for the period ended December 31, 2020.</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Votes For</w:t>
            </w:r>
          </w:p>
        </w:tc>
        <w:tc>
          <w:tcPr>
            <w:tcW w:w="140" w:type="dxa"/>
            <w:vAlign w:val="bottom"/>
          </w:tcPr>
          <w:p>
            <w:pPr>
              <w:spacing w:after="0"/>
              <w:rPr>
                <w:sz w:val="20"/>
                <w:szCs w:val="20"/>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Votes Against</w:t>
            </w:r>
          </w:p>
        </w:tc>
        <w:tc>
          <w:tcPr>
            <w:tcW w:w="140" w:type="dxa"/>
            <w:vAlign w:val="bottom"/>
          </w:tcPr>
          <w:p>
            <w:pPr>
              <w:spacing w:after="0"/>
              <w:rPr>
                <w:sz w:val="20"/>
                <w:szCs w:val="20"/>
                <w:color w:val="auto"/>
              </w:rPr>
            </w:pP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Votes Abstained</w:t>
            </w:r>
          </w:p>
        </w:tc>
        <w:tc>
          <w:tcPr>
            <w:tcW w:w="120" w:type="dxa"/>
            <w:vAlign w:val="bottom"/>
          </w:tcPr>
          <w:p>
            <w:pPr>
              <w:spacing w:after="0"/>
              <w:rPr>
                <w:sz w:val="20"/>
                <w:szCs w:val="20"/>
                <w:color w:val="auto"/>
              </w:rPr>
            </w:pP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Broker Non-Votes</w:t>
            </w:r>
          </w:p>
        </w:tc>
        <w:tc>
          <w:tcPr>
            <w:tcW w:w="0" w:type="dxa"/>
            <w:vAlign w:val="bottom"/>
          </w:tcPr>
          <w:p>
            <w:pPr>
              <w:spacing w:after="0"/>
              <w:rPr>
                <w:sz w:val="1"/>
                <w:szCs w:val="1"/>
                <w:color w:val="auto"/>
              </w:rPr>
            </w:pPr>
          </w:p>
        </w:tc>
      </w:tr>
      <w:tr>
        <w:trPr>
          <w:trHeight w:val="378"/>
        </w:trPr>
        <w:tc>
          <w:tcPr>
            <w:tcW w:w="266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268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2700" w:type="dxa"/>
            <w:vAlign w:val="bottom"/>
          </w:tcPr>
          <w:p>
            <w:pPr>
              <w:spacing w:after="0"/>
              <w:rPr>
                <w:sz w:val="24"/>
                <w:szCs w:val="24"/>
                <w:color w:val="auto"/>
              </w:rPr>
            </w:pPr>
          </w:p>
        </w:tc>
        <w:tc>
          <w:tcPr>
            <w:tcW w:w="120" w:type="dxa"/>
            <w:vAlign w:val="bottom"/>
            <w:vMerge w:val="restart"/>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66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40,491,103</w:t>
            </w:r>
          </w:p>
        </w:tc>
        <w:tc>
          <w:tcPr>
            <w:tcW w:w="140" w:type="dxa"/>
            <w:vAlign w:val="bottom"/>
            <w:vMerge w:val="continue"/>
          </w:tcPr>
          <w:p>
            <w:pPr>
              <w:spacing w:after="0"/>
              <w:rPr>
                <w:sz w:val="19"/>
                <w:szCs w:val="19"/>
                <w:color w:val="auto"/>
              </w:rPr>
            </w:pPr>
          </w:p>
        </w:tc>
        <w:tc>
          <w:tcPr>
            <w:tcW w:w="268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1,394,597</w:t>
            </w:r>
          </w:p>
        </w:tc>
        <w:tc>
          <w:tcPr>
            <w:tcW w:w="140" w:type="dxa"/>
            <w:vAlign w:val="bottom"/>
            <w:vMerge w:val="continue"/>
          </w:tcPr>
          <w:p>
            <w:pPr>
              <w:spacing w:after="0"/>
              <w:rPr>
                <w:sz w:val="19"/>
                <w:szCs w:val="19"/>
                <w:color w:val="auto"/>
              </w:rPr>
            </w:pPr>
          </w:p>
        </w:tc>
        <w:tc>
          <w:tcPr>
            <w:tcW w:w="270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rPr>
              <w:t>29,847</w:t>
            </w:r>
          </w:p>
        </w:tc>
        <w:tc>
          <w:tcPr>
            <w:tcW w:w="120" w:type="dxa"/>
            <w:vAlign w:val="bottom"/>
            <w:vMerge w:val="continue"/>
          </w:tcPr>
          <w:p>
            <w:pPr>
              <w:spacing w:after="0"/>
              <w:rPr>
                <w:sz w:val="19"/>
                <w:szCs w:val="19"/>
                <w:color w:val="auto"/>
              </w:rPr>
            </w:pPr>
          </w:p>
        </w:tc>
        <w:tc>
          <w:tcPr>
            <w:tcW w:w="280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rPr>
              <w:t>1,214,061</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520" w:firstLine="8"/>
        <w:spacing w:after="0" w:line="246" w:lineRule="auto"/>
        <w:tabs>
          <w:tab w:leader="none" w:pos="315" w:val="left"/>
        </w:tabs>
        <w:numPr>
          <w:ilvl w:val="0"/>
          <w:numId w:val="9"/>
        </w:numPr>
        <w:rPr>
          <w:rFonts w:ascii="Arial" w:cs="Arial" w:eastAsia="Arial" w:hAnsi="Arial"/>
          <w:sz w:val="18"/>
          <w:szCs w:val="18"/>
          <w:color w:val="auto"/>
        </w:rPr>
      </w:pPr>
      <w:r>
        <w:rPr>
          <w:rFonts w:ascii="Arial" w:cs="Arial" w:eastAsia="Arial" w:hAnsi="Arial"/>
          <w:sz w:val="18"/>
          <w:szCs w:val="18"/>
          <w:color w:val="auto"/>
        </w:rPr>
        <w:t>Ordinary resolution to receive and adopt the Company’s audited UK statutory accounts for the year ended December 31, 2020, together with the reports of the directors and the auditors thereon.</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Votes For</w:t>
            </w:r>
          </w:p>
        </w:tc>
        <w:tc>
          <w:tcPr>
            <w:tcW w:w="140" w:type="dxa"/>
            <w:vAlign w:val="bottom"/>
          </w:tcPr>
          <w:p>
            <w:pPr>
              <w:spacing w:after="0"/>
              <w:rPr>
                <w:sz w:val="20"/>
                <w:szCs w:val="20"/>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Votes Against</w:t>
            </w:r>
          </w:p>
        </w:tc>
        <w:tc>
          <w:tcPr>
            <w:tcW w:w="140" w:type="dxa"/>
            <w:vAlign w:val="bottom"/>
          </w:tcPr>
          <w:p>
            <w:pPr>
              <w:spacing w:after="0"/>
              <w:rPr>
                <w:sz w:val="20"/>
                <w:szCs w:val="20"/>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Votes Abstained</w:t>
            </w:r>
          </w:p>
        </w:tc>
        <w:tc>
          <w:tcPr>
            <w:tcW w:w="140" w:type="dxa"/>
            <w:vAlign w:val="bottom"/>
          </w:tcPr>
          <w:p>
            <w:pPr>
              <w:spacing w:after="0"/>
              <w:rPr>
                <w:sz w:val="20"/>
                <w:szCs w:val="20"/>
                <w:color w:val="auto"/>
              </w:rPr>
            </w:pP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Broker Non-Votes</w:t>
            </w:r>
          </w:p>
        </w:tc>
        <w:tc>
          <w:tcPr>
            <w:tcW w:w="0" w:type="dxa"/>
            <w:vAlign w:val="bottom"/>
          </w:tcPr>
          <w:p>
            <w:pPr>
              <w:spacing w:after="0"/>
              <w:rPr>
                <w:sz w:val="1"/>
                <w:szCs w:val="1"/>
                <w:color w:val="auto"/>
              </w:rPr>
            </w:pPr>
          </w:p>
        </w:tc>
      </w:tr>
      <w:tr>
        <w:trPr>
          <w:trHeight w:val="378"/>
        </w:trPr>
        <w:tc>
          <w:tcPr>
            <w:tcW w:w="278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268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266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78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43,069,562</w:t>
            </w:r>
          </w:p>
        </w:tc>
        <w:tc>
          <w:tcPr>
            <w:tcW w:w="140" w:type="dxa"/>
            <w:vAlign w:val="bottom"/>
            <w:vMerge w:val="continue"/>
          </w:tcPr>
          <w:p>
            <w:pPr>
              <w:spacing w:after="0"/>
              <w:rPr>
                <w:sz w:val="19"/>
                <w:szCs w:val="19"/>
                <w:color w:val="auto"/>
              </w:rPr>
            </w:pPr>
          </w:p>
        </w:tc>
        <w:tc>
          <w:tcPr>
            <w:tcW w:w="2680" w:type="dxa"/>
            <w:vAlign w:val="bottom"/>
            <w:shd w:val="clear" w:color="auto" w:fill="CCEEFF"/>
          </w:tcPr>
          <w:p>
            <w:pPr>
              <w:jc w:val="right"/>
              <w:ind w:right="1050"/>
              <w:spacing w:after="0"/>
              <w:rPr>
                <w:sz w:val="20"/>
                <w:szCs w:val="20"/>
                <w:color w:val="auto"/>
              </w:rPr>
            </w:pPr>
            <w:r>
              <w:rPr>
                <w:rFonts w:ascii="Arial" w:cs="Arial" w:eastAsia="Arial" w:hAnsi="Arial"/>
                <w:sz w:val="18"/>
                <w:szCs w:val="18"/>
                <w:color w:val="auto"/>
              </w:rPr>
              <w:t>5,909</w:t>
            </w:r>
          </w:p>
        </w:tc>
        <w:tc>
          <w:tcPr>
            <w:tcW w:w="140" w:type="dxa"/>
            <w:vAlign w:val="bottom"/>
            <w:vMerge w:val="continue"/>
          </w:tcPr>
          <w:p>
            <w:pPr>
              <w:spacing w:after="0"/>
              <w:rPr>
                <w:sz w:val="19"/>
                <w:szCs w:val="19"/>
                <w:color w:val="auto"/>
              </w:rPr>
            </w:pPr>
          </w:p>
        </w:tc>
        <w:tc>
          <w:tcPr>
            <w:tcW w:w="266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rPr>
              <w:t>53,777</w:t>
            </w:r>
          </w:p>
        </w:tc>
        <w:tc>
          <w:tcPr>
            <w:tcW w:w="140" w:type="dxa"/>
            <w:vAlign w:val="bottom"/>
            <w:vMerge w:val="continue"/>
          </w:tcPr>
          <w:p>
            <w:pPr>
              <w:spacing w:after="0"/>
              <w:rPr>
                <w:sz w:val="19"/>
                <w:szCs w:val="19"/>
                <w:color w:val="auto"/>
              </w:rPr>
            </w:pPr>
          </w:p>
        </w:tc>
        <w:tc>
          <w:tcPr>
            <w:tcW w:w="2700" w:type="dxa"/>
            <w:vAlign w:val="bottom"/>
            <w:shd w:val="clear" w:color="auto" w:fill="CCEEFF"/>
          </w:tcPr>
          <w:p>
            <w:pPr>
              <w:jc w:val="right"/>
              <w:ind w:right="12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firstLine="8"/>
        <w:spacing w:after="0" w:line="246" w:lineRule="auto"/>
        <w:tabs>
          <w:tab w:leader="none" w:pos="3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Ordinary resolution to re-appoint PricewaterhouseCoopers LLP, a limited liability partnership organized under the laws of England, as the Company’s UK statutory auditor.</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Votes For</w:t>
            </w:r>
          </w:p>
        </w:tc>
        <w:tc>
          <w:tcPr>
            <w:tcW w:w="140" w:type="dxa"/>
            <w:vAlign w:val="bottom"/>
          </w:tcPr>
          <w:p>
            <w:pPr>
              <w:spacing w:after="0"/>
              <w:rPr>
                <w:sz w:val="20"/>
                <w:szCs w:val="20"/>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Votes Against</w:t>
            </w:r>
          </w:p>
        </w:tc>
        <w:tc>
          <w:tcPr>
            <w:tcW w:w="140" w:type="dxa"/>
            <w:vAlign w:val="bottom"/>
          </w:tcPr>
          <w:p>
            <w:pPr>
              <w:spacing w:after="0"/>
              <w:rPr>
                <w:sz w:val="20"/>
                <w:szCs w:val="20"/>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Votes Abstained</w:t>
            </w:r>
          </w:p>
        </w:tc>
        <w:tc>
          <w:tcPr>
            <w:tcW w:w="140" w:type="dxa"/>
            <w:vAlign w:val="bottom"/>
          </w:tcPr>
          <w:p>
            <w:pPr>
              <w:spacing w:after="0"/>
              <w:rPr>
                <w:sz w:val="20"/>
                <w:szCs w:val="20"/>
                <w:color w:val="auto"/>
              </w:rPr>
            </w:pP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Broker Non-Votes</w:t>
            </w:r>
          </w:p>
        </w:tc>
        <w:tc>
          <w:tcPr>
            <w:tcW w:w="0" w:type="dxa"/>
            <w:vAlign w:val="bottom"/>
          </w:tcPr>
          <w:p>
            <w:pPr>
              <w:spacing w:after="0"/>
              <w:rPr>
                <w:sz w:val="1"/>
                <w:szCs w:val="1"/>
                <w:color w:val="auto"/>
              </w:rPr>
            </w:pPr>
          </w:p>
        </w:tc>
      </w:tr>
      <w:tr>
        <w:trPr>
          <w:trHeight w:val="378"/>
        </w:trPr>
        <w:tc>
          <w:tcPr>
            <w:tcW w:w="278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268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266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78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43,106,192</w:t>
            </w:r>
          </w:p>
        </w:tc>
        <w:tc>
          <w:tcPr>
            <w:tcW w:w="140" w:type="dxa"/>
            <w:vAlign w:val="bottom"/>
            <w:vMerge w:val="continue"/>
          </w:tcPr>
          <w:p>
            <w:pPr>
              <w:spacing w:after="0"/>
              <w:rPr>
                <w:sz w:val="19"/>
                <w:szCs w:val="19"/>
                <w:color w:val="auto"/>
              </w:rPr>
            </w:pPr>
          </w:p>
        </w:tc>
        <w:tc>
          <w:tcPr>
            <w:tcW w:w="2680" w:type="dxa"/>
            <w:vAlign w:val="bottom"/>
            <w:shd w:val="clear" w:color="auto" w:fill="CCEEFF"/>
          </w:tcPr>
          <w:p>
            <w:pPr>
              <w:jc w:val="right"/>
              <w:ind w:right="1050"/>
              <w:spacing w:after="0"/>
              <w:rPr>
                <w:sz w:val="20"/>
                <w:szCs w:val="20"/>
                <w:color w:val="auto"/>
              </w:rPr>
            </w:pPr>
            <w:r>
              <w:rPr>
                <w:rFonts w:ascii="Arial" w:cs="Arial" w:eastAsia="Arial" w:hAnsi="Arial"/>
                <w:sz w:val="18"/>
                <w:szCs w:val="18"/>
                <w:color w:val="auto"/>
              </w:rPr>
              <w:t>5,371</w:t>
            </w:r>
          </w:p>
        </w:tc>
        <w:tc>
          <w:tcPr>
            <w:tcW w:w="140" w:type="dxa"/>
            <w:vAlign w:val="bottom"/>
            <w:vMerge w:val="continue"/>
          </w:tcPr>
          <w:p>
            <w:pPr>
              <w:spacing w:after="0"/>
              <w:rPr>
                <w:sz w:val="19"/>
                <w:szCs w:val="19"/>
                <w:color w:val="auto"/>
              </w:rPr>
            </w:pPr>
          </w:p>
        </w:tc>
        <w:tc>
          <w:tcPr>
            <w:tcW w:w="266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rPr>
              <w:t>17,685</w:t>
            </w:r>
          </w:p>
        </w:tc>
        <w:tc>
          <w:tcPr>
            <w:tcW w:w="140" w:type="dxa"/>
            <w:vAlign w:val="bottom"/>
            <w:vMerge w:val="continue"/>
          </w:tcPr>
          <w:p>
            <w:pPr>
              <w:spacing w:after="0"/>
              <w:rPr>
                <w:sz w:val="19"/>
                <w:szCs w:val="19"/>
                <w:color w:val="auto"/>
              </w:rPr>
            </w:pPr>
          </w:p>
        </w:tc>
        <w:tc>
          <w:tcPr>
            <w:tcW w:w="2700" w:type="dxa"/>
            <w:vAlign w:val="bottom"/>
            <w:shd w:val="clear" w:color="auto" w:fill="CCEEFF"/>
          </w:tcPr>
          <w:p>
            <w:pPr>
              <w:jc w:val="right"/>
              <w:ind w:right="12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firstLine="8"/>
        <w:spacing w:after="0" w:line="246" w:lineRule="auto"/>
        <w:tabs>
          <w:tab w:leader="none" w:pos="406" w:val="left"/>
        </w:tabs>
        <w:numPr>
          <w:ilvl w:val="0"/>
          <w:numId w:val="11"/>
        </w:numPr>
        <w:rPr>
          <w:rFonts w:ascii="Arial" w:cs="Arial" w:eastAsia="Arial" w:hAnsi="Arial"/>
          <w:sz w:val="18"/>
          <w:szCs w:val="18"/>
          <w:color w:val="auto"/>
        </w:rPr>
      </w:pPr>
      <w:r>
        <w:rPr>
          <w:rFonts w:ascii="Arial" w:cs="Arial" w:eastAsia="Arial" w:hAnsi="Arial"/>
          <w:sz w:val="18"/>
          <w:szCs w:val="18"/>
          <w:color w:val="auto"/>
        </w:rPr>
        <w:t>Ordinary resolution to authorize the directors and/or the Audit and Compliance Committee to determine the remuneration of the Company’s UK statutory auditor.</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Votes For</w:t>
            </w:r>
          </w:p>
        </w:tc>
        <w:tc>
          <w:tcPr>
            <w:tcW w:w="140" w:type="dxa"/>
            <w:vAlign w:val="bottom"/>
          </w:tcPr>
          <w:p>
            <w:pPr>
              <w:spacing w:after="0"/>
              <w:rPr>
                <w:sz w:val="20"/>
                <w:szCs w:val="20"/>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Votes Against</w:t>
            </w:r>
          </w:p>
        </w:tc>
        <w:tc>
          <w:tcPr>
            <w:tcW w:w="140" w:type="dxa"/>
            <w:vAlign w:val="bottom"/>
          </w:tcPr>
          <w:p>
            <w:pPr>
              <w:spacing w:after="0"/>
              <w:rPr>
                <w:sz w:val="20"/>
                <w:szCs w:val="20"/>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Votes Abstained</w:t>
            </w:r>
          </w:p>
        </w:tc>
        <w:tc>
          <w:tcPr>
            <w:tcW w:w="140" w:type="dxa"/>
            <w:vAlign w:val="bottom"/>
          </w:tcPr>
          <w:p>
            <w:pPr>
              <w:spacing w:after="0"/>
              <w:rPr>
                <w:sz w:val="20"/>
                <w:szCs w:val="20"/>
                <w:color w:val="auto"/>
              </w:rPr>
            </w:pP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Broker Non-Votes</w:t>
            </w:r>
          </w:p>
        </w:tc>
        <w:tc>
          <w:tcPr>
            <w:tcW w:w="0" w:type="dxa"/>
            <w:vAlign w:val="bottom"/>
          </w:tcPr>
          <w:p>
            <w:pPr>
              <w:spacing w:after="0"/>
              <w:rPr>
                <w:sz w:val="1"/>
                <w:szCs w:val="1"/>
                <w:color w:val="auto"/>
              </w:rPr>
            </w:pPr>
          </w:p>
        </w:tc>
      </w:tr>
      <w:tr>
        <w:trPr>
          <w:trHeight w:val="378"/>
        </w:trPr>
        <w:tc>
          <w:tcPr>
            <w:tcW w:w="278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268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266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78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13,100,018</w:t>
            </w:r>
          </w:p>
        </w:tc>
        <w:tc>
          <w:tcPr>
            <w:tcW w:w="140" w:type="dxa"/>
            <w:vAlign w:val="bottom"/>
            <w:vMerge w:val="continue"/>
          </w:tcPr>
          <w:p>
            <w:pPr>
              <w:spacing w:after="0"/>
              <w:rPr>
                <w:sz w:val="19"/>
                <w:szCs w:val="19"/>
                <w:color w:val="auto"/>
              </w:rPr>
            </w:pPr>
          </w:p>
        </w:tc>
        <w:tc>
          <w:tcPr>
            <w:tcW w:w="2680" w:type="dxa"/>
            <w:vAlign w:val="bottom"/>
            <w:shd w:val="clear" w:color="auto" w:fill="CCEEFF"/>
          </w:tcPr>
          <w:p>
            <w:pPr>
              <w:jc w:val="right"/>
              <w:ind w:right="1050"/>
              <w:spacing w:after="0"/>
              <w:rPr>
                <w:sz w:val="20"/>
                <w:szCs w:val="20"/>
                <w:color w:val="auto"/>
              </w:rPr>
            </w:pPr>
            <w:r>
              <w:rPr>
                <w:rFonts w:ascii="Arial" w:cs="Arial" w:eastAsia="Arial" w:hAnsi="Arial"/>
                <w:sz w:val="18"/>
                <w:szCs w:val="18"/>
                <w:color w:val="auto"/>
              </w:rPr>
              <w:t>9,240</w:t>
            </w:r>
          </w:p>
        </w:tc>
        <w:tc>
          <w:tcPr>
            <w:tcW w:w="140" w:type="dxa"/>
            <w:vAlign w:val="bottom"/>
            <w:vMerge w:val="continue"/>
          </w:tcPr>
          <w:p>
            <w:pPr>
              <w:spacing w:after="0"/>
              <w:rPr>
                <w:sz w:val="19"/>
                <w:szCs w:val="19"/>
                <w:color w:val="auto"/>
              </w:rPr>
            </w:pPr>
          </w:p>
        </w:tc>
        <w:tc>
          <w:tcPr>
            <w:tcW w:w="266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rPr>
              <w:t>19,990</w:t>
            </w:r>
          </w:p>
        </w:tc>
        <w:tc>
          <w:tcPr>
            <w:tcW w:w="140" w:type="dxa"/>
            <w:vAlign w:val="bottom"/>
            <w:vMerge w:val="continue"/>
          </w:tcPr>
          <w:p>
            <w:pPr>
              <w:spacing w:after="0"/>
              <w:rPr>
                <w:sz w:val="19"/>
                <w:szCs w:val="19"/>
                <w:color w:val="auto"/>
              </w:rPr>
            </w:pPr>
          </w:p>
        </w:tc>
        <w:tc>
          <w:tcPr>
            <w:tcW w:w="2700" w:type="dxa"/>
            <w:vAlign w:val="bottom"/>
            <w:shd w:val="clear" w:color="auto" w:fill="CCEEFF"/>
          </w:tcPr>
          <w:p>
            <w:pPr>
              <w:jc w:val="right"/>
              <w:ind w:right="12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400" w:hanging="392"/>
        <w:spacing w:after="0"/>
        <w:tabs>
          <w:tab w:leader="none" w:pos="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Exhibits.</w:t>
      </w:r>
    </w:p>
    <w:p>
      <w:pPr>
        <w:spacing w:after="0" w:line="140" w:lineRule="exact"/>
        <w:rPr>
          <w:sz w:val="20"/>
          <w:szCs w:val="20"/>
          <w:color w:val="auto"/>
        </w:rPr>
      </w:pPr>
    </w:p>
    <w:p>
      <w:pPr>
        <w:ind w:left="20"/>
        <w:spacing w:after="0"/>
        <w:tabs>
          <w:tab w:leader="none" w:pos="1540" w:val="left"/>
        </w:tabs>
        <w:rPr>
          <w:sz w:val="20"/>
          <w:szCs w:val="20"/>
          <w:color w:val="auto"/>
        </w:rPr>
      </w:pPr>
      <w:r>
        <w:rPr>
          <w:rFonts w:ascii="Arial" w:cs="Arial" w:eastAsia="Arial" w:hAnsi="Arial"/>
          <w:sz w:val="18"/>
          <w:szCs w:val="18"/>
          <w:b w:val="1"/>
          <w:bCs w:val="1"/>
          <w:u w:val="single" w:color="auto"/>
          <w:color w:val="auto"/>
        </w:rPr>
        <w:t>Exhibit</w:t>
      </w:r>
      <w:r>
        <w:rPr>
          <w:sz w:val="20"/>
          <w:szCs w:val="20"/>
          <w:color w:val="auto"/>
        </w:rPr>
        <w:tab/>
      </w:r>
      <w:r>
        <w:rPr>
          <w:rFonts w:ascii="Arial" w:cs="Arial" w:eastAsia="Arial" w:hAnsi="Arial"/>
          <w:sz w:val="18"/>
          <w:szCs w:val="18"/>
          <w:b w:val="1"/>
          <w:bCs w:val="1"/>
          <w:u w:val="single" w:color="auto"/>
          <w:color w:val="auto"/>
        </w:rPr>
        <w:t>Description</w:t>
      </w:r>
    </w:p>
    <w:p>
      <w:pPr>
        <w:spacing w:after="0" w:line="283" w:lineRule="exact"/>
        <w:rPr>
          <w:sz w:val="20"/>
          <w:szCs w:val="20"/>
          <w:color w:val="auto"/>
        </w:rPr>
      </w:pPr>
    </w:p>
    <w:p>
      <w:pPr>
        <w:ind w:left="1560" w:hanging="1534"/>
        <w:spacing w:after="0"/>
        <w:tabs>
          <w:tab w:leader="none" w:pos="15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4"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jc w:val="center"/>
        <w:ind w:right="-2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6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LivaNova PLC</w:t>
      </w:r>
    </w:p>
    <w:p>
      <w:pPr>
        <w:spacing w:after="0" w:line="200" w:lineRule="exact"/>
        <w:rPr>
          <w:sz w:val="20"/>
          <w:szCs w:val="20"/>
          <w:color w:val="auto"/>
        </w:rPr>
      </w:pPr>
    </w:p>
    <w:p>
      <w:pPr>
        <w:spacing w:after="0" w:line="336" w:lineRule="exact"/>
        <w:rPr>
          <w:sz w:val="20"/>
          <w:szCs w:val="20"/>
          <w:color w:val="auto"/>
        </w:rPr>
      </w:pPr>
    </w:p>
    <w:p>
      <w:pPr>
        <w:jc w:val="right"/>
        <w:ind w:right="3480"/>
        <w:spacing w:after="0"/>
        <w:tabs>
          <w:tab w:leader="none" w:pos="5300" w:val="left"/>
        </w:tabs>
        <w:rPr>
          <w:sz w:val="20"/>
          <w:szCs w:val="20"/>
          <w:color w:val="auto"/>
        </w:rPr>
      </w:pPr>
      <w:r>
        <w:rPr>
          <w:rFonts w:ascii="Arial" w:cs="Arial" w:eastAsia="Arial" w:hAnsi="Arial"/>
          <w:sz w:val="18"/>
          <w:szCs w:val="18"/>
          <w:color w:val="auto"/>
        </w:rPr>
        <w:t>Date: June 10, 2021</w:t>
      </w:r>
      <w:r>
        <w:rPr>
          <w:sz w:val="20"/>
          <w:szCs w:val="20"/>
          <w:color w:val="auto"/>
        </w:rPr>
        <w:tab/>
      </w:r>
      <w:r>
        <w:rPr>
          <w:rFonts w:ascii="Arial" w:cs="Arial" w:eastAsia="Arial" w:hAnsi="Arial"/>
          <w:sz w:val="16"/>
          <w:szCs w:val="16"/>
          <w:color w:val="auto"/>
        </w:rPr>
        <w:t>By:</w:t>
      </w:r>
      <w:r>
        <w:rPr>
          <w:rFonts w:ascii="Arial" w:cs="Arial" w:eastAsia="Arial" w:hAnsi="Arial"/>
          <w:sz w:val="16"/>
          <w:szCs w:val="16"/>
          <w:u w:val="single" w:color="auto"/>
          <w:color w:val="auto"/>
        </w:rPr>
        <w:t>/s/ Keyna Skeffington</w:t>
      </w:r>
    </w:p>
    <w:p>
      <w:pPr>
        <w:spacing w:after="0" w:line="63" w:lineRule="exact"/>
        <w:rPr>
          <w:sz w:val="20"/>
          <w:szCs w:val="20"/>
          <w:color w:val="auto"/>
        </w:rPr>
      </w:pPr>
    </w:p>
    <w:p>
      <w:pPr>
        <w:jc w:val="right"/>
        <w:ind w:right="3420"/>
        <w:spacing w:after="0"/>
        <w:rPr>
          <w:sz w:val="20"/>
          <w:szCs w:val="20"/>
          <w:color w:val="auto"/>
        </w:rPr>
      </w:pPr>
      <w:r>
        <w:rPr>
          <w:rFonts w:ascii="Arial" w:cs="Arial" w:eastAsia="Arial" w:hAnsi="Arial"/>
          <w:sz w:val="18"/>
          <w:szCs w:val="18"/>
          <w:color w:val="auto"/>
        </w:rPr>
        <w:t>Name: Keyna Skeffington</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Senior Vice President &amp;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w:t>
      </w:r>
    </w:p>
    <w:sectPr>
      <w:pgSz w:w="11900" w:h="16838" w:orient="portrait"/>
      <w:cols w:equalWidth="0" w:num="1">
        <w:col w:w="10980"/>
      </w:cols>
      <w:pgMar w:left="320" w:top="1404"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1."/>
      <w:numFmt w:val="decimal"/>
      <w:start w:val="3"/>
    </w:lvl>
  </w:abstractNum>
  <w:abstractNum w:abstractNumId="3">
    <w:nsid w:val="515F007C"/>
    <w:multiLevelType w:val="hybridMultilevel"/>
    <w:lvl w:ilvl="0">
      <w:lvlJc w:val="left"/>
      <w:lvlText w:val="%1."/>
      <w:numFmt w:val="decimal"/>
      <w:start w:val="4"/>
    </w:lvl>
  </w:abstractNum>
  <w:abstractNum w:abstractNumId="4">
    <w:nsid w:val="5BD062C2"/>
    <w:multiLevelType w:val="hybridMultilevel"/>
    <w:lvl w:ilvl="0">
      <w:lvlJc w:val="left"/>
      <w:lvlText w:val="(%1)"/>
      <w:numFmt w:val="upperLetter"/>
      <w:start w:val="1"/>
    </w:lvl>
  </w:abstractNum>
  <w:abstractNum w:abstractNumId="5">
    <w:nsid w:val="12200854"/>
    <w:multiLevelType w:val="hybridMultilevel"/>
    <w:lvl w:ilvl="0">
      <w:lvlJc w:val="left"/>
      <w:lvlText w:val="%1."/>
      <w:numFmt w:val="decimal"/>
      <w:start w:val="5"/>
    </w:lvl>
    <w:lvl w:ilvl="1">
      <w:lvlJc w:val="left"/>
      <w:lvlText w:val="(%2)"/>
      <w:numFmt w:val="lowerLetter"/>
      <w:start w:val="1"/>
    </w:lvl>
  </w:abstractNum>
  <w:abstractNum w:abstractNumId="6">
    <w:nsid w:val="4DB127F8"/>
    <w:multiLevelType w:val="hybridMultilevel"/>
    <w:lvl w:ilvl="0">
      <w:lvlJc w:val="left"/>
      <w:lvlText w:val="(%1)"/>
      <w:numFmt w:val="upperLetter"/>
      <w:start w:val="1"/>
    </w:lvl>
  </w:abstractNum>
  <w:abstractNum w:abstractNumId="7">
    <w:nsid w:val="216231B"/>
    <w:multiLevelType w:val="hybridMultilevel"/>
    <w:lvl w:ilvl="0">
      <w:lvlJc w:val="left"/>
      <w:lvlText w:val="%1."/>
      <w:numFmt w:val="decimal"/>
      <w:start w:val="6"/>
    </w:lvl>
  </w:abstractNum>
  <w:abstractNum w:abstractNumId="8">
    <w:nsid w:val="1F16E9E8"/>
    <w:multiLevelType w:val="hybridMultilevel"/>
    <w:lvl w:ilvl="0">
      <w:lvlJc w:val="left"/>
      <w:lvlText w:val="%1."/>
      <w:numFmt w:val="decimal"/>
      <w:start w:val="7"/>
    </w:lvl>
  </w:abstractNum>
  <w:abstractNum w:abstractNumId="9">
    <w:nsid w:val="1190CDE7"/>
    <w:multiLevelType w:val="hybridMultilevel"/>
    <w:lvl w:ilvl="0">
      <w:lvlJc w:val="left"/>
      <w:lvlText w:val="%1."/>
      <w:numFmt w:val="decimal"/>
      <w:start w:val="8"/>
    </w:lvl>
  </w:abstractNum>
  <w:abstractNum w:abstractNumId="10">
    <w:nsid w:val="66EF438D"/>
    <w:multiLevelType w:val="hybridMultilevel"/>
    <w:lvl w:ilvl="0">
      <w:lvlJc w:val="left"/>
      <w:lvlText w:val="%1."/>
      <w:numFmt w:val="decimal"/>
      <w:start w:val="9"/>
    </w:lvl>
  </w:abstractNum>
  <w:abstractNum w:abstractNumId="11">
    <w:nsid w:val="140E0F76"/>
    <w:multiLevelType w:val="hybridMultilevel"/>
    <w:lvl w:ilvl="0">
      <w:lvlJc w:val="left"/>
      <w:lvlText w:val="(%1)"/>
      <w:numFmt w:val="lowerLetter"/>
      <w:start w:val="4"/>
    </w:lvl>
  </w:abstractNum>
  <w:abstractNum w:abstractNumId="12">
    <w:nsid w:val="3352255A"/>
    <w:multiLevelType w:val="hybridMultilevel"/>
    <w:lvl w:ilvl="0">
      <w:lvlJc w:val="left"/>
      <w:lvlText w:val="%1"/>
      <w:numFmt w:val="decimal"/>
      <w:start w:val="10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2021-06-10T07:33:03Z</dcterms:created>
  <dcterms:modified xsi:type="dcterms:W3CDTF">2021-06-10T07:33:03Z</dcterms:modified>
</cp:coreProperties>
</file>