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7302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3025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Poletti Franco</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53"/>
        <w:spacing w:after="0"/>
        <w:rPr>
          <w:sz w:val="20"/>
          <w:szCs w:val="20"/>
          <w:color w:val="auto"/>
        </w:rPr>
      </w:pPr>
      <w:r>
        <w:rPr>
          <w:rFonts w:ascii="Times New Roman" w:cs="Times New Roman" w:eastAsia="Times New Roman" w:hAnsi="Times New Roman"/>
          <w:sz w:val="17"/>
          <w:szCs w:val="17"/>
          <w:color w:val="0000FF"/>
        </w:rPr>
        <w:t>President, Cardiopulmonary</w:t>
      </w:r>
    </w:p>
    <w:p>
      <w:pPr>
        <w:spacing w:after="0" w:line="305"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4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740" w:type="dxa"/>
            <w:vAlign w:val="bottom"/>
            <w:gridSpan w:val="8"/>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LONDON</w:t>
            </w: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X0</w:t>
            </w:r>
          </w:p>
        </w:tc>
        <w:tc>
          <w:tcPr>
            <w:tcW w:w="88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W2 6LA</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ind w:left="2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03/30/2025</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
              <w:spacing w:after="0"/>
              <w:rPr>
                <w:sz w:val="20"/>
                <w:szCs w:val="20"/>
                <w:color w:val="auto"/>
              </w:rPr>
            </w:pPr>
            <w:r>
              <w:rPr>
                <w:rFonts w:ascii="Times New Roman" w:cs="Times New Roman" w:eastAsia="Times New Roman" w:hAnsi="Times New Roman"/>
                <w:sz w:val="17"/>
                <w:szCs w:val="17"/>
                <w:color w:val="0000FF"/>
              </w:rPr>
              <w:t>1,257</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8,475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Pr>
          <w:p>
            <w:pPr>
              <w:spacing w:after="0"/>
              <w:rPr>
                <w:sz w:val="22"/>
                <w:szCs w:val="22"/>
                <w:color w:val="auto"/>
              </w:rPr>
            </w:pPr>
          </w:p>
        </w:tc>
        <w:tc>
          <w:tcPr>
            <w:tcW w:w="186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0000FF"/>
              </w:rPr>
              <w:t>03/30/2025</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542</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39.13</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7,933</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219</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right"/>
              <w:ind w:right="16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201</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201</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172</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172</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171</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325</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325</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650</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559</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559</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1,675</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6,388</w:t>
            </w:r>
          </w:p>
        </w:tc>
        <w:tc>
          <w:tcPr>
            <w:tcW w:w="30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6,388</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6,388</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3,194</w:t>
            </w:r>
          </w:p>
        </w:tc>
        <w:tc>
          <w:tcPr>
            <w:tcW w:w="30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3,194</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3,194</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3,194</w:t>
            </w:r>
          </w:p>
        </w:tc>
        <w:tc>
          <w:tcPr>
            <w:tcW w:w="30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3,194</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3,194</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6,388</w:t>
            </w:r>
          </w:p>
        </w:tc>
        <w:tc>
          <w:tcPr>
            <w:tcW w:w="30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6,388</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w w:val="95"/>
              </w:rPr>
              <w:t>6,388</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(13)</w:t>
            </w: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13,986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39.13</w:t>
            </w: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03/30/2025</w:t>
            </w: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13,986</w:t>
            </w: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03/30/2035</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79"/>
              <w:spacing w:after="0" w:line="128" w:lineRule="exact"/>
              <w:rPr>
                <w:sz w:val="20"/>
                <w:szCs w:val="20"/>
                <w:color w:val="auto"/>
              </w:rPr>
            </w:pPr>
            <w:r>
              <w:rPr>
                <w:rFonts w:ascii="Times New Roman" w:cs="Times New Roman" w:eastAsia="Times New Roman" w:hAnsi="Times New Roman"/>
                <w:sz w:val="13"/>
                <w:szCs w:val="13"/>
                <w:color w:val="0000FF"/>
              </w:rPr>
              <w:t>13,986</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-4059555</wp:posOffset>
            </wp:positionV>
            <wp:extent cx="28575" cy="4064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0646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award agreement.</w:t>
      </w:r>
    </w:p>
    <w:p>
      <w:pPr>
        <w:spacing w:after="0" w:line="41"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in equal annual installments, the first vesting having occurred on March 30, 2022. The RSUs are subject to forfeiture prior to vesting in accordance with the terms of the 2015 Plan and the award agreement.</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in equal annual installments, the first vesting having occurred on March 30, 2023. The RSUs are subject to forfeiture prior to vesting in accordance with the terms of the 2015 Plan and the award agreement.</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2022 Incentive Award Plan (the 2022 Plan) and the award agreement.</w:t>
      </w:r>
    </w:p>
    <w:p>
      <w:pPr>
        <w:spacing w:after="0" w:line="41"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having occurred on March 30, 2024. The RSUs are subject to forfeiture prior to vesting in accordance with the terms of the 2022 Plan and the award agreement.</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2022 Plan and the award agreement.</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240"/>
        <w:spacing w:after="0" w:line="250"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2022 Plan and the award agreement.</w:t>
      </w:r>
    </w:p>
    <w:p>
      <w:pPr>
        <w:spacing w:after="0" w:line="2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1" w:lineRule="exact"/>
        <w:rPr>
          <w:rFonts w:ascii="Times New Roman" w:cs="Times New Roman" w:eastAsia="Times New Roman" w:hAnsi="Times New Roman"/>
          <w:sz w:val="13"/>
          <w:szCs w:val="13"/>
          <w:color w:val="008000"/>
        </w:rPr>
      </w:pPr>
    </w:p>
    <w:p>
      <w:pPr>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how the Company's free cash flow (FCF) for performance period 2025-2027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spacing w:after="0" w:line="238" w:lineRule="auto"/>
        <w:tabs>
          <w:tab w:leader="none" w:pos="18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how the Company's Return on Investment Capital (ROIC) calculated for the performance period 2025-2027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the Company's total shareholder return (TSR) for the three-year period beginning on January 1, 2025 and ending December 31, 2027 relative to the TSR of an index of companies, as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right="300"/>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stock appreciation rights (SARs) subject to a four-year vesting in equal annual installments, the first vesting occurring on March 30, 2026. The SARs are subject to forfeiture prior to vesting in accordance with the terms of the 2022 Plan and the award agreement.</w:t>
      </w:r>
    </w:p>
    <w:p>
      <w:pPr>
        <w:sectPr>
          <w:pgSz w:w="11900" w:h="16838" w:orient="portrait"/>
          <w:cols w:equalWidth="0" w:num="1">
            <w:col w:w="10860"/>
          </w:cols>
          <w:pgMar w:left="500" w:top="127" w:right="5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-3175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640" w:space="120"/>
            <w:col w:w="2100"/>
          </w:cols>
          <w:pgMar w:left="500" w:top="12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128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2025-04-01T20:09:36Z</dcterms:created>
  <dcterms:modified xsi:type="dcterms:W3CDTF">2025-04-01T20:09:36Z</dcterms:modified>
</cp:coreProperties>
</file>