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15240</wp:posOffset>
            </wp:positionV>
            <wp:extent cx="6993890" cy="5450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45020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Hebbelinck Trui</w:t>
        </w:r>
      </w:hyperlink>
    </w:p>
    <w:p>
      <w:pPr>
        <w:spacing w:after="0" w:line="30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03/01/2022</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firstLine="2"/>
        <w:spacing w:after="0" w:line="23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8"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4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18"/>
        <w:spacing w:after="0"/>
        <w:rPr>
          <w:sz w:val="20"/>
          <w:szCs w:val="20"/>
          <w:color w:val="auto"/>
        </w:rPr>
      </w:pPr>
      <w:r>
        <w:rPr>
          <w:rFonts w:ascii="Arial" w:cs="Arial" w:eastAsia="Arial" w:hAnsi="Arial"/>
          <w:sz w:val="16"/>
          <w:szCs w:val="16"/>
          <w:color w:val="0000FF"/>
        </w:rPr>
        <w:t>Chief Human Resources Officer</w:t>
      </w:r>
    </w:p>
    <w:p>
      <w:pPr>
        <w:spacing w:after="0" w:line="318" w:lineRule="exact"/>
        <w:rPr>
          <w:sz w:val="24"/>
          <w:szCs w:val="24"/>
          <w:color w:val="auto"/>
        </w:rPr>
      </w:pPr>
    </w:p>
    <w:p>
      <w:pPr>
        <w:sectPr>
          <w:pgSz w:w="11900" w:h="16838" w:orient="portrait"/>
          <w:cols w:equalWidth="0" w:num="3">
            <w:col w:w="3180" w:space="720"/>
            <w:col w:w="3102" w:space="720"/>
            <w:col w:w="3358"/>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00" w:type="dxa"/>
            <w:vAlign w:val="bottom"/>
          </w:tcPr>
          <w:p>
            <w:pPr>
              <w:ind w:left="420"/>
              <w:spacing w:after="0"/>
              <w:rPr>
                <w:sz w:val="20"/>
                <w:szCs w:val="20"/>
                <w:color w:val="auto"/>
              </w:rPr>
            </w:pPr>
            <w:r>
              <w:rPr>
                <w:rFonts w:ascii="Arial" w:cs="Arial" w:eastAsia="Arial" w:hAnsi="Arial"/>
                <w:sz w:val="17"/>
                <w:szCs w:val="17"/>
                <w:color w:val="0000FF"/>
              </w:rPr>
              <w:t>W2 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7"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7"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tcPr>
          <w:p>
            <w:pPr>
              <w:ind w:left="640"/>
              <w:spacing w:after="0" w:line="126"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0"/>
                <w:szCs w:val="10"/>
                <w:color w:val="auto"/>
              </w:rPr>
            </w:pPr>
          </w:p>
        </w:tc>
        <w:tc>
          <w:tcPr>
            <w:tcW w:w="100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2600" w:type="dxa"/>
            <w:vAlign w:val="bottom"/>
            <w:gridSpan w:val="6"/>
          </w:tcPr>
          <w:p>
            <w:pPr>
              <w:ind w:left="80"/>
              <w:spacing w:after="0" w:line="126"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03/01/2022</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w w:val="91"/>
              </w:rPr>
              <w:t>M</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559</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right"/>
              <w:spacing w:after="0" w:line="309"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81"/>
              <w:spacing w:after="0"/>
              <w:rPr>
                <w:sz w:val="20"/>
                <w:szCs w:val="20"/>
                <w:color w:val="auto"/>
              </w:rPr>
            </w:pPr>
            <w:r>
              <w:rPr>
                <w:rFonts w:ascii="Arial" w:cs="Arial" w:eastAsia="Arial" w:hAnsi="Arial"/>
                <w:sz w:val="17"/>
                <w:szCs w:val="17"/>
                <w:color w:val="0000FF"/>
              </w:rPr>
              <w:t>2,075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03/01/2022</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w w:val="74"/>
              </w:rPr>
              <w:t>F</w:t>
            </w:r>
          </w:p>
        </w:tc>
        <w:tc>
          <w:tcPr>
            <w:tcW w:w="6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87"/>
              </w:rPr>
              <w:t>263</w:t>
            </w:r>
            <w:r>
              <w:rPr>
                <w:rFonts w:ascii="Arial" w:cs="Arial" w:eastAsia="Arial" w:hAnsi="Arial"/>
                <w:sz w:val="21"/>
                <w:szCs w:val="21"/>
                <w:color w:val="008000"/>
                <w:w w:val="87"/>
                <w:vertAlign w:val="superscript"/>
              </w:rPr>
              <w:t>(2)</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77.38</w:t>
            </w:r>
          </w:p>
        </w:tc>
        <w:tc>
          <w:tcPr>
            <w:tcW w:w="1280" w:type="dxa"/>
            <w:vAlign w:val="bottom"/>
            <w:tcBorders>
              <w:bottom w:val="single" w:sz="8" w:color="2C2C2C"/>
            </w:tcBorders>
            <w:gridSpan w:val="3"/>
          </w:tcPr>
          <w:p>
            <w:pPr>
              <w:jc w:val="right"/>
              <w:ind w:right="381"/>
              <w:spacing w:after="0"/>
              <w:rPr>
                <w:sz w:val="20"/>
                <w:szCs w:val="20"/>
                <w:color w:val="auto"/>
              </w:rPr>
            </w:pPr>
            <w:r>
              <w:rPr>
                <w:rFonts w:ascii="Arial" w:cs="Arial" w:eastAsia="Arial" w:hAnsi="Arial"/>
                <w:sz w:val="17"/>
                <w:szCs w:val="17"/>
                <w:color w:val="0000FF"/>
              </w:rPr>
              <w:t>1,812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4"/>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11"/>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8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8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03/01/2022</w:t>
            </w:r>
          </w:p>
        </w:tc>
        <w:tc>
          <w:tcPr>
            <w:tcW w:w="1080" w:type="dxa"/>
            <w:vAlign w:val="bottom"/>
          </w:tcPr>
          <w:p>
            <w:pPr>
              <w:spacing w:after="0"/>
              <w:rPr>
                <w:sz w:val="16"/>
                <w:szCs w:val="1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vMerge w:val="restart"/>
          </w:tcPr>
          <w:p>
            <w:pPr>
              <w:spacing w:after="0"/>
              <w:rPr>
                <w:sz w:val="20"/>
                <w:szCs w:val="20"/>
                <w:color w:val="auto"/>
              </w:rPr>
            </w:pPr>
            <w:r>
              <w:rPr>
                <w:rFonts w:ascii="Arial" w:cs="Arial" w:eastAsia="Arial" w:hAnsi="Arial"/>
                <w:sz w:val="13"/>
                <w:szCs w:val="13"/>
                <w:color w:val="0000FF"/>
              </w:rPr>
              <w:t>559</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93"/>
              <w:spacing w:after="0"/>
              <w:rPr>
                <w:sz w:val="20"/>
                <w:szCs w:val="20"/>
                <w:color w:val="auto"/>
              </w:rPr>
            </w:pPr>
            <w:r>
              <w:rPr>
                <w:rFonts w:ascii="Arial" w:cs="Arial" w:eastAsia="Arial" w:hAnsi="Arial"/>
                <w:sz w:val="17"/>
                <w:szCs w:val="17"/>
                <w:color w:val="0000FF"/>
              </w:rPr>
              <w:t>559</w:t>
            </w:r>
          </w:p>
        </w:tc>
        <w:tc>
          <w:tcPr>
            <w:tcW w:w="60" w:type="dxa"/>
            <w:vAlign w:val="bottom"/>
          </w:tcPr>
          <w:p>
            <w:pPr>
              <w:spacing w:after="0"/>
              <w:rPr>
                <w:sz w:val="16"/>
                <w:szCs w:val="1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0000FF"/>
                <w:w w:val="87"/>
                <w:vertAlign w:val="subscript"/>
              </w:rPr>
              <w:t>0</w:t>
            </w:r>
            <w:r>
              <w:rPr>
                <w:rFonts w:ascii="Arial" w:cs="Arial" w:eastAsia="Arial" w:hAnsi="Arial"/>
                <w:sz w:val="11"/>
                <w:szCs w:val="11"/>
                <w:color w:val="008000"/>
                <w:w w:val="87"/>
              </w:rPr>
              <w:t>(5)</w:t>
            </w:r>
          </w:p>
        </w:tc>
        <w:tc>
          <w:tcPr>
            <w:tcW w:w="280" w:type="dxa"/>
            <w:vAlign w:val="bottom"/>
          </w:tcPr>
          <w:p>
            <w:pPr>
              <w:spacing w:after="0"/>
              <w:rPr>
                <w:sz w:val="16"/>
                <w:szCs w:val="16"/>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03/01/2022</w:t>
            </w:r>
          </w:p>
        </w:tc>
        <w:tc>
          <w:tcPr>
            <w:tcW w:w="1080" w:type="dxa"/>
            <w:vAlign w:val="bottom"/>
          </w:tcPr>
          <w:p>
            <w:pPr>
              <w:spacing w:after="0"/>
              <w:rPr>
                <w:sz w:val="16"/>
                <w:szCs w:val="1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6"/>
                <w:szCs w:val="16"/>
                <w:color w:val="auto"/>
              </w:rPr>
            </w:pPr>
          </w:p>
        </w:tc>
        <w:tc>
          <w:tcPr>
            <w:tcW w:w="500" w:type="dxa"/>
            <w:vAlign w:val="bottom"/>
            <w:vMerge w:val="restart"/>
          </w:tcPr>
          <w:p>
            <w:pPr>
              <w:jc w:val="right"/>
              <w:ind w:right="61"/>
              <w:spacing w:after="0"/>
              <w:rPr>
                <w:sz w:val="20"/>
                <w:szCs w:val="20"/>
                <w:color w:val="auto"/>
              </w:rPr>
            </w:pPr>
            <w:r>
              <w:rPr>
                <w:rFonts w:ascii="Arial" w:cs="Arial" w:eastAsia="Arial" w:hAnsi="Arial"/>
                <w:sz w:val="13"/>
                <w:szCs w:val="13"/>
                <w:color w:val="0000FF"/>
              </w:rPr>
              <w:t>1,365</w:t>
            </w:r>
          </w:p>
        </w:tc>
        <w:tc>
          <w:tcPr>
            <w:tcW w:w="30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(6)</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(6)</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1,365</w:t>
            </w:r>
          </w:p>
        </w:tc>
        <w:tc>
          <w:tcPr>
            <w:tcW w:w="60" w:type="dxa"/>
            <w:vAlign w:val="bottom"/>
          </w:tcPr>
          <w:p>
            <w:pPr>
              <w:spacing w:after="0"/>
              <w:rPr>
                <w:sz w:val="16"/>
                <w:szCs w:val="1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jc w:val="center"/>
              <w:ind w:right="2"/>
              <w:spacing w:after="0"/>
              <w:rPr>
                <w:sz w:val="20"/>
                <w:szCs w:val="20"/>
                <w:color w:val="auto"/>
              </w:rPr>
            </w:pPr>
            <w:r>
              <w:rPr>
                <w:rFonts w:ascii="Arial" w:cs="Arial" w:eastAsia="Arial" w:hAnsi="Arial"/>
                <w:sz w:val="13"/>
                <w:szCs w:val="13"/>
                <w:color w:val="0000FF"/>
                <w:w w:val="80"/>
              </w:rPr>
              <w:t>2,730</w:t>
            </w:r>
            <w:r>
              <w:rPr>
                <w:rFonts w:ascii="Arial" w:cs="Arial" w:eastAsia="Arial" w:hAnsi="Arial"/>
                <w:sz w:val="21"/>
                <w:szCs w:val="21"/>
                <w:color w:val="008000"/>
                <w:w w:val="80"/>
                <w:vertAlign w:val="superscript"/>
              </w:rPr>
              <w:t>(5)</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03/01/2022</w:t>
            </w:r>
          </w:p>
        </w:tc>
        <w:tc>
          <w:tcPr>
            <w:tcW w:w="1080" w:type="dxa"/>
            <w:vAlign w:val="bottom"/>
          </w:tcPr>
          <w:p>
            <w:pPr>
              <w:spacing w:after="0"/>
              <w:rPr>
                <w:sz w:val="16"/>
                <w:szCs w:val="1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6"/>
                <w:szCs w:val="16"/>
                <w:color w:val="auto"/>
              </w:rPr>
            </w:pPr>
          </w:p>
        </w:tc>
        <w:tc>
          <w:tcPr>
            <w:tcW w:w="500" w:type="dxa"/>
            <w:vAlign w:val="bottom"/>
            <w:vMerge w:val="restart"/>
          </w:tcPr>
          <w:p>
            <w:pPr>
              <w:jc w:val="right"/>
              <w:ind w:right="121"/>
              <w:spacing w:after="0"/>
              <w:rPr>
                <w:sz w:val="20"/>
                <w:szCs w:val="20"/>
                <w:color w:val="auto"/>
              </w:rPr>
            </w:pPr>
            <w:r>
              <w:rPr>
                <w:rFonts w:ascii="Arial" w:cs="Arial" w:eastAsia="Arial" w:hAnsi="Arial"/>
                <w:sz w:val="13"/>
                <w:szCs w:val="13"/>
                <w:color w:val="0000FF"/>
              </w:rPr>
              <w:t>700</w:t>
            </w:r>
          </w:p>
        </w:tc>
        <w:tc>
          <w:tcPr>
            <w:tcW w:w="30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(7)</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(7)</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93"/>
              <w:spacing w:after="0"/>
              <w:rPr>
                <w:sz w:val="20"/>
                <w:szCs w:val="20"/>
                <w:color w:val="auto"/>
              </w:rPr>
            </w:pPr>
            <w:r>
              <w:rPr>
                <w:rFonts w:ascii="Arial" w:cs="Arial" w:eastAsia="Arial" w:hAnsi="Arial"/>
                <w:sz w:val="17"/>
                <w:szCs w:val="17"/>
                <w:color w:val="0000FF"/>
              </w:rPr>
              <w:t>700</w:t>
            </w:r>
          </w:p>
        </w:tc>
        <w:tc>
          <w:tcPr>
            <w:tcW w:w="60" w:type="dxa"/>
            <w:vAlign w:val="bottom"/>
          </w:tcPr>
          <w:p>
            <w:pPr>
              <w:spacing w:after="0"/>
              <w:rPr>
                <w:sz w:val="16"/>
                <w:szCs w:val="1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jc w:val="center"/>
              <w:ind w:right="2"/>
              <w:spacing w:after="0"/>
              <w:rPr>
                <w:sz w:val="20"/>
                <w:szCs w:val="20"/>
                <w:color w:val="auto"/>
              </w:rPr>
            </w:pPr>
            <w:r>
              <w:rPr>
                <w:rFonts w:ascii="Arial" w:cs="Arial" w:eastAsia="Arial" w:hAnsi="Arial"/>
                <w:sz w:val="13"/>
                <w:szCs w:val="13"/>
                <w:color w:val="0000FF"/>
                <w:w w:val="80"/>
              </w:rPr>
              <w:t>2,065</w:t>
            </w:r>
            <w:r>
              <w:rPr>
                <w:rFonts w:ascii="Arial" w:cs="Arial" w:eastAsia="Arial" w:hAnsi="Arial"/>
                <w:sz w:val="21"/>
                <w:szCs w:val="21"/>
                <w:color w:val="008000"/>
                <w:w w:val="80"/>
                <w:vertAlign w:val="superscript"/>
              </w:rPr>
              <w:t>(5)</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-2520315</wp:posOffset>
            </wp:positionV>
            <wp:extent cx="29210" cy="2525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253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performance stock units (PSUs) settled in ordinary shares of LivaNova PLC (the Company), GBP 1.00 par value.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Each PSU represents a contingent right to receive one ordinary share of the Company in accordance with the terms of the of the LivaNova PLC 2015 Incentive Award Plan (the Plan) and the award agreement.</w:t>
      </w:r>
    </w:p>
    <w:p>
      <w:pPr>
        <w:spacing w:after="0" w:line="66" w:lineRule="exact"/>
        <w:rPr>
          <w:rFonts w:ascii="Arial" w:cs="Arial" w:eastAsia="Arial" w:hAnsi="Arial"/>
          <w:sz w:val="11"/>
          <w:szCs w:val="11"/>
          <w:color w:val="008000"/>
        </w:rPr>
      </w:pPr>
    </w:p>
    <w:p>
      <w:pPr>
        <w:ind w:left="40" w:right="160" w:firstLine="2"/>
        <w:spacing w:after="0" w:line="24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29, 2019, reporting person was granted PSUs to vest or lapse on the filing of the Company's Annual Report on Form 10-K for the fiscal year ending December 31, 2021 based on how the Company's cumulative adjusted free cash flow for fiscal years 2019, 2020 and 2021 compares to a target determined by the Plan Administrator.</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43" w:lineRule="exact"/>
        <w:rPr>
          <w:rFonts w:ascii="Arial" w:cs="Arial" w:eastAsia="Arial" w:hAnsi="Arial"/>
          <w:sz w:val="13"/>
          <w:szCs w:val="13"/>
          <w:color w:val="008000"/>
        </w:rPr>
      </w:pPr>
    </w:p>
    <w:p>
      <w:pPr>
        <w:ind w:left="40" w:right="42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1,365 PSUs to vest or lapse on March 30, 2024 based on how the Company's cumulative adjusted free cash flow for fiscal year 2021 compares to a target determined by the Plan Administrator. The Company has determined that 200% of the underlying PSUs shall vest on March 30, 2024, subject to continued service during the vesting period and the award agreement.</w:t>
      </w:r>
    </w:p>
    <w:p>
      <w:pPr>
        <w:spacing w:after="0" w:line="31" w:lineRule="exact"/>
        <w:rPr>
          <w:rFonts w:ascii="Arial" w:cs="Arial" w:eastAsia="Arial" w:hAnsi="Arial"/>
          <w:sz w:val="13"/>
          <w:szCs w:val="13"/>
          <w:color w:val="008000"/>
        </w:rPr>
      </w:pPr>
    </w:p>
    <w:p>
      <w:pPr>
        <w:ind w:left="40" w:right="24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1,365 PSUs to vest or lapse on March 30, 2024, based on how the Company's Return on Investment Capital (ROIC) for fiscal year 2021 compares to a target determined by the Plan Administrator. The Company has determined that 151.3% of the underlying PSUs shall vest on March 30, 2024, subject to continued service during the vesting period and the award agreement.</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0000FF"/>
                <w:w w:val="88"/>
              </w:rPr>
              <w:t>/s/ Sarah K. Mohr, POA</w:t>
            </w:r>
          </w:p>
        </w:tc>
        <w:tc>
          <w:tcPr>
            <w:tcW w:w="580" w:type="dxa"/>
            <w:vAlign w:val="bottom"/>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0000FF"/>
                <w:w w:val="86"/>
              </w:rPr>
              <w:t>03/03/2022</w:t>
            </w:r>
          </w:p>
        </w:tc>
      </w:tr>
      <w:tr>
        <w:trPr>
          <w:trHeight w:val="224"/>
        </w:trPr>
        <w:tc>
          <w:tcPr>
            <w:tcW w:w="2200" w:type="dxa"/>
            <w:vAlign w:val="bottom"/>
            <w:gridSpan w:val="2"/>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12" w:lineRule="exact"/>
        <w:rPr>
          <w:sz w:val="20"/>
          <w:szCs w:val="20"/>
          <w:color w:val="auto"/>
        </w:rPr>
      </w:pPr>
    </w:p>
    <w:p>
      <w:pPr>
        <w:ind w:right="40" w:firstLine="617"/>
        <w:spacing w:after="0" w:line="311" w:lineRule="auto"/>
        <w:rPr>
          <w:sz w:val="20"/>
          <w:szCs w:val="20"/>
          <w:color w:val="auto"/>
        </w:rPr>
      </w:pPr>
      <w:r>
        <w:rPr>
          <w:rFonts w:ascii="Arial" w:cs="Arial" w:eastAsia="Arial" w:hAnsi="Arial"/>
          <w:sz w:val="18"/>
          <w:szCs w:val="18"/>
          <w:color w:val="auto"/>
        </w:rPr>
        <w:t>Know all by these presents, that the undersigned hereby constitutes and appoints each of (i) the General Counsel of LivaNova PLC, a public limited company organized under the laws of England and Wales (the “Company”), who is currently Keyna Skeffington, (ii) the Company’s Company Secretary who is currently Catherine Moroz, and (iii) the Company’s internal counsel who is currently Sarah K. Mohr, and their respective successors, signing singly, the undersigned’s true and lawful attorney-in-fact to:</w:t>
      </w:r>
    </w:p>
    <w:p>
      <w:pPr>
        <w:spacing w:after="0" w:line="124" w:lineRule="exact"/>
        <w:rPr>
          <w:sz w:val="20"/>
          <w:szCs w:val="20"/>
          <w:color w:val="auto"/>
        </w:rPr>
      </w:pPr>
    </w:p>
    <w:p>
      <w:pPr>
        <w:ind w:left="1240" w:right="80" w:hanging="620"/>
        <w:spacing w:after="0" w:line="31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8" w:lineRule="exact"/>
        <w:rPr>
          <w:rFonts w:ascii="Arial" w:cs="Arial" w:eastAsia="Arial" w:hAnsi="Arial"/>
          <w:sz w:val="18"/>
          <w:szCs w:val="18"/>
          <w:color w:val="auto"/>
        </w:rPr>
      </w:pPr>
    </w:p>
    <w:p>
      <w:pPr>
        <w:ind w:left="1240" w:right="100" w:hanging="620"/>
        <w:spacing w:after="0" w:line="343"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01" w:lineRule="exact"/>
        <w:rPr>
          <w:rFonts w:ascii="Arial" w:cs="Arial" w:eastAsia="Arial" w:hAnsi="Arial"/>
          <w:sz w:val="17"/>
          <w:szCs w:val="17"/>
          <w:color w:val="auto"/>
        </w:rPr>
      </w:pPr>
    </w:p>
    <w:p>
      <w:pPr>
        <w:ind w:left="1240" w:hanging="620"/>
        <w:spacing w:after="0" w:line="334"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8" w:lineRule="exact"/>
        <w:rPr>
          <w:sz w:val="20"/>
          <w:szCs w:val="20"/>
          <w:color w:val="auto"/>
        </w:rPr>
      </w:pPr>
    </w:p>
    <w:p>
      <w:pPr>
        <w:ind w:right="340" w:firstLine="617"/>
        <w:spacing w:after="0" w:line="304"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3" w:lineRule="exact"/>
        <w:rPr>
          <w:sz w:val="20"/>
          <w:szCs w:val="20"/>
          <w:color w:val="auto"/>
        </w:rPr>
      </w:pPr>
    </w:p>
    <w:p>
      <w:pPr>
        <w:ind w:right="80" w:firstLine="617"/>
        <w:spacing w:after="0" w:line="286"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6" w:lineRule="exact"/>
        <w:rPr>
          <w:sz w:val="20"/>
          <w:szCs w:val="20"/>
          <w:color w:val="auto"/>
        </w:rPr>
      </w:pPr>
    </w:p>
    <w:p>
      <w:pPr>
        <w:ind w:right="60" w:firstLine="617"/>
        <w:spacing w:after="0" w:line="336"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2" w:lineRule="exact"/>
        <w:rPr>
          <w:sz w:val="20"/>
          <w:szCs w:val="20"/>
          <w:color w:val="auto"/>
        </w:rPr>
      </w:pPr>
    </w:p>
    <w:p>
      <w:pPr>
        <w:ind w:right="140" w:firstLine="617"/>
        <w:spacing w:after="0" w:line="290"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IN WITNESS WHEREOF, the undersigned has caused this Power of Attorney to be executed as of this 27</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of March, 2019.</w:t>
      </w:r>
    </w:p>
    <w:p>
      <w:pPr>
        <w:spacing w:after="0" w:line="200" w:lineRule="exact"/>
        <w:rPr>
          <w:sz w:val="20"/>
          <w:szCs w:val="20"/>
          <w:color w:val="auto"/>
        </w:rPr>
      </w:pPr>
    </w:p>
    <w:p>
      <w:pPr>
        <w:spacing w:after="0" w:line="383"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/s/ Trui Hebbelinck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-13335</wp:posOffset>
            </wp:positionV>
            <wp:extent cx="12858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ind w:left="4940"/>
        <w:spacing w:after="0"/>
        <w:rPr>
          <w:sz w:val="20"/>
          <w:szCs w:val="20"/>
          <w:color w:val="auto"/>
        </w:rPr>
      </w:pPr>
      <w:r>
        <w:rPr>
          <w:rFonts w:ascii="Arial" w:cs="Arial" w:eastAsia="Arial" w:hAnsi="Arial"/>
          <w:sz w:val="19"/>
          <w:szCs w:val="19"/>
          <w:color w:val="auto"/>
        </w:rPr>
        <w:t>Trui Hebbelinck</w:t>
      </w:r>
    </w:p>
    <w:sectPr>
      <w:pgSz w:w="11900" w:h="16838" w:orient="portrait"/>
      <w:cols w:equalWidth="0" w:num="1">
        <w:col w:w="10980"/>
      </w:cols>
      <w:pgMar w:left="460" w:top="3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051"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2022-03-03T19:17:44Z</dcterms:created>
  <dcterms:modified xsi:type="dcterms:W3CDTF">2022-03-03T19:17:44Z</dcterms:modified>
</cp:coreProperties>
</file>