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July 28, 2021</w:t>
      </w:r>
    </w:p>
    <w:p>
      <w:pPr>
        <w:spacing w:after="0" w:line="287" w:lineRule="exact"/>
        <w:rPr>
          <w:sz w:val="24"/>
          <w:szCs w:val="24"/>
          <w:color w:val="auto"/>
        </w:rPr>
      </w:pPr>
    </w:p>
    <w:p>
      <w:pPr>
        <w:ind w:right="360"/>
        <w:spacing w:after="0" w:line="302"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87" w:lineRule="exact"/>
        <w:rPr>
          <w:sz w:val="24"/>
          <w:szCs w:val="24"/>
          <w:color w:val="auto"/>
        </w:rPr>
      </w:pPr>
    </w:p>
    <w:p>
      <w:pPr>
        <w:spacing w:after="0" w:line="286" w:lineRule="auto"/>
        <w:rPr>
          <w:sz w:val="20"/>
          <w:szCs w:val="20"/>
          <w:color w:val="auto"/>
        </w:rPr>
      </w:pPr>
      <w:r>
        <w:rPr>
          <w:rFonts w:ascii="Arial" w:cs="Arial" w:eastAsia="Arial" w:hAnsi="Arial"/>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June 30, 2021, which was filed with the Securities and Exchange Commission on July 28, 2021. The disclosure can be found within Part II, Item 5. </w:t>
      </w:r>
      <w:r>
        <w:rPr>
          <w:rFonts w:ascii="Arial" w:cs="Arial" w:eastAsia="Arial" w:hAnsi="Arial"/>
          <w:sz w:val="22"/>
          <w:szCs w:val="22"/>
          <w:i w:val="1"/>
          <w:iCs w:val="1"/>
          <w:color w:val="auto"/>
        </w:rPr>
        <w:t>Other Information</w:t>
      </w:r>
      <w:r>
        <w:rPr>
          <w:rFonts w:ascii="Arial" w:cs="Arial" w:eastAsia="Arial" w:hAnsi="Arial"/>
          <w:sz w:val="22"/>
          <w:szCs w:val="22"/>
          <w:color w:val="auto"/>
        </w:rPr>
        <w:t xml:space="preserve"> in the Quarterly Report on Form 10-Q.</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p>
      <w:pPr>
        <w:ind w:left="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24130</wp:posOffset>
            </wp:positionV>
            <wp:extent cx="52031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Arial" w:cs="Arial" w:eastAsia="Arial" w:hAnsi="Arial"/>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0"/>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24130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2021-07-28T14:14:04Z</dcterms:created>
  <dcterms:modified xsi:type="dcterms:W3CDTF">2021-07-28T14:14:04Z</dcterms:modified>
</cp:coreProperties>
</file>