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On January 18, 2023, LivaNova PLC (the “Company”) learned that the independent Statistical Analysis Committee advised that trial enrollment in the Company’s RECOVER difficult-to-treat depression trial should continue on from 425 to 450 unipolar patients, in line with the protocol. As has been previously discussed, the study was designed with frequent interim analyses, which occur every 25 patients. The interim analysis assesses if predictive probability of success has been reached for the unipolar cohort of the study, at which point the randomized controlled trial enrollment will cease and future patients will be enrolled into the prospective open label longitudinal study for that cohort. After the last patient enrolled into the RCT has completed 12 months of follow-up, a final analysis will be conducted on the complete dataset for that respective cohort. The trial, if successful, will be used to support a peer-reviewed article and reconsideration of reimbursement for VNS Therapy™ by the U.S. Centers for Medicare &amp; Medicaid Services for the treatment of depression that is difficult to treat.</w:t>
      </w:r>
    </w:p>
    <w:p>
      <w:pPr>
        <w:spacing w:after="0" w:line="21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information furnished pursuant to this Current Report on Form 8-K shall not be considered “filed” for purposes of Section 18 of the Securities Exchange Act of 1934, as amended, or otherwise subject to the liabilities of that section, nor shall it be incorporated by reference into any filing by the Company under the Securities Act of 1933, as amended, or under the Securities Exchange Act of 1934, as amended, unless the Company expressly sets forthh by specific reference in such filing that such information is to be considered “filed” or incorporated by reference therein.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280"/>
        <w:spacing w:after="0"/>
        <w:tabs>
          <w:tab w:leader="none" w:pos="5260" w:val="left"/>
        </w:tabs>
        <w:rPr>
          <w:sz w:val="20"/>
          <w:szCs w:val="20"/>
          <w:color w:val="auto"/>
        </w:rPr>
      </w:pPr>
      <w:r>
        <w:rPr>
          <w:rFonts w:ascii="Times New Roman" w:cs="Times New Roman" w:eastAsia="Times New Roman" w:hAnsi="Times New Roman"/>
          <w:sz w:val="18"/>
          <w:szCs w:val="18"/>
          <w:color w:val="auto"/>
        </w:rPr>
        <w:t>Date: January 19,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Chief Legal Officer</w:t>
      </w:r>
    </w:p>
    <w:sectPr>
      <w:pgSz w:w="11900" w:h="16838" w:orient="portrait"/>
      <w:cols w:equalWidth="0" w:num="1">
        <w:col w:w="10940"/>
      </w:cols>
      <w:pgMar w:left="320" w:top="10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2023-01-19T15:24:52Z</dcterms:created>
  <dcterms:modified xsi:type="dcterms:W3CDTF">2023-01-19T15:24:52Z</dcterms:modified>
</cp:coreProperties>
</file>