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-605155</wp:posOffset>
            </wp:positionV>
            <wp:extent cx="8255" cy="605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-613410</wp:posOffset>
            </wp:positionV>
            <wp:extent cx="825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04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-588645</wp:posOffset>
            </wp:positionV>
            <wp:extent cx="1269365" cy="565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651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28575</wp:posOffset>
            </wp:positionV>
            <wp:extent cx="6968490" cy="1612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6129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Skeffington Keyna Pidcock</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LivaNova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LIVN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0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03/01/2021</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0"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1020"/>
        <w:spacing w:after="0"/>
        <w:rPr>
          <w:sz w:val="20"/>
          <w:szCs w:val="20"/>
          <w:color w:val="auto"/>
        </w:rPr>
      </w:pPr>
      <w:r>
        <w:rPr>
          <w:rFonts w:ascii="Arial" w:cs="Arial" w:eastAsia="Arial" w:hAnsi="Arial"/>
          <w:sz w:val="17"/>
          <w:szCs w:val="17"/>
          <w:color w:val="0000FF"/>
        </w:rPr>
        <w:t>General Counsel</w:t>
      </w:r>
    </w:p>
    <w:p>
      <w:pPr>
        <w:spacing w:after="0" w:line="307" w:lineRule="exact"/>
        <w:rPr>
          <w:sz w:val="24"/>
          <w:szCs w:val="24"/>
          <w:color w:val="auto"/>
        </w:rPr>
      </w:pPr>
    </w:p>
    <w:p>
      <w:pPr>
        <w:sectPr>
          <w:pgSz w:w="11900" w:h="16838" w:orient="portrait"/>
          <w:cols w:equalWidth="0" w:num="3">
            <w:col w:w="3200" w:space="720"/>
            <w:col w:w="3100" w:space="720"/>
            <w:col w:w="3340"/>
          </w:cols>
          <w:pgMar w:left="460" w:top="221" w:right="35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980" w:type="dxa"/>
            <w:vAlign w:val="bottom"/>
          </w:tcPr>
          <w:p>
            <w:pPr>
              <w:ind w:left="20"/>
              <w:spacing w:after="0"/>
              <w:rPr>
                <w:sz w:val="20"/>
                <w:szCs w:val="20"/>
                <w:color w:val="auto"/>
              </w:rPr>
            </w:pPr>
            <w:r>
              <w:rPr>
                <w:rFonts w:ascii="Arial" w:cs="Arial" w:eastAsia="Arial" w:hAnsi="Arial"/>
                <w:sz w:val="17"/>
                <w:szCs w:val="17"/>
                <w:color w:val="0000FF"/>
              </w:rPr>
              <w:t>LONDON</w:t>
            </w:r>
          </w:p>
        </w:tc>
        <w:tc>
          <w:tcPr>
            <w:tcW w:w="1080" w:type="dxa"/>
            <w:vAlign w:val="bottom"/>
          </w:tcPr>
          <w:p>
            <w:pPr>
              <w:ind w:left="260"/>
              <w:spacing w:after="0"/>
              <w:rPr>
                <w:sz w:val="20"/>
                <w:szCs w:val="20"/>
                <w:color w:val="auto"/>
              </w:rPr>
            </w:pPr>
            <w:r>
              <w:rPr>
                <w:rFonts w:ascii="Arial" w:cs="Arial" w:eastAsia="Arial" w:hAnsi="Arial"/>
                <w:sz w:val="17"/>
                <w:szCs w:val="17"/>
                <w:color w:val="0000FF"/>
              </w:rPr>
              <w:t>X0</w:t>
            </w:r>
          </w:p>
        </w:tc>
        <w:tc>
          <w:tcPr>
            <w:tcW w:w="1600" w:type="dxa"/>
            <w:vAlign w:val="bottom"/>
          </w:tcPr>
          <w:p>
            <w:pPr>
              <w:ind w:left="400"/>
              <w:spacing w:after="0"/>
              <w:rPr>
                <w:sz w:val="20"/>
                <w:szCs w:val="20"/>
                <w:color w:val="auto"/>
              </w:rPr>
            </w:pPr>
            <w:r>
              <w:rPr>
                <w:rFonts w:ascii="Arial" w:cs="Arial" w:eastAsia="Arial" w:hAnsi="Arial"/>
                <w:sz w:val="17"/>
                <w:szCs w:val="17"/>
                <w:color w:val="0000FF"/>
              </w:rPr>
              <w:t>W2 6LG</w:t>
            </w:r>
          </w:p>
        </w:tc>
      </w:tr>
      <w:tr>
        <w:trPr>
          <w:trHeight w:val="149"/>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8"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-2486660</wp:posOffset>
            </wp:positionH>
            <wp:positionV relativeFrom="paragraph">
              <wp:posOffset>151130</wp:posOffset>
            </wp:positionV>
            <wp:extent cx="6968490" cy="13017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8490" cy="1301750"/>
                    </a:xfrm>
                    <a:prstGeom prst="rect">
                      <a:avLst/>
                    </a:prstGeom>
                    <a:noFill/>
                  </pic:spPr>
                </pic:pic>
              </a:graphicData>
            </a:graphic>
          </wp:anchor>
        </w:drawing>
      </w:r>
    </w:p>
    <w:p>
      <w:pPr>
        <w:spacing w:after="0" w:line="298" w:lineRule="exact"/>
        <w:rPr>
          <w:sz w:val="24"/>
          <w:szCs w:val="24"/>
          <w:color w:val="auto"/>
        </w:rPr>
      </w:pPr>
    </w:p>
    <w:p>
      <w:pPr>
        <w:sectPr>
          <w:pgSz w:w="11900" w:h="16838" w:orient="portrait"/>
          <w:cols w:equalWidth="0" w:num="2">
            <w:col w:w="3760" w:space="160"/>
            <w:col w:w="716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tcPr>
          <w:p>
            <w:pPr>
              <w:ind w:left="660"/>
              <w:spacing w:after="0" w:line="126"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0"/>
                <w:szCs w:val="10"/>
                <w:color w:val="auto"/>
              </w:rPr>
            </w:pPr>
          </w:p>
        </w:tc>
        <w:tc>
          <w:tcPr>
            <w:tcW w:w="1000" w:type="dxa"/>
            <w:vAlign w:val="bottom"/>
            <w:gridSpan w:val="2"/>
          </w:tcPr>
          <w:p>
            <w:pPr>
              <w:ind w:left="40"/>
              <w:spacing w:after="0" w:line="126"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Transaction</w:t>
            </w:r>
          </w:p>
        </w:tc>
        <w:tc>
          <w:tcPr>
            <w:tcW w:w="1840" w:type="dxa"/>
            <w:vAlign w:val="bottom"/>
            <w:gridSpan w:val="3"/>
          </w:tcPr>
          <w:p>
            <w:pPr>
              <w:ind w:left="120"/>
              <w:spacing w:after="0" w:line="126"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0"/>
                <w:szCs w:val="10"/>
                <w:color w:val="auto"/>
              </w:rPr>
            </w:pPr>
          </w:p>
        </w:tc>
        <w:tc>
          <w:tcPr>
            <w:tcW w:w="12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00" w:type="dxa"/>
            <w:vAlign w:val="bottom"/>
            <w:gridSpan w:val="2"/>
          </w:tcPr>
          <w:p>
            <w:pPr>
              <w:ind w:left="660"/>
              <w:spacing w:after="0" w:line="129"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6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4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08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ind w:left="760"/>
              <w:spacing w:after="0"/>
              <w:rPr>
                <w:sz w:val="20"/>
                <w:szCs w:val="20"/>
                <w:color w:val="auto"/>
              </w:rPr>
            </w:pPr>
            <w:r>
              <w:rPr>
                <w:rFonts w:ascii="Arial" w:cs="Arial" w:eastAsia="Arial" w:hAnsi="Arial"/>
                <w:sz w:val="17"/>
                <w:szCs w:val="17"/>
                <w:color w:val="0000FF"/>
              </w:rPr>
              <w:t>03/01/2021</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68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w w:val="93"/>
              </w:rPr>
              <w:t>1,050</w:t>
            </w:r>
          </w:p>
        </w:tc>
        <w:tc>
          <w:tcPr>
            <w:tcW w:w="6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jc w:val="center"/>
              <w:spacing w:after="0" w:line="309"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1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400"/>
              <w:spacing w:after="0"/>
              <w:rPr>
                <w:sz w:val="20"/>
                <w:szCs w:val="20"/>
                <w:color w:val="auto"/>
              </w:rPr>
            </w:pPr>
            <w:r>
              <w:rPr>
                <w:rFonts w:ascii="Arial" w:cs="Arial" w:eastAsia="Arial" w:hAnsi="Arial"/>
                <w:sz w:val="17"/>
                <w:szCs w:val="17"/>
                <w:color w:val="0000FF"/>
              </w:rPr>
              <w:t>4,104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08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ind w:left="760"/>
              <w:spacing w:after="0"/>
              <w:rPr>
                <w:sz w:val="20"/>
                <w:szCs w:val="20"/>
                <w:color w:val="auto"/>
              </w:rPr>
            </w:pPr>
            <w:r>
              <w:rPr>
                <w:rFonts w:ascii="Arial" w:cs="Arial" w:eastAsia="Arial" w:hAnsi="Arial"/>
                <w:sz w:val="17"/>
                <w:szCs w:val="17"/>
                <w:color w:val="0000FF"/>
              </w:rPr>
              <w:t>03/01/2021</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68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w w:val="87"/>
              </w:rPr>
              <w:t>494</w:t>
            </w:r>
            <w:r>
              <w:rPr>
                <w:rFonts w:ascii="Arial" w:cs="Arial" w:eastAsia="Arial" w:hAnsi="Arial"/>
                <w:sz w:val="21"/>
                <w:szCs w:val="21"/>
                <w:color w:val="008000"/>
                <w:w w:val="87"/>
                <w:vertAlign w:val="superscript"/>
              </w:rPr>
              <w:t>(2)</w:t>
            </w:r>
          </w:p>
        </w:tc>
        <w:tc>
          <w:tcPr>
            <w:tcW w:w="6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66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76.74</w:t>
            </w:r>
          </w:p>
        </w:tc>
        <w:tc>
          <w:tcPr>
            <w:tcW w:w="1200" w:type="dxa"/>
            <w:vAlign w:val="bottom"/>
            <w:tcBorders>
              <w:bottom w:val="single" w:sz="8" w:color="2C2C2C"/>
            </w:tcBorders>
            <w:gridSpan w:val="2"/>
          </w:tcPr>
          <w:p>
            <w:pPr>
              <w:ind w:left="400"/>
              <w:spacing w:after="0"/>
              <w:rPr>
                <w:sz w:val="20"/>
                <w:szCs w:val="20"/>
                <w:color w:val="auto"/>
              </w:rPr>
            </w:pPr>
            <w:r>
              <w:rPr>
                <w:rFonts w:ascii="Arial" w:cs="Arial" w:eastAsia="Arial" w:hAnsi="Arial"/>
                <w:sz w:val="17"/>
                <w:szCs w:val="17"/>
                <w:color w:val="0000FF"/>
              </w:rPr>
              <w:t>3,610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40" w:type="dxa"/>
            <w:vAlign w:val="bottom"/>
            <w:tcBorders>
              <w:top w:val="single" w:sz="8" w:color="2C2C2C"/>
            </w:tcBorders>
            <w:gridSpan w:val="12"/>
          </w:tcPr>
          <w:p>
            <w:pPr>
              <w:ind w:left="9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320" w:type="dxa"/>
            <w:vAlign w:val="bottom"/>
            <w:gridSpan w:val="9"/>
          </w:tcPr>
          <w:p>
            <w:pPr>
              <w:ind w:left="5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80" w:type="dxa"/>
            <w:vAlign w:val="bottom"/>
          </w:tcPr>
          <w:p>
            <w:pPr>
              <w:ind w:left="60"/>
              <w:spacing w:after="0"/>
              <w:rPr>
                <w:sz w:val="20"/>
                <w:szCs w:val="20"/>
                <w:color w:val="auto"/>
              </w:rPr>
            </w:pPr>
            <w:r>
              <w:rPr>
                <w:rFonts w:ascii="Arial" w:cs="Arial" w:eastAsia="Arial" w:hAnsi="Arial"/>
                <w:sz w:val="13"/>
                <w:szCs w:val="13"/>
                <w:color w:val="0000FF"/>
                <w:w w:val="94"/>
              </w:rPr>
              <w:t>Performance</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1080" w:type="dxa"/>
            <w:vAlign w:val="bottom"/>
            <w:vMerge w:val="restart"/>
          </w:tcPr>
          <w:p>
            <w:pPr>
              <w:ind w:left="260"/>
              <w:spacing w:after="0"/>
              <w:rPr>
                <w:sz w:val="20"/>
                <w:szCs w:val="20"/>
                <w:color w:val="auto"/>
              </w:rPr>
            </w:pPr>
            <w:r>
              <w:rPr>
                <w:rFonts w:ascii="Arial" w:cs="Arial" w:eastAsia="Arial" w:hAnsi="Arial"/>
                <w:sz w:val="13"/>
                <w:szCs w:val="13"/>
                <w:color w:val="0000FF"/>
              </w:rPr>
              <w:t>03/01/2021</w:t>
            </w:r>
          </w:p>
        </w:tc>
        <w:tc>
          <w:tcPr>
            <w:tcW w:w="1100" w:type="dxa"/>
            <w:vAlign w:val="bottom"/>
          </w:tcPr>
          <w:p>
            <w:pPr>
              <w:spacing w:after="0"/>
              <w:rPr>
                <w:sz w:val="16"/>
                <w:szCs w:val="16"/>
                <w:color w:val="auto"/>
              </w:rPr>
            </w:pPr>
          </w:p>
        </w:tc>
        <w:tc>
          <w:tcPr>
            <w:tcW w:w="60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200" w:type="dxa"/>
            <w:vAlign w:val="bottom"/>
          </w:tcPr>
          <w:p>
            <w:pPr>
              <w:spacing w:after="0"/>
              <w:rPr>
                <w:sz w:val="16"/>
                <w:szCs w:val="16"/>
                <w:color w:val="auto"/>
              </w:rPr>
            </w:pPr>
          </w:p>
        </w:tc>
        <w:tc>
          <w:tcPr>
            <w:tcW w:w="800" w:type="dxa"/>
            <w:vAlign w:val="bottom"/>
            <w:vMerge w:val="restart"/>
          </w:tcPr>
          <w:p>
            <w:pPr>
              <w:ind w:left="380"/>
              <w:spacing w:after="0"/>
              <w:rPr>
                <w:sz w:val="20"/>
                <w:szCs w:val="20"/>
                <w:color w:val="auto"/>
              </w:rPr>
            </w:pPr>
            <w:r>
              <w:rPr>
                <w:rFonts w:ascii="Arial" w:cs="Arial" w:eastAsia="Arial" w:hAnsi="Arial"/>
                <w:sz w:val="13"/>
                <w:szCs w:val="13"/>
                <w:color w:val="0000FF"/>
              </w:rPr>
              <w:t>1,050</w:t>
            </w:r>
          </w:p>
        </w:tc>
        <w:tc>
          <w:tcPr>
            <w:tcW w:w="780" w:type="dxa"/>
            <w:vAlign w:val="bottom"/>
            <w:gridSpan w:val="2"/>
            <w:vMerge w:val="restart"/>
          </w:tcPr>
          <w:p>
            <w:pPr>
              <w:ind w:left="260"/>
              <w:spacing w:after="0"/>
              <w:rPr>
                <w:sz w:val="20"/>
                <w:szCs w:val="20"/>
                <w:color w:val="auto"/>
              </w:rPr>
            </w:pPr>
            <w:r>
              <w:rPr>
                <w:rFonts w:ascii="Arial" w:cs="Arial" w:eastAsia="Arial" w:hAnsi="Arial"/>
                <w:sz w:val="11"/>
                <w:szCs w:val="11"/>
                <w:color w:val="008000"/>
              </w:rPr>
              <w:t>(4)</w:t>
            </w:r>
          </w:p>
        </w:tc>
        <w:tc>
          <w:tcPr>
            <w:tcW w:w="680" w:type="dxa"/>
            <w:vAlign w:val="bottom"/>
            <w:vMerge w:val="restart"/>
          </w:tcPr>
          <w:p>
            <w:pPr>
              <w:ind w:left="220"/>
              <w:spacing w:after="0"/>
              <w:rPr>
                <w:sz w:val="20"/>
                <w:szCs w:val="20"/>
                <w:color w:val="auto"/>
              </w:rPr>
            </w:pPr>
            <w:r>
              <w:rPr>
                <w:rFonts w:ascii="Arial" w:cs="Arial" w:eastAsia="Arial" w:hAnsi="Arial"/>
                <w:sz w:val="11"/>
                <w:szCs w:val="11"/>
                <w:color w:val="008000"/>
              </w:rPr>
              <w:t>(4)</w:t>
            </w:r>
          </w:p>
        </w:tc>
        <w:tc>
          <w:tcPr>
            <w:tcW w:w="640" w:type="dxa"/>
            <w:vAlign w:val="bottom"/>
          </w:tcPr>
          <w:p>
            <w:pPr>
              <w:ind w:left="4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1,050</w:t>
            </w:r>
          </w:p>
        </w:tc>
        <w:tc>
          <w:tcPr>
            <w:tcW w:w="140" w:type="dxa"/>
            <w:vAlign w:val="bottom"/>
          </w:tcPr>
          <w:p>
            <w:pPr>
              <w:spacing w:after="0"/>
              <w:rPr>
                <w:sz w:val="16"/>
                <w:szCs w:val="16"/>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vMerge w:val="restart"/>
          </w:tcPr>
          <w:p>
            <w:pPr>
              <w:ind w:left="320"/>
              <w:spacing w:after="0"/>
              <w:rPr>
                <w:sz w:val="20"/>
                <w:szCs w:val="20"/>
                <w:color w:val="auto"/>
              </w:rPr>
            </w:pPr>
            <w:r>
              <w:rPr>
                <w:rFonts w:ascii="Arial" w:cs="Arial" w:eastAsia="Arial" w:hAnsi="Arial"/>
                <w:sz w:val="25"/>
                <w:szCs w:val="25"/>
                <w:color w:val="0000FF"/>
                <w:vertAlign w:val="subscript"/>
              </w:rPr>
              <w:t>0</w:t>
            </w:r>
            <w:r>
              <w:rPr>
                <w:rFonts w:ascii="Arial" w:cs="Arial" w:eastAsia="Arial" w:hAnsi="Arial"/>
                <w:sz w:val="11"/>
                <w:szCs w:val="11"/>
                <w:color w:val="008000"/>
              </w:rPr>
              <w:t>(5)</w:t>
            </w:r>
          </w:p>
        </w:tc>
        <w:tc>
          <w:tcPr>
            <w:tcW w:w="280" w:type="dxa"/>
            <w:vAlign w:val="bottom"/>
          </w:tcPr>
          <w:p>
            <w:pPr>
              <w:spacing w:after="0"/>
              <w:rPr>
                <w:sz w:val="16"/>
                <w:szCs w:val="16"/>
                <w:color w:val="auto"/>
              </w:rPr>
            </w:pPr>
          </w:p>
        </w:tc>
        <w:tc>
          <w:tcPr>
            <w:tcW w:w="66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80" w:type="dxa"/>
            <w:vAlign w:val="bottom"/>
            <w:vMerge w:val="restart"/>
          </w:tcPr>
          <w:p>
            <w:pPr>
              <w:ind w:left="60"/>
              <w:spacing w:after="0"/>
              <w:rPr>
                <w:sz w:val="20"/>
                <w:szCs w:val="20"/>
                <w:color w:val="auto"/>
              </w:rPr>
            </w:pPr>
            <w:r>
              <w:rPr>
                <w:rFonts w:ascii="Arial" w:cs="Arial" w:eastAsia="Arial" w:hAnsi="Arial"/>
                <w:sz w:val="13"/>
                <w:szCs w:val="13"/>
                <w:color w:val="0000FF"/>
              </w:rPr>
              <w:t>Stock Units</w:t>
            </w:r>
          </w:p>
        </w:tc>
        <w:tc>
          <w:tcPr>
            <w:tcW w:w="7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40" w:type="dxa"/>
            <w:vAlign w:val="bottom"/>
            <w:vMerge w:val="restart"/>
          </w:tcPr>
          <w:p>
            <w:pPr>
              <w:ind w:left="100"/>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-1955800</wp:posOffset>
            </wp:positionV>
            <wp:extent cx="7033895" cy="19977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895" cy="1997710"/>
                    </a:xfrm>
                    <a:prstGeom prst="rect">
                      <a:avLst/>
                    </a:prstGeom>
                    <a:noFill/>
                  </pic:spPr>
                </pic:pic>
              </a:graphicData>
            </a:graphic>
          </wp:anchor>
        </w:drawing>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had vested performance stock units (PSUs) settled in ordinary shares of LivaNova PLC (the Company), GBP 1.00 par value.</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referenced shares were withheld from distribution at the request of reporting person to satisfy tax liability.</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PSU represents a contingent right to receive one ordinary share of the Company in accordance with the terms of the LivaNova PLC 2015 Incentive Award Plan (the Plan) and the award agreement.</w:t>
      </w:r>
    </w:p>
    <w:p>
      <w:pPr>
        <w:spacing w:after="0" w:line="55" w:lineRule="exact"/>
        <w:rPr>
          <w:rFonts w:ascii="Arial" w:cs="Arial" w:eastAsia="Arial" w:hAnsi="Arial"/>
          <w:sz w:val="12"/>
          <w:szCs w:val="12"/>
          <w:color w:val="008000"/>
        </w:rPr>
      </w:pPr>
    </w:p>
    <w:p>
      <w:pPr>
        <w:ind w:left="40" w:right="22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15, 2018, reporting person was granted PSUs to vest or lapse on the filing of the Company's 2020 Form 10-K based on how the Company's cumulative adjusted free cash flow for fiscal years 2018, 2019 and 2020 compares to a target.</w:t>
      </w:r>
    </w:p>
    <w:p>
      <w:pPr>
        <w:spacing w:after="0" w:line="25"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number reflects the number of derivative securities beneficially owned following reported transaction for this specific grant.</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Arial" w:cs="Arial" w:eastAsia="Arial" w:hAnsi="Arial"/>
                <w:sz w:val="17"/>
                <w:szCs w:val="17"/>
                <w:color w:val="0000FF"/>
              </w:rPr>
              <w:t>/s/ Sarah K. Mohr, POA</w:t>
            </w:r>
          </w:p>
        </w:tc>
        <w:tc>
          <w:tcPr>
            <w:tcW w:w="760" w:type="dxa"/>
            <w:vAlign w:val="bottom"/>
          </w:tcPr>
          <w:p>
            <w:pPr>
              <w:spacing w:after="0"/>
              <w:rPr>
                <w:sz w:val="20"/>
                <w:szCs w:val="20"/>
                <w:color w:val="auto"/>
              </w:rPr>
            </w:pPr>
            <w:r>
              <w:rPr>
                <w:rFonts w:ascii="Arial" w:cs="Arial" w:eastAsia="Arial" w:hAnsi="Arial"/>
                <w:sz w:val="17"/>
                <w:szCs w:val="17"/>
                <w:color w:val="0000FF"/>
                <w:w w:val="86"/>
              </w:rPr>
              <w:t>03/03/2021</w:t>
            </w:r>
          </w:p>
        </w:tc>
      </w:tr>
      <w:tr>
        <w:trPr>
          <w:trHeight w:val="20"/>
        </w:trPr>
        <w:tc>
          <w:tcPr>
            <w:tcW w:w="16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1" w:right="359" w:bottom="144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19"/>
          <w:szCs w:val="19"/>
          <w:b w:val="1"/>
          <w:bCs w:val="1"/>
          <w:u w:val="single" w:color="auto"/>
          <w:color w:val="auto"/>
        </w:rPr>
        <w:t>POWER OF ATTORNEY</w:t>
      </w:r>
    </w:p>
    <w:p>
      <w:pPr>
        <w:spacing w:after="0" w:line="213" w:lineRule="exact"/>
        <w:rPr>
          <w:sz w:val="20"/>
          <w:szCs w:val="20"/>
          <w:color w:val="auto"/>
        </w:rPr>
      </w:pPr>
    </w:p>
    <w:p>
      <w:pPr>
        <w:ind w:right="80" w:firstLine="619"/>
        <w:spacing w:after="0" w:line="330" w:lineRule="auto"/>
        <w:rPr>
          <w:sz w:val="20"/>
          <w:szCs w:val="20"/>
          <w:color w:val="auto"/>
        </w:rPr>
      </w:pPr>
      <w:r>
        <w:rPr>
          <w:rFonts w:ascii="Arial" w:cs="Arial" w:eastAsia="Arial" w:hAnsi="Arial"/>
          <w:sz w:val="17"/>
          <w:szCs w:val="17"/>
          <w:color w:val="auto"/>
        </w:rPr>
        <w:t>Know all by these presents, that the undersigned hereby constitutes and appoints each of (i) the Chief Executive Officer of LivaNova PLC, a public limited company organized under the laws of England and Wales (the “Company”), who is currently Damien McDonald, (ii) the Company’s Chief Financial Officer, who is currently Thad Huston, (iii) the Company’s Company Secretary, who is currently Catherine Moroz, and any Deputy Company Secretary or internal counsel to the Company, and (iv) the Company’s Chief Administrative Officer, who is currently David S. Wise, and their respective successors, signing singly, the undersigned’s true and lawful attorney-in-fact to:</w:t>
      </w:r>
    </w:p>
    <w:p>
      <w:pPr>
        <w:spacing w:after="0" w:line="113" w:lineRule="exact"/>
        <w:rPr>
          <w:sz w:val="20"/>
          <w:szCs w:val="20"/>
          <w:color w:val="auto"/>
        </w:rPr>
      </w:pPr>
    </w:p>
    <w:p>
      <w:pPr>
        <w:ind w:left="1240" w:right="20" w:hanging="618"/>
        <w:spacing w:after="0" w:line="318" w:lineRule="auto"/>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 director or officer of the Company, Forms 3 and 4 (including amendments thereto) in accordance with Section 16(a) of the Securities Exchange Act of 1934 and the rules and regulations thereunder and a Form ID, Uniform Application for Access Codes to File on EDGAR;</w:t>
      </w:r>
    </w:p>
    <w:p>
      <w:pPr>
        <w:spacing w:after="0" w:line="118" w:lineRule="exact"/>
        <w:rPr>
          <w:rFonts w:ascii="Arial" w:cs="Arial" w:eastAsia="Arial" w:hAnsi="Arial"/>
          <w:sz w:val="18"/>
          <w:szCs w:val="18"/>
          <w:color w:val="auto"/>
        </w:rPr>
      </w:pPr>
    </w:p>
    <w:p>
      <w:pPr>
        <w:ind w:left="1240" w:right="20" w:hanging="618"/>
        <w:spacing w:after="0" w:line="318" w:lineRule="auto"/>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executed any such Forms 3 or 4 or Form ID and timely file such forms (including amendments thereto) and application with the United States Securities and Exchange Commission and any stock exchange or similar authority; and</w:t>
      </w:r>
    </w:p>
    <w:p>
      <w:pPr>
        <w:spacing w:after="0" w:line="118" w:lineRule="exact"/>
        <w:rPr>
          <w:rFonts w:ascii="Arial" w:cs="Arial" w:eastAsia="Arial" w:hAnsi="Arial"/>
          <w:sz w:val="18"/>
          <w:szCs w:val="18"/>
          <w:color w:val="auto"/>
        </w:rPr>
      </w:pPr>
    </w:p>
    <w:p>
      <w:pPr>
        <w:ind w:left="1240" w:right="280" w:hanging="618"/>
        <w:spacing w:after="0" w:line="335" w:lineRule="auto"/>
        <w:tabs>
          <w:tab w:leader="none" w:pos="12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08" w:lineRule="exact"/>
        <w:rPr>
          <w:sz w:val="20"/>
          <w:szCs w:val="20"/>
          <w:color w:val="auto"/>
        </w:rPr>
      </w:pPr>
    </w:p>
    <w:p>
      <w:pPr>
        <w:ind w:right="260" w:firstLine="619"/>
        <w:spacing w:after="0" w:line="305"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32" w:lineRule="exact"/>
        <w:rPr>
          <w:sz w:val="20"/>
          <w:szCs w:val="20"/>
          <w:color w:val="auto"/>
        </w:rPr>
      </w:pPr>
    </w:p>
    <w:p>
      <w:pPr>
        <w:ind w:firstLine="619"/>
        <w:spacing w:after="0" w:line="287" w:lineRule="auto"/>
        <w:rPr>
          <w:sz w:val="20"/>
          <w:szCs w:val="20"/>
          <w:color w:val="auto"/>
        </w:rPr>
      </w:pPr>
      <w:r>
        <w:rPr>
          <w:rFonts w:ascii="Arial" w:cs="Arial" w:eastAsia="Arial" w:hAnsi="Arial"/>
          <w:sz w:val="19"/>
          <w:szCs w:val="19"/>
          <w:color w:val="auto"/>
        </w:rPr>
        <w:t>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attorney-in-fact for purposes of executing, acknowledging, delivering or filing Forms 3 or 4 (including amendments thereto) or Form ID and agrees to reimburse the Company and such attorney-in-fact for any legal or other expenses reasonably incurred in connection with investigating or defending against any such loss, claim, damage, liability or action.</w:t>
      </w:r>
    </w:p>
    <w:p>
      <w:pPr>
        <w:spacing w:after="0" w:line="144" w:lineRule="exact"/>
        <w:rPr>
          <w:sz w:val="20"/>
          <w:szCs w:val="20"/>
          <w:color w:val="auto"/>
        </w:rPr>
      </w:pPr>
    </w:p>
    <w:p>
      <w:pPr>
        <w:ind w:firstLine="619"/>
        <w:spacing w:after="0" w:line="337" w:lineRule="auto"/>
        <w:rPr>
          <w:sz w:val="20"/>
          <w:szCs w:val="20"/>
          <w:color w:val="auto"/>
        </w:rPr>
      </w:pPr>
      <w:r>
        <w:rPr>
          <w:rFonts w:ascii="Arial" w:cs="Arial" w:eastAsia="Arial" w:hAnsi="Arial"/>
          <w:sz w:val="18"/>
          <w:szCs w:val="18"/>
          <w:color w:val="auto"/>
        </w:rPr>
        <w:t>This Power of Attorney supersedes any power of attorney previously executed by the undersigned regarding the purposes outlined in the first paragraph hereof, and the authority of the attorneys-in-fact named in any such power of attorney is hereby revoked.</w:t>
      </w:r>
    </w:p>
    <w:p>
      <w:pPr>
        <w:spacing w:after="0" w:line="102" w:lineRule="exact"/>
        <w:rPr>
          <w:sz w:val="20"/>
          <w:szCs w:val="20"/>
          <w:color w:val="auto"/>
        </w:rPr>
      </w:pPr>
    </w:p>
    <w:p>
      <w:pPr>
        <w:ind w:right="80" w:firstLine="619"/>
        <w:spacing w:after="0" w:line="291" w:lineRule="auto"/>
        <w:rPr>
          <w:sz w:val="20"/>
          <w:szCs w:val="20"/>
          <w:color w:val="auto"/>
        </w:rPr>
      </w:pPr>
      <w:r>
        <w:rPr>
          <w:rFonts w:ascii="Arial" w:cs="Arial" w:eastAsia="Arial" w:hAnsi="Arial"/>
          <w:sz w:val="19"/>
          <w:szCs w:val="19"/>
          <w:color w:val="auto"/>
        </w:rPr>
        <w:t>This Power of Attorney shall remain in full force and effect until the undersigned is no longer required to file Forms 3 or 4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the first paragraph hereof dated as of a later date.</w:t>
      </w:r>
    </w:p>
    <w:p>
      <w:pPr>
        <w:spacing w:after="0" w:line="14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18th day of July, 2017.</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960"/>
        <w:spacing w:after="0"/>
        <w:rPr>
          <w:sz w:val="20"/>
          <w:szCs w:val="20"/>
          <w:color w:val="auto"/>
        </w:rPr>
      </w:pPr>
      <w:r>
        <w:rPr>
          <w:rFonts w:ascii="Arial" w:cs="Arial" w:eastAsia="Arial" w:hAnsi="Arial"/>
          <w:sz w:val="19"/>
          <w:szCs w:val="19"/>
          <w:color w:val="auto"/>
        </w:rPr>
        <w:t>/s/ Keyna Skeffington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3146425</wp:posOffset>
            </wp:positionH>
            <wp:positionV relativeFrom="paragraph">
              <wp:posOffset>-12700</wp:posOffset>
            </wp:positionV>
            <wp:extent cx="14109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410970" cy="8255"/>
                    </a:xfrm>
                    <a:prstGeom prst="rect">
                      <a:avLst/>
                    </a:prstGeom>
                    <a:noFill/>
                  </pic:spPr>
                </pic:pic>
              </a:graphicData>
            </a:graphic>
          </wp:anchor>
        </w:drawing>
      </w:r>
    </w:p>
    <w:p>
      <w:pPr>
        <w:ind w:left="4960"/>
        <w:spacing w:after="0"/>
        <w:rPr>
          <w:sz w:val="20"/>
          <w:szCs w:val="20"/>
          <w:color w:val="auto"/>
        </w:rPr>
      </w:pPr>
      <w:r>
        <w:rPr>
          <w:rFonts w:ascii="Arial" w:cs="Arial" w:eastAsia="Arial" w:hAnsi="Arial"/>
          <w:sz w:val="19"/>
          <w:szCs w:val="19"/>
          <w:color w:val="auto"/>
        </w:rPr>
        <w:t>Keyna Skeffington</w:t>
      </w:r>
    </w:p>
    <w:sectPr>
      <w:pgSz w:w="11900" w:h="16838" w:orient="portrait"/>
      <w:cols w:equalWidth="0" w:num="1">
        <w:col w:w="10940"/>
      </w:cols>
      <w:pgMar w:left="460" w:top="349"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12880" TargetMode="External"/><Relationship Id="rId14"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2021-03-03T18:27:24Z</dcterms:created>
  <dcterms:modified xsi:type="dcterms:W3CDTF">2021-03-03T18:27:24Z</dcterms:modified>
</cp:coreProperties>
</file>