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Barry James Christopher</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12/15/2024</w:t>
      </w:r>
    </w:p>
    <w:p>
      <w:pPr>
        <w:spacing w:after="0" w:line="20" w:lineRule="exact"/>
        <w:rPr>
          <w:sz w:val="24"/>
          <w:szCs w:val="24"/>
          <w:color w:val="auto"/>
        </w:rPr>
      </w:pPr>
      <w:r>
        <w:rPr>
          <w:sz w:val="24"/>
          <w:szCs w:val="24"/>
          <w:color w:val="auto"/>
        </w:rPr>
        <w:br w:type="column"/>
      </w:r>
    </w:p>
    <w:p>
      <w:pPr>
        <w:ind w:left="5" w:right="600" w:hanging="5"/>
        <w:spacing w:after="0" w:line="265"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12/15/2024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9"/>
              </w:rPr>
              <w:t>1,709</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1,709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12/15/2024</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200"/>
              <w:spacing w:after="0" w:line="312" w:lineRule="exact"/>
              <w:rPr>
                <w:sz w:val="20"/>
                <w:szCs w:val="20"/>
                <w:color w:val="auto"/>
              </w:rPr>
            </w:pPr>
            <w:r>
              <w:rPr>
                <w:rFonts w:ascii="Times New Roman" w:cs="Times New Roman" w:eastAsia="Times New Roman" w:hAnsi="Times New Roman"/>
                <w:sz w:val="33"/>
                <w:szCs w:val="33"/>
                <w:color w:val="0000FF"/>
                <w:w w:val="82"/>
                <w:vertAlign w:val="subscript"/>
              </w:rPr>
              <w:t>353</w:t>
            </w:r>
            <w:r>
              <w:rPr>
                <w:rFonts w:ascii="Times New Roman" w:cs="Times New Roman" w:eastAsia="Times New Roman" w:hAnsi="Times New Roman"/>
                <w:sz w:val="11"/>
                <w:szCs w:val="11"/>
                <w:color w:val="008000"/>
                <w:w w:val="82"/>
              </w:rPr>
              <w:t>(2)</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51.5</w:t>
            </w:r>
          </w:p>
        </w:tc>
        <w:tc>
          <w:tcPr>
            <w:tcW w:w="130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1,356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0000FF"/>
              </w:rPr>
              <w:t>1,709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12/15/2024</w:t>
            </w:r>
          </w:p>
        </w:tc>
        <w:tc>
          <w:tcPr>
            <w:tcW w:w="108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1,709</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jc w:val="right"/>
              <w:ind w:right="136"/>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December 15, 2023, reporting person was granted RSUs subject to a one-year vesting schedule, which occurred on December 15, 2024. The RSUs are subject to forfeiture prior to vesting in accordance with the terms of the Plan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12/17/2024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5694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2024-12-17T16:27:13Z</dcterms:created>
  <dcterms:modified xsi:type="dcterms:W3CDTF">2024-12-17T16:27:13Z</dcterms:modified>
</cp:coreProperties>
</file>