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19"/>
        <w:spacing w:after="0"/>
        <w:rPr>
          <w:sz w:val="20"/>
          <w:szCs w:val="20"/>
          <w:color w:val="auto"/>
        </w:rPr>
      </w:pPr>
      <w:r>
        <w:rPr>
          <w:rFonts w:ascii="Arial" w:cs="Arial" w:eastAsia="Arial" w:hAnsi="Arial"/>
          <w:sz w:val="22"/>
          <w:szCs w:val="22"/>
          <w:b w:val="1"/>
          <w:bCs w:val="1"/>
          <w:color w:val="auto"/>
        </w:rPr>
        <w:t>UNITED STATES</w:t>
      </w:r>
    </w:p>
    <w:p>
      <w:pPr>
        <w:spacing w:after="0" w:line="166" w:lineRule="exact"/>
        <w:rPr>
          <w:sz w:val="24"/>
          <w:szCs w:val="24"/>
          <w:color w:val="auto"/>
        </w:rPr>
      </w:pPr>
    </w:p>
    <w:p>
      <w:pPr>
        <w:jc w:val="center"/>
        <w:ind w:right="-1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66" w:lineRule="exact"/>
        <w:rPr>
          <w:sz w:val="24"/>
          <w:szCs w:val="24"/>
          <w:color w:val="auto"/>
        </w:rPr>
      </w:pPr>
    </w:p>
    <w:p>
      <w:pPr>
        <w:jc w:val="center"/>
        <w:ind w:right="-12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4" w:lineRule="exact"/>
        <w:rPr>
          <w:sz w:val="24"/>
          <w:szCs w:val="24"/>
          <w:color w:val="auto"/>
        </w:rPr>
      </w:pPr>
    </w:p>
    <w:p>
      <w:pPr>
        <w:jc w:val="center"/>
        <w:ind w:right="-1219"/>
        <w:spacing w:after="0"/>
        <w:rPr>
          <w:sz w:val="20"/>
          <w:szCs w:val="20"/>
          <w:color w:val="auto"/>
        </w:rPr>
      </w:pPr>
      <w:r>
        <w:rPr>
          <w:rFonts w:ascii="Arial" w:cs="Arial" w:eastAsia="Arial" w:hAnsi="Arial"/>
          <w:sz w:val="22"/>
          <w:szCs w:val="22"/>
          <w:b w:val="1"/>
          <w:bCs w:val="1"/>
          <w:color w:val="auto"/>
        </w:rPr>
        <w:t>FORM 12b-25</w:t>
      </w:r>
    </w:p>
    <w:p>
      <w:pPr>
        <w:spacing w:after="0" w:line="166" w:lineRule="exact"/>
        <w:rPr>
          <w:sz w:val="24"/>
          <w:szCs w:val="24"/>
          <w:color w:val="auto"/>
        </w:rPr>
      </w:pPr>
    </w:p>
    <w:p>
      <w:pPr>
        <w:jc w:val="center"/>
        <w:ind w:right="-1219"/>
        <w:spacing w:after="0"/>
        <w:rPr>
          <w:sz w:val="20"/>
          <w:szCs w:val="20"/>
          <w:color w:val="auto"/>
        </w:rPr>
      </w:pPr>
      <w:r>
        <w:rPr>
          <w:rFonts w:ascii="Arial" w:cs="Arial" w:eastAsia="Arial" w:hAnsi="Arial"/>
          <w:sz w:val="22"/>
          <w:szCs w:val="22"/>
          <w:b w:val="1"/>
          <w:bCs w:val="1"/>
          <w:color w:val="auto"/>
        </w:rPr>
        <w:t>NOTIFICATION OF LATE FILING</w:t>
      </w:r>
    </w:p>
    <w:p>
      <w:pPr>
        <w:spacing w:after="0" w:line="200" w:lineRule="exact"/>
        <w:rPr>
          <w:sz w:val="24"/>
          <w:szCs w:val="24"/>
          <w:color w:val="auto"/>
        </w:rPr>
      </w:pPr>
    </w:p>
    <w:p>
      <w:pPr>
        <w:spacing w:after="0" w:line="350" w:lineRule="exact"/>
        <w:rPr>
          <w:sz w:val="24"/>
          <w:szCs w:val="24"/>
          <w:color w:val="auto"/>
        </w:rPr>
      </w:pPr>
    </w:p>
    <w:p>
      <w:pPr>
        <w:jc w:val="center"/>
        <w:ind w:right="-1219"/>
        <w:spacing w:after="0"/>
        <w:rPr>
          <w:sz w:val="20"/>
          <w:szCs w:val="20"/>
          <w:color w:val="auto"/>
        </w:rPr>
      </w:pPr>
      <w:r>
        <w:rPr>
          <w:rFonts w:ascii="Arial" w:cs="Arial" w:eastAsia="Arial" w:hAnsi="Arial"/>
          <w:sz w:val="22"/>
          <w:szCs w:val="22"/>
          <w:color w:val="auto"/>
        </w:rPr>
        <w:t>SEC FILE NUMBER: 001-375999</w:t>
      </w:r>
    </w:p>
    <w:p>
      <w:pPr>
        <w:spacing w:after="0" w:line="166" w:lineRule="exact"/>
        <w:rPr>
          <w:sz w:val="24"/>
          <w:szCs w:val="24"/>
          <w:color w:val="auto"/>
        </w:rPr>
      </w:pPr>
    </w:p>
    <w:p>
      <w:pPr>
        <w:jc w:val="center"/>
        <w:ind w:right="-1219"/>
        <w:spacing w:after="0"/>
        <w:rPr>
          <w:sz w:val="20"/>
          <w:szCs w:val="20"/>
          <w:color w:val="auto"/>
        </w:rPr>
      </w:pPr>
      <w:r>
        <w:rPr>
          <w:rFonts w:ascii="Arial" w:cs="Arial" w:eastAsia="Arial" w:hAnsi="Arial"/>
          <w:sz w:val="22"/>
          <w:szCs w:val="22"/>
          <w:color w:val="auto"/>
        </w:rPr>
        <w:t>CUSIP NUMBER: G5509L 101</w:t>
      </w:r>
    </w:p>
    <w:p>
      <w:pPr>
        <w:spacing w:after="0" w:line="314" w:lineRule="exact"/>
        <w:rPr>
          <w:sz w:val="24"/>
          <w:szCs w:val="24"/>
          <w:color w:val="auto"/>
        </w:rPr>
      </w:pPr>
    </w:p>
    <w:p>
      <w:pPr>
        <w:ind w:left="3380"/>
        <w:spacing w:after="0"/>
        <w:rPr>
          <w:sz w:val="20"/>
          <w:szCs w:val="20"/>
          <w:color w:val="auto"/>
        </w:rPr>
      </w:pPr>
      <w:r>
        <w:rPr>
          <w:rFonts w:ascii="Arial" w:cs="Arial" w:eastAsia="Arial" w:hAnsi="Arial"/>
          <w:sz w:val="22"/>
          <w:szCs w:val="22"/>
          <w:color w:val="auto"/>
        </w:rPr>
        <w:t>(Check One): o Form 10-K o Form 20-F o Form 11-K</w:t>
      </w:r>
    </w:p>
    <w:p>
      <w:pPr>
        <w:spacing w:after="0" w:line="126" w:lineRule="exact"/>
        <w:rPr>
          <w:sz w:val="24"/>
          <w:szCs w:val="24"/>
          <w:color w:val="auto"/>
        </w:rPr>
      </w:pPr>
    </w:p>
    <w:p>
      <w:pPr>
        <w:ind w:left="3900" w:hanging="253"/>
        <w:spacing w:after="0" w:line="253" w:lineRule="exact"/>
        <w:tabs>
          <w:tab w:leader="none" w:pos="3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 xml:space="preserve">Form 10-Q </w:t>
      </w:r>
      <w:r>
        <w:rPr>
          <w:rFonts w:ascii="MS PGothic" w:cs="MS PGothic" w:eastAsia="MS PGothic" w:hAnsi="MS PGothic"/>
          <w:sz w:val="22"/>
          <w:szCs w:val="22"/>
          <w:color w:val="auto"/>
        </w:rPr>
        <w:t>☐</w:t>
      </w:r>
      <w:r>
        <w:rPr>
          <w:rFonts w:ascii="Arial" w:cs="Arial" w:eastAsia="Arial" w:hAnsi="Arial"/>
          <w:sz w:val="22"/>
          <w:szCs w:val="22"/>
          <w:color w:val="auto"/>
        </w:rPr>
        <w:t xml:space="preserve"> Form N-SAR </w:t>
      </w:r>
      <w:r>
        <w:rPr>
          <w:rFonts w:ascii="MS PGothic" w:cs="MS PGothic" w:eastAsia="MS PGothic" w:hAnsi="MS PGothic"/>
          <w:sz w:val="22"/>
          <w:szCs w:val="22"/>
          <w:color w:val="auto"/>
        </w:rPr>
        <w:t>☐</w:t>
      </w:r>
      <w:r>
        <w:rPr>
          <w:rFonts w:ascii="Arial" w:cs="Arial" w:eastAsia="Arial" w:hAnsi="Arial"/>
          <w:sz w:val="22"/>
          <w:szCs w:val="22"/>
          <w:color w:val="auto"/>
        </w:rPr>
        <w:t xml:space="preserve"> Form N-CSR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For transitional Period Ended: October 18, 2015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4660" w:hanging="233"/>
        <w:spacing w:after="0"/>
        <w:tabs>
          <w:tab w:leader="none" w:pos="4660" w:val="left"/>
        </w:tabs>
        <w:numPr>
          <w:ilvl w:val="1"/>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on Form 10-K</w:t>
      </w:r>
    </w:p>
    <w:p>
      <w:pPr>
        <w:spacing w:after="0" w:line="83" w:lineRule="exact"/>
        <w:rPr>
          <w:rFonts w:ascii="MS PGothic" w:cs="MS PGothic" w:eastAsia="MS PGothic" w:hAnsi="MS PGothic"/>
          <w:sz w:val="22"/>
          <w:szCs w:val="22"/>
          <w:color w:val="auto"/>
        </w:rPr>
      </w:pPr>
    </w:p>
    <w:p>
      <w:pPr>
        <w:ind w:left="4680" w:hanging="238"/>
        <w:spacing w:after="0"/>
        <w:tabs>
          <w:tab w:leader="none" w:pos="4680" w:val="left"/>
        </w:tabs>
        <w:numPr>
          <w:ilvl w:val="2"/>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on Form 20-F</w:t>
      </w:r>
    </w:p>
    <w:p>
      <w:pPr>
        <w:spacing w:after="0" w:line="83" w:lineRule="exact"/>
        <w:rPr>
          <w:rFonts w:ascii="MS PGothic" w:cs="MS PGothic" w:eastAsia="MS PGothic" w:hAnsi="MS PGothic"/>
          <w:sz w:val="22"/>
          <w:szCs w:val="22"/>
          <w:color w:val="auto"/>
        </w:rPr>
      </w:pPr>
    </w:p>
    <w:p>
      <w:pPr>
        <w:jc w:val="both"/>
        <w:ind w:left="4420" w:right="3220" w:firstLine="10"/>
        <w:spacing w:after="0" w:line="288" w:lineRule="exact"/>
        <w:tabs>
          <w:tab w:leader="none" w:pos="4654" w:val="left"/>
        </w:tabs>
        <w:numPr>
          <w:ilvl w:val="1"/>
          <w:numId w:val="2"/>
        </w:numPr>
        <w:rPr>
          <w:rFonts w:ascii="MS PGothic" w:cs="MS PGothic" w:eastAsia="MS PGothic" w:hAnsi="MS PGothic"/>
          <w:sz w:val="20"/>
          <w:szCs w:val="20"/>
          <w:color w:val="auto"/>
        </w:rPr>
      </w:pPr>
      <w:r>
        <w:rPr>
          <w:rFonts w:ascii="Arial" w:cs="Arial" w:eastAsia="Arial" w:hAnsi="Arial"/>
          <w:sz w:val="16"/>
          <w:szCs w:val="16"/>
          <w:color w:val="auto"/>
        </w:rPr>
        <w:t xml:space="preserve">Transition Report on Form 11-K </w:t>
      </w:r>
      <w:r>
        <w:rPr>
          <w:rFonts w:ascii="MS PGothic" w:cs="MS PGothic" w:eastAsia="MS PGothic" w:hAnsi="MS PGothic"/>
          <w:sz w:val="19"/>
          <w:szCs w:val="19"/>
          <w:color w:val="auto"/>
        </w:rPr>
        <w:t>☑</w:t>
      </w:r>
      <w:r>
        <w:rPr>
          <w:rFonts w:ascii="Arial" w:cs="Arial" w:eastAsia="Arial" w:hAnsi="Arial"/>
          <w:sz w:val="16"/>
          <w:szCs w:val="16"/>
          <w:color w:val="auto"/>
        </w:rPr>
        <w:t xml:space="preserve"> Transition Report on Form 10-Q</w:t>
      </w:r>
    </w:p>
    <w:p>
      <w:pPr>
        <w:spacing w:after="0" w:line="46" w:lineRule="exact"/>
        <w:rPr>
          <w:rFonts w:ascii="MS PGothic" w:cs="MS PGothic" w:eastAsia="MS PGothic" w:hAnsi="MS PGothic"/>
          <w:sz w:val="20"/>
          <w:szCs w:val="20"/>
          <w:color w:val="auto"/>
        </w:rPr>
      </w:pPr>
    </w:p>
    <w:p>
      <w:pPr>
        <w:ind w:left="4600" w:hanging="231"/>
        <w:spacing w:after="0"/>
        <w:tabs>
          <w:tab w:leader="none" w:pos="46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on Form N-SAR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Ended: October 18, 2015</w:t>
      </w:r>
    </w:p>
    <w:p>
      <w:pPr>
        <w:spacing w:after="0" w:line="286" w:lineRule="exact"/>
        <w:rPr>
          <w:sz w:val="24"/>
          <w:szCs w:val="24"/>
          <w:color w:val="auto"/>
        </w:rPr>
      </w:pPr>
    </w:p>
    <w:p>
      <w:pPr>
        <w:spacing w:after="0"/>
        <w:rPr>
          <w:sz w:val="20"/>
          <w:szCs w:val="20"/>
          <w:color w:val="auto"/>
        </w:rPr>
      </w:pPr>
      <w:r>
        <w:rPr>
          <w:rFonts w:ascii="Arial" w:cs="Arial" w:eastAsia="Arial" w:hAnsi="Arial"/>
          <w:sz w:val="19"/>
          <w:szCs w:val="19"/>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If the notification relates to a portion of the filing checked above, identify the item(s) to which the notification relates:</w:t>
      </w:r>
    </w:p>
    <w:p>
      <w:pPr>
        <w:sectPr>
          <w:pgSz w:w="11900" w:h="16838" w:orient="portrait"/>
          <w:cols w:equalWidth="0" w:num="1">
            <w:col w:w="10220"/>
          </w:cols>
          <w:pgMar w:left="240" w:top="936" w:right="14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PART I -- REGISTRANT INFORMATION</w:t>
      </w:r>
    </w:p>
    <w:p>
      <w:pPr>
        <w:spacing w:after="0" w:line="24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LivaNova PLC</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Full Name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Sand Holdco PLC</w:t>
      </w:r>
    </w:p>
    <w:p>
      <w:pPr>
        <w:spacing w:after="0" w:line="14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Former Name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5 Merchant Square, North Wharf Road</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London, United Kingdom W2 1AY</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PART II -- RULES 12b-25(b) AND (c)</w:t>
      </w:r>
    </w:p>
    <w:p>
      <w:pPr>
        <w:spacing w:after="0" w:line="166"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If the subject report could not be filed without unreasonable effort or expense and the registrant seeks relief pursuant to Rule 12b-25(b), the following should be completed. (Check box if appropriate.)</w:t>
      </w:r>
    </w:p>
    <w:p>
      <w:pPr>
        <w:ind w:left="1960" w:hanging="723"/>
        <w:spacing w:after="0" w:line="209" w:lineRule="auto"/>
        <w:tabs>
          <w:tab w:leader="none" w:pos="1960" w:val="left"/>
        </w:tabs>
        <w:numPr>
          <w:ilvl w:val="0"/>
          <w:numId w:val="3"/>
        </w:numPr>
        <w:rPr>
          <w:rFonts w:ascii="Arial" w:cs="Arial" w:eastAsia="Arial" w:hAnsi="Arial"/>
          <w:sz w:val="43"/>
          <w:szCs w:val="43"/>
          <w:color w:val="auto"/>
          <w:vertAlign w:val="subscript"/>
        </w:rPr>
      </w:pPr>
      <w:r>
        <w:rPr>
          <w:rFonts w:ascii="Arial" w:cs="Arial" w:eastAsia="Arial" w:hAnsi="Arial"/>
          <w:sz w:val="18"/>
          <w:szCs w:val="18"/>
          <w:color w:val="auto"/>
        </w:rPr>
        <w:t>The reason described in reasonable detail in Part III of this form could not be eliminated without unreasonable</w:t>
      </w:r>
    </w:p>
    <w:p>
      <w:pPr>
        <w:spacing w:after="0" w:line="3" w:lineRule="exact"/>
        <w:rPr>
          <w:rFonts w:ascii="Arial" w:cs="Arial" w:eastAsia="Arial" w:hAnsi="Arial"/>
          <w:sz w:val="43"/>
          <w:szCs w:val="43"/>
          <w:color w:val="auto"/>
          <w:vertAlign w:val="subscript"/>
        </w:rPr>
      </w:pPr>
    </w:p>
    <w:p>
      <w:pPr>
        <w:ind w:left="1960" w:hanging="453"/>
        <w:spacing w:after="0" w:line="186" w:lineRule="auto"/>
        <w:tabs>
          <w:tab w:leader="none" w:pos="1960" w:val="left"/>
        </w:tabs>
        <w:numPr>
          <w:ilvl w:val="1"/>
          <w:numId w:val="3"/>
        </w:numPr>
        <w:rPr>
          <w:rFonts w:ascii="Arial" w:cs="Arial" w:eastAsia="Arial" w:hAnsi="Arial"/>
          <w:sz w:val="24"/>
          <w:szCs w:val="24"/>
          <w:color w:val="auto"/>
          <w:vertAlign w:val="superscript"/>
        </w:rPr>
      </w:pPr>
      <w:r>
        <w:rPr>
          <w:rFonts w:ascii="Arial" w:cs="Arial" w:eastAsia="Arial" w:hAnsi="Arial"/>
          <w:sz w:val="14"/>
          <w:szCs w:val="14"/>
          <w:color w:val="auto"/>
        </w:rPr>
        <w:t>effort or expense;</w:t>
      </w:r>
    </w:p>
    <w:p>
      <w:pPr>
        <w:spacing w:after="0" w:line="200" w:lineRule="exact"/>
        <w:rPr>
          <w:rFonts w:ascii="Arial" w:cs="Arial" w:eastAsia="Arial" w:hAnsi="Arial"/>
          <w:sz w:val="24"/>
          <w:szCs w:val="24"/>
          <w:color w:val="auto"/>
          <w:vertAlign w:val="superscript"/>
        </w:rPr>
      </w:pPr>
    </w:p>
    <w:p>
      <w:pPr>
        <w:spacing w:after="0" w:line="200" w:lineRule="exact"/>
        <w:rPr>
          <w:rFonts w:ascii="Arial" w:cs="Arial" w:eastAsia="Arial" w:hAnsi="Arial"/>
          <w:sz w:val="24"/>
          <w:szCs w:val="24"/>
          <w:color w:val="auto"/>
          <w:vertAlign w:val="superscript"/>
        </w:rPr>
      </w:pPr>
    </w:p>
    <w:p>
      <w:pPr>
        <w:spacing w:after="0" w:line="200" w:lineRule="exact"/>
        <w:rPr>
          <w:rFonts w:ascii="Arial" w:cs="Arial" w:eastAsia="Arial" w:hAnsi="Arial"/>
          <w:sz w:val="24"/>
          <w:szCs w:val="24"/>
          <w:color w:val="auto"/>
          <w:vertAlign w:val="superscript"/>
        </w:rPr>
      </w:pPr>
    </w:p>
    <w:p>
      <w:pPr>
        <w:spacing w:after="0" w:line="210" w:lineRule="exact"/>
        <w:rPr>
          <w:rFonts w:ascii="Arial" w:cs="Arial" w:eastAsia="Arial" w:hAnsi="Arial"/>
          <w:sz w:val="24"/>
          <w:szCs w:val="24"/>
          <w:color w:val="auto"/>
          <w:vertAlign w:val="superscript"/>
        </w:rPr>
      </w:pPr>
    </w:p>
    <w:p>
      <w:pPr>
        <w:ind w:left="1960"/>
        <w:spacing w:after="0"/>
        <w:rPr>
          <w:rFonts w:ascii="Arial" w:cs="Arial" w:eastAsia="Arial" w:hAnsi="Arial"/>
          <w:sz w:val="24"/>
          <w:szCs w:val="24"/>
          <w:color w:val="auto"/>
          <w:vertAlign w:val="superscript"/>
        </w:rPr>
      </w:pPr>
      <w:r>
        <w:rPr>
          <w:rFonts w:ascii="Arial" w:cs="Arial" w:eastAsia="Arial" w:hAnsi="Arial"/>
          <w:sz w:val="18"/>
          <w:szCs w:val="18"/>
          <w:color w:val="auto"/>
        </w:rPr>
        <w:t>The subject annual report, semi-annual report, transition report on Form 10-K, 20-F, 11-K, or Form N-CSR, or</w:t>
      </w:r>
    </w:p>
    <w:p>
      <w:pPr>
        <w:spacing w:after="0" w:line="23" w:lineRule="exact"/>
        <w:rPr>
          <w:rFonts w:ascii="Arial" w:cs="Arial" w:eastAsia="Arial" w:hAnsi="Arial"/>
          <w:sz w:val="24"/>
          <w:szCs w:val="24"/>
          <w:color w:val="auto"/>
          <w:vertAlign w:val="superscript"/>
        </w:rPr>
      </w:pPr>
    </w:p>
    <w:p>
      <w:pPr>
        <w:ind w:left="1960" w:hanging="723"/>
        <w:spacing w:after="0" w:line="180" w:lineRule="auto"/>
        <w:tabs>
          <w:tab w:leader="none" w:pos="196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portion thereof, will be filed on or before the fifteenth calendar day following the prescribed due date; or the</w:t>
      </w:r>
    </w:p>
    <w:p>
      <w:pPr>
        <w:spacing w:after="0" w:line="2" w:lineRule="exact"/>
        <w:rPr>
          <w:rFonts w:ascii="Arial" w:cs="Arial" w:eastAsia="Arial" w:hAnsi="Arial"/>
          <w:sz w:val="25"/>
          <w:szCs w:val="25"/>
          <w:color w:val="auto"/>
          <w:vertAlign w:val="subscript"/>
        </w:rPr>
      </w:pPr>
    </w:p>
    <w:p>
      <w:pPr>
        <w:ind w:left="1960" w:right="1100" w:hanging="453"/>
        <w:spacing w:after="0" w:line="183" w:lineRule="auto"/>
        <w:tabs>
          <w:tab w:leader="none" w:pos="1960" w:val="left"/>
        </w:tabs>
        <w:numPr>
          <w:ilvl w:val="1"/>
          <w:numId w:val="4"/>
        </w:numPr>
        <w:rPr>
          <w:rFonts w:ascii="Arial" w:cs="Arial" w:eastAsia="Arial" w:hAnsi="Arial"/>
          <w:sz w:val="32"/>
          <w:szCs w:val="32"/>
          <w:color w:val="auto"/>
          <w:vertAlign w:val="superscript"/>
        </w:rPr>
      </w:pPr>
      <w:r>
        <w:rPr>
          <w:rFonts w:ascii="Arial" w:cs="Arial" w:eastAsia="Arial" w:hAnsi="Arial"/>
          <w:sz w:val="17"/>
          <w:szCs w:val="17"/>
          <w:color w:val="auto"/>
        </w:rPr>
        <w:t>subject quarterly report or transition report on Form 10-Q, or portion thereof will be filed on or before the fifth calendar day following the prescribed due date; and</w:t>
      </w: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00" w:lineRule="exact"/>
        <w:rPr>
          <w:rFonts w:ascii="Arial" w:cs="Arial" w:eastAsia="Arial" w:hAnsi="Arial"/>
          <w:sz w:val="32"/>
          <w:szCs w:val="32"/>
          <w:color w:val="auto"/>
          <w:vertAlign w:val="superscript"/>
        </w:rPr>
      </w:pPr>
    </w:p>
    <w:p>
      <w:pPr>
        <w:spacing w:after="0" w:line="210" w:lineRule="exact"/>
        <w:rPr>
          <w:rFonts w:ascii="Arial" w:cs="Arial" w:eastAsia="Arial" w:hAnsi="Arial"/>
          <w:sz w:val="32"/>
          <w:szCs w:val="32"/>
          <w:color w:val="auto"/>
          <w:vertAlign w:val="superscript"/>
        </w:rPr>
      </w:pPr>
    </w:p>
    <w:p>
      <w:pPr>
        <w:ind w:left="1960" w:hanging="45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-2008505</wp:posOffset>
            </wp:positionV>
            <wp:extent cx="585724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30861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-1210945</wp:posOffset>
            </wp:positionV>
            <wp:extent cx="585724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58293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585724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171450"/>
                    </a:xfrm>
                    <a:prstGeom prst="rect">
                      <a:avLst/>
                    </a:prstGeom>
                    <a:noFill/>
                  </pic:spPr>
                </pic:pic>
              </a:graphicData>
            </a:graphic>
          </wp:anchor>
        </w:drawing>
      </w:r>
    </w:p>
    <w:p>
      <w:pPr>
        <w:sectPr>
          <w:pgSz w:w="11900" w:h="16838" w:orient="portrait"/>
          <w:cols w:equalWidth="0" w:num="1">
            <w:col w:w="11400"/>
          </w:cols>
          <w:pgMar w:left="240" w:top="834"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PART III -- NARRATIVE</w:t>
      </w:r>
    </w:p>
    <w:p>
      <w:pPr>
        <w:spacing w:after="0" w:line="159"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State below in reasonable detail the reasons why Forms 10-K, 10-KSB, 20-F, 11-K, 10-Q, 10-QSB, N-SAR, or the transition report portion thereof, could not be filed within the prescribed time period.</w:t>
      </w:r>
    </w:p>
    <w:p>
      <w:pPr>
        <w:spacing w:after="0" w:line="116"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LivaNova PLC (formerly known as Sand Holdco PLC and Sand Holdco Limited), is a public limited company incorporated under the laws of England and Wales (“LivaNova”). 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 On October 19, 2015, and pursuant to the terms of a definitive Transaction Agreement entered into by LivaNova, Cyberonics, Sorin and Merger Sub, dated March 23, 2015, Sorin merged with and into LivaNova, with LivaNova continuing as the surviving company (the “Sorin Merger”), immediately followed by the merger of Merger Sub with and into Cyberonics, with Cyberonics continuing as the surviving company and as a wholly-owned subsidiary of LivaNova (the “Cyberonics Merger”, and together with the Sorin Merger, the “Mergers”).</w:t>
      </w:r>
    </w:p>
    <w:p>
      <w:pPr>
        <w:spacing w:after="0" w:line="113"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LivaNova's transitional Quarterly Report on Form 10-Q for LivaNova's predecessor company, Cyberonics, for the period July 25, 2015 to October 18, 2015, cannot be filed within the prescribed time period without unreasonable effort or expense because of a delay in assembling the information necessary to complete the quarterly report on Form 10-Q due to determining the accounting for certain transactions related to the Mergers and change in period end, which has not permitted the independent auditors to complete their review of the financial statements. LivaNova expects that the transitional quarterly report on Form 10-Q that is the subject hereof will be filed within the time frame allowed by the extension.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PART IV -- OTHER INFORMATION</w:t>
      </w:r>
    </w:p>
    <w:p>
      <w:pPr>
        <w:spacing w:after="0" w:line="240" w:lineRule="exact"/>
        <w:rPr>
          <w:sz w:val="20"/>
          <w:szCs w:val="20"/>
          <w:color w:val="auto"/>
        </w:rPr>
      </w:pPr>
    </w:p>
    <w:p>
      <w:pPr>
        <w:ind w:left="2000"/>
        <w:spacing w:after="0"/>
        <w:tabs>
          <w:tab w:leader="none" w:pos="2360" w:val="left"/>
        </w:tabs>
        <w:rPr>
          <w:sz w:val="20"/>
          <w:szCs w:val="20"/>
          <w:color w:val="auto"/>
        </w:rPr>
      </w:pPr>
      <w:r>
        <w:rPr>
          <w:rFonts w:ascii="Arial" w:cs="Arial" w:eastAsia="Arial" w:hAnsi="Arial"/>
          <w:sz w:val="18"/>
          <w:szCs w:val="18"/>
          <w:color w:val="auto"/>
        </w:rPr>
        <w:t>(1)</w:t>
        <w:tab/>
        <w:t>Name and telephone number of person to contact in regard to this notification</w:t>
      </w:r>
    </w:p>
    <w:p>
      <w:pPr>
        <w:sectPr>
          <w:pgSz w:w="11900" w:h="16838" w:orient="portrait"/>
          <w:cols w:equalWidth="0" w:num="1">
            <w:col w:w="11380"/>
          </w:cols>
          <w:pgMar w:left="240" w:top="83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Vivid Sehgal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44-0-203-786-5281</w:t>
      </w:r>
    </w:p>
    <w:p>
      <w:pPr>
        <w:spacing w:after="0" w:line="86" w:lineRule="exact"/>
        <w:rPr>
          <w:sz w:val="20"/>
          <w:szCs w:val="20"/>
          <w:color w:val="auto"/>
        </w:rPr>
      </w:pPr>
    </w:p>
    <w:p>
      <w:pPr>
        <w:sectPr>
          <w:pgSz w:w="11900" w:h="16838" w:orient="portrait"/>
          <w:cols w:equalWidth="0" w:num="2">
            <w:col w:w="6800" w:space="720"/>
            <w:col w:w="3860"/>
          </w:cols>
          <w:pgMar w:left="240" w:top="834" w:right="279" w:bottom="1440" w:gutter="0" w:footer="0" w:header="0"/>
          <w:type w:val="continuous"/>
        </w:sectPr>
      </w:pPr>
    </w:p>
    <w:p>
      <w:pPr>
        <w:ind w:left="31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475615</wp:posOffset>
            </wp:positionV>
            <wp:extent cx="56597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9755"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(Telephone Number)</w:t>
      </w:r>
    </w:p>
    <w:p>
      <w:pPr>
        <w:spacing w:after="0" w:line="200" w:lineRule="exact"/>
        <w:rPr>
          <w:sz w:val="20"/>
          <w:szCs w:val="20"/>
          <w:color w:val="auto"/>
        </w:rPr>
      </w:pPr>
    </w:p>
    <w:p>
      <w:pPr>
        <w:sectPr>
          <w:pgSz w:w="11900" w:h="16838" w:orient="portrait"/>
          <w:cols w:equalWidth="0" w:num="3">
            <w:col w:w="4600" w:space="720"/>
            <w:col w:w="1420" w:space="720"/>
            <w:col w:w="3920"/>
          </w:cols>
          <w:pgMar w:left="240" w:top="834" w:right="27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Have all other periodic reports required under Section 13 or 15(d) of the Securities Exchange Act of 1934 or</w:t>
      </w:r>
    </w:p>
    <w:p>
      <w:pPr>
        <w:spacing w:after="0" w:line="35" w:lineRule="exact"/>
        <w:rPr>
          <w:sz w:val="20"/>
          <w:szCs w:val="20"/>
          <w:color w:val="auto"/>
        </w:rPr>
      </w:pPr>
    </w:p>
    <w:p>
      <w:pPr>
        <w:ind w:left="2000" w:right="1240" w:hanging="716"/>
        <w:spacing w:after="0" w:line="269" w:lineRule="auto"/>
        <w:tabs>
          <w:tab w:leader="none" w:pos="2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Section 30 of the Investment Company Act of 1940 during the preceding 12 months or for such shorter period that the registrant was required to file such report(s) been filed? If the answer is no, identify report(s).</w:t>
      </w:r>
    </w:p>
    <w:p>
      <w:pPr>
        <w:ind w:left="9140"/>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71755</wp:posOffset>
            </wp:positionV>
            <wp:extent cx="565975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755" cy="308610"/>
                    </a:xfrm>
                    <a:prstGeom prst="rect">
                      <a:avLst/>
                    </a:prstGeom>
                    <a:noFill/>
                  </pic:spPr>
                </pic:pic>
              </a:graphicData>
            </a:graphic>
          </wp:anchor>
        </w:drawing>
      </w:r>
    </w:p>
    <w:p>
      <w:pPr>
        <w:spacing w:after="0" w:line="106" w:lineRule="exact"/>
        <w:rPr>
          <w:sz w:val="20"/>
          <w:szCs w:val="20"/>
          <w:color w:val="auto"/>
        </w:rPr>
      </w:pPr>
    </w:p>
    <w:p>
      <w:pPr>
        <w:ind w:left="2000" w:right="1240" w:hanging="716"/>
        <w:spacing w:after="0" w:line="198" w:lineRule="auto"/>
        <w:tabs>
          <w:tab w:leader="none" w:pos="2000" w:val="left"/>
        </w:tabs>
        <w:numPr>
          <w:ilvl w:val="0"/>
          <w:numId w:val="6"/>
        </w:numPr>
        <w:rPr>
          <w:rFonts w:ascii="Arial" w:cs="Arial" w:eastAsia="Arial" w:hAnsi="Arial"/>
          <w:sz w:val="31"/>
          <w:szCs w:val="31"/>
          <w:color w:val="auto"/>
          <w:vertAlign w:val="subscript"/>
        </w:rPr>
      </w:pPr>
      <w:r>
        <w:rPr>
          <w:rFonts w:ascii="Arial" w:cs="Arial" w:eastAsia="Arial" w:hAnsi="Arial"/>
          <w:sz w:val="16"/>
          <w:szCs w:val="16"/>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7" w:lineRule="exact"/>
        <w:rPr>
          <w:sz w:val="20"/>
          <w:szCs w:val="20"/>
          <w:color w:val="auto"/>
        </w:rPr>
      </w:pPr>
    </w:p>
    <w:p>
      <w:pPr>
        <w:ind w:left="9140"/>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71755</wp:posOffset>
            </wp:positionV>
            <wp:extent cx="565975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755" cy="308610"/>
                    </a:xfrm>
                    <a:prstGeom prst="rect">
                      <a:avLst/>
                    </a:prstGeom>
                    <a:noFill/>
                  </pic:spPr>
                </pic:pic>
              </a:graphicData>
            </a:graphic>
          </wp:anchor>
        </w:drawing>
      </w:r>
    </w:p>
    <w:p>
      <w:pPr>
        <w:spacing w:after="0" w:line="106" w:lineRule="exact"/>
        <w:rPr>
          <w:sz w:val="20"/>
          <w:szCs w:val="20"/>
          <w:color w:val="auto"/>
        </w:rPr>
      </w:pPr>
    </w:p>
    <w:p>
      <w:pPr>
        <w:ind w:left="2000" w:right="1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ectPr>
          <w:pgSz w:w="11900" w:h="16838" w:orient="portrait"/>
          <w:cols w:equalWidth="0" w:num="1">
            <w:col w:w="11380"/>
          </w:cols>
          <w:pgMar w:left="240" w:top="834" w:right="279" w:bottom="1440" w:gutter="0" w:footer="0" w:header="0"/>
          <w:type w:val="continuous"/>
        </w:sectPr>
      </w:pPr>
    </w:p>
    <w:bookmarkStart w:id="3" w:name="page4"/>
    <w:bookmarkEnd w:id="3"/>
    <w:p>
      <w:pPr>
        <w:ind w:right="40" w:firstLine="162"/>
        <w:spacing w:after="0" w:line="297" w:lineRule="auto"/>
        <w:rPr>
          <w:sz w:val="20"/>
          <w:szCs w:val="20"/>
          <w:color w:val="auto"/>
        </w:rPr>
      </w:pPr>
      <w:r>
        <w:rPr>
          <w:rFonts w:ascii="Arial" w:cs="Arial" w:eastAsia="Arial" w:hAnsi="Arial"/>
          <w:sz w:val="16"/>
          <w:szCs w:val="16"/>
          <w:color w:val="auto"/>
        </w:rPr>
        <w:t>LivaNova, as the successor company to Cyberonics, will report the results for Cyberonics and its consolidated subsidiaries on Form 10-Q for the transitional and final period, July 25, 2015 to October 18, 2015, which ended prior to the consummation of the Mergers on October 19, 2015. This period is equivalent to twelve weeks as compared to the normal thirteen week period for Cyberonics' quarters under the 52/53 week fiscal year, which end on the last Friday in April of each year. The period ended October 18, 2015 is considered transitional because on October 19, 2015, LivaNova, which has a fiscal year ending December 31, became the successor company to Cyberonics in connection with the consummation of the Mergers.</w:t>
      </w:r>
    </w:p>
    <w:p>
      <w:pPr>
        <w:spacing w:after="0" w:line="104"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The condensed consolidated statement of operations for the twelve and twenty-five weeks ended October 18, 2015 is expected to include merger related expenses of approximately $23 million and $29 million, respectively, as compared to $0 merger expenses for the prior year periods ended October 24, 2014, which will include the effect of accelerated vesting of stock-based compensation awards. In addition, the effective tax rate for the twenty-five weeks ended October 18, 2015 is expected to be approximately 90% to 95% due to significant permanent book-to-tax differences, related primarily to the Mergers, as compared to the 36.5% effective tax rate for the twenty-six weeks ended October 24, 2014.</w:t>
      </w:r>
    </w:p>
    <w:p>
      <w:pPr>
        <w:spacing w:after="0" w:line="200" w:lineRule="exact"/>
        <w:rPr>
          <w:sz w:val="20"/>
          <w:szCs w:val="20"/>
          <w:color w:val="auto"/>
        </w:rPr>
      </w:pPr>
    </w:p>
    <w:p>
      <w:pPr>
        <w:spacing w:after="0" w:line="378"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LivaNova PLC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 of Registrant as Specified in Charter)</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360"/>
        <w:spacing w:after="0"/>
        <w:tabs>
          <w:tab w:leader="none" w:pos="7060" w:val="left"/>
          <w:tab w:leader="none" w:pos="3820" w:val="left"/>
        </w:tabs>
        <w:rPr>
          <w:sz w:val="20"/>
          <w:szCs w:val="20"/>
          <w:color w:val="auto"/>
        </w:rPr>
      </w:pPr>
      <w:r>
        <w:rPr>
          <w:rFonts w:ascii="Arial" w:cs="Arial" w:eastAsia="Arial" w:hAnsi="Arial"/>
          <w:sz w:val="18"/>
          <w:szCs w:val="18"/>
          <w:color w:val="auto"/>
        </w:rPr>
        <w:t>Date: November 25,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VIVID SEHGAL</w:t>
      </w:r>
    </w:p>
    <w:p>
      <w:pPr>
        <w:spacing w:after="0" w:line="63"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Name: Vivid Sehgal</w:t>
      </w:r>
    </w:p>
    <w:p>
      <w:pPr>
        <w:spacing w:after="0" w:line="6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7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4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ATTENTION</w:t>
      </w:r>
    </w:p>
    <w:p>
      <w:pPr>
        <w:spacing w:after="0" w:line="152"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Intentional misstatements or omissions of fact constitute Federal criminal violations.</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(See 18 U.S.C. 1001).</w:t>
      </w:r>
    </w:p>
    <w:sectPr>
      <w:pgSz w:w="11900" w:h="16838" w:orient="portrait"/>
      <w:cols w:equalWidth="0" w:num="1">
        <w:col w:w="11260"/>
      </w:cols>
      <w:pgMar w:left="240" w:top="8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x"/>
      <w:numFmt w:val="bullet"/>
      <w:start w:val="1"/>
    </w:lvl>
    <w:lvl w:ilvl="1">
      <w:lvlJc w:val="left"/>
      <w:lvlText w:val="(%2)"/>
      <w:numFmt w:val="lowerLetter"/>
      <w:start w:val="1"/>
    </w:lvl>
  </w:abstractNum>
  <w:abstractNum w:abstractNumId="3">
    <w:nsid w:val="46E87CCD"/>
    <w:multiLevelType w:val="hybridMultilevel"/>
    <w:lvl w:ilvl="0">
      <w:lvlJc w:val="left"/>
      <w:lvlText w:val="x"/>
      <w:numFmt w:val="bullet"/>
      <w:start w:val="1"/>
    </w:lvl>
    <w:lvl w:ilvl="1">
      <w:lvlJc w:val="left"/>
      <w:lvlText w:val="(%2)"/>
      <w:numFmt w:val="lowerLetter"/>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2019-12-09T05:13:03Z</dcterms:created>
  <dcterms:modified xsi:type="dcterms:W3CDTF">2019-12-09T05:13:03Z</dcterms:modified>
</cp:coreProperties>
</file>