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England and Wales</w:t>
            </w:r>
          </w:p>
        </w:tc>
        <w:tc>
          <w:tcPr>
            <w:tcW w:w="4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001-37599</w:t>
            </w:r>
          </w:p>
        </w:tc>
        <w:tc>
          <w:tcPr>
            <w:tcW w:w="16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40" w:type="dxa"/>
            <w:vAlign w:val="bottom"/>
          </w:tcPr>
          <w:p>
            <w:pPr>
              <w:jc w:val="center"/>
              <w:ind w:right="90"/>
              <w:spacing w:after="0"/>
              <w:rPr>
                <w:sz w:val="20"/>
                <w:szCs w:val="20"/>
                <w:color w:val="auto"/>
              </w:rPr>
            </w:pPr>
            <w:r>
              <w:rPr>
                <w:rFonts w:ascii="Arial" w:cs="Arial" w:eastAsia="Arial" w:hAnsi="Arial"/>
                <w:sz w:val="18"/>
                <w:szCs w:val="18"/>
                <w:color w:val="auto"/>
                <w:w w:val="91"/>
              </w:rPr>
              <w:t>(State or Other Jurisdiction</w:t>
            </w:r>
          </w:p>
        </w:tc>
        <w:tc>
          <w:tcPr>
            <w:tcW w:w="4480" w:type="dxa"/>
            <w:vAlign w:val="bottom"/>
          </w:tcPr>
          <w:p>
            <w:pPr>
              <w:jc w:val="center"/>
              <w:ind w:right="70"/>
              <w:spacing w:after="0"/>
              <w:rPr>
                <w:sz w:val="20"/>
                <w:szCs w:val="20"/>
                <w:color w:val="auto"/>
              </w:rPr>
            </w:pPr>
            <w:r>
              <w:rPr>
                <w:rFonts w:ascii="Arial" w:cs="Arial" w:eastAsia="Arial" w:hAnsi="Arial"/>
                <w:sz w:val="18"/>
                <w:szCs w:val="18"/>
                <w:color w:val="auto"/>
                <w:w w:val="91"/>
              </w:rPr>
              <w:t>(Commission</w:t>
            </w: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92"/>
              </w:rPr>
              <w:t>(IRS Employer</w:t>
            </w:r>
          </w:p>
        </w:tc>
      </w:tr>
      <w:tr>
        <w:trPr>
          <w:trHeight w:val="230"/>
        </w:trPr>
        <w:tc>
          <w:tcPr>
            <w:tcW w:w="2140" w:type="dxa"/>
            <w:vAlign w:val="bottom"/>
          </w:tcPr>
          <w:p>
            <w:pPr>
              <w:jc w:val="center"/>
              <w:ind w:right="50"/>
              <w:spacing w:after="0"/>
              <w:rPr>
                <w:sz w:val="20"/>
                <w:szCs w:val="20"/>
                <w:color w:val="auto"/>
              </w:rPr>
            </w:pPr>
            <w:r>
              <w:rPr>
                <w:rFonts w:ascii="Arial" w:cs="Arial" w:eastAsia="Arial" w:hAnsi="Arial"/>
                <w:sz w:val="18"/>
                <w:szCs w:val="18"/>
                <w:color w:val="auto"/>
                <w:w w:val="94"/>
              </w:rPr>
              <w:t>of Incorporation)</w:t>
            </w:r>
          </w:p>
        </w:tc>
        <w:tc>
          <w:tcPr>
            <w:tcW w:w="448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549"/>
        </w:trPr>
        <w:tc>
          <w:tcPr>
            <w:tcW w:w="214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 Eastbourne Terrace</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London, W2 6LG</w:t>
            </w:r>
          </w:p>
        </w:tc>
        <w:tc>
          <w:tcPr>
            <w:tcW w:w="1680" w:type="dxa"/>
            <w:vAlign w:val="bottom"/>
          </w:tcPr>
          <w:p>
            <w:pPr>
              <w:spacing w:after="0"/>
              <w:rPr>
                <w:sz w:val="18"/>
                <w:szCs w:val="18"/>
                <w:color w:val="auto"/>
              </w:rPr>
            </w:pPr>
          </w:p>
        </w:tc>
      </w:tr>
      <w:tr>
        <w:trPr>
          <w:trHeight w:val="220"/>
        </w:trPr>
        <w:tc>
          <w:tcPr>
            <w:tcW w:w="2140" w:type="dxa"/>
            <w:vAlign w:val="bottom"/>
          </w:tcPr>
          <w:p>
            <w:pPr>
              <w:spacing w:after="0"/>
              <w:rPr>
                <w:sz w:val="19"/>
                <w:szCs w:val="19"/>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United Kingdom</w:t>
            </w:r>
          </w:p>
        </w:tc>
        <w:tc>
          <w:tcPr>
            <w:tcW w:w="16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4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20"/>
                <w:szCs w:val="20"/>
                <w:color w:val="auto"/>
              </w:rPr>
            </w:pPr>
          </w:p>
        </w:tc>
      </w:tr>
      <w:tr>
        <w:trPr>
          <w:trHeight w:val="445"/>
        </w:trPr>
        <w:tc>
          <w:tcPr>
            <w:tcW w:w="214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+44 20 33250660</w:t>
            </w:r>
          </w:p>
        </w:tc>
        <w:tc>
          <w:tcPr>
            <w:tcW w:w="16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4480" w:type="dxa"/>
            <w:vAlign w:val="bottom"/>
          </w:tcPr>
          <w:p>
            <w:pPr>
              <w:jc w:val="center"/>
              <w:ind w:right="50"/>
              <w:spacing w:after="0"/>
              <w:rPr>
                <w:sz w:val="20"/>
                <w:szCs w:val="20"/>
                <w:color w:val="auto"/>
              </w:rPr>
            </w:pPr>
            <w:r>
              <w:rPr>
                <w:rFonts w:ascii="Arial" w:cs="Arial" w:eastAsia="Arial" w:hAnsi="Arial"/>
                <w:sz w:val="18"/>
                <w:szCs w:val="18"/>
                <w:color w:val="auto"/>
                <w:w w:val="90"/>
              </w:rPr>
              <w:t>(Registrant’s Telephone Number, Including Area Code)</w:t>
            </w:r>
          </w:p>
        </w:tc>
        <w:tc>
          <w:tcPr>
            <w:tcW w:w="168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8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3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31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 w:lineRule="exact"/>
        <w:rPr>
          <w:sz w:val="24"/>
          <w:szCs w:val="24"/>
          <w:color w:val="auto"/>
        </w:rPr>
      </w:pPr>
    </w:p>
    <w:p>
      <w:pPr>
        <w:ind w:left="7780"/>
        <w:spacing w:after="0" w:line="207" w:lineRule="exact"/>
        <w:tabs>
          <w:tab w:leader="none" w:pos="107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69" w:right="339" w:bottom="1440" w:gutter="0" w:footer="0" w:header="0"/>
        </w:sectPr>
      </w:pPr>
    </w:p>
    <w:p>
      <w:pPr>
        <w:spacing w:after="0" w:line="15" w:lineRule="exact"/>
        <w:rPr>
          <w:sz w:val="24"/>
          <w:szCs w:val="24"/>
          <w:color w:val="auto"/>
        </w:rPr>
      </w:pPr>
    </w:p>
    <w:p>
      <w:pPr>
        <w:ind w:left="107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 w:name="page2"/>
    <w:bookmarkEnd w:id="1"/>
    <w:p>
      <w:pPr>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LivaNova PLC (the “Company”) held its 2023 Annual General Meeting of shareholders (the“AGM”) on June 12, 2023. At the AGM, the Company’s shareholders approved the Amended and Restated LivaNova PLC 2022 Incentive Award Plan (the “A&amp;R Plan”). The A&amp;R Plan was previously approved by the Company’s Board of Directors on April 19, 2023, subject to shareholder approval.</w:t>
      </w:r>
    </w:p>
    <w:p>
      <w:pPr>
        <w:spacing w:after="0" w:line="209"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6"/>
          <w:szCs w:val="16"/>
          <w:color w:val="auto"/>
        </w:rPr>
        <w:t>The A&amp;R Plan increases the aggregate number of ordinary shares that can be issued under the LivaNova PLC 2022 Incentive Award Plan pursuant to options or SARs from 1,900,000 to 2,250,000, and the number of ordinary shares that can be issued pursuant to awards other than options or SARs from 1,200,000 to 1,500,000. The other terms of the A&amp;R Plan, including its expiration date, are the same as the LivaNova PLC 2022 Incentive Award Plan.</w:t>
      </w:r>
    </w:p>
    <w:p>
      <w:pPr>
        <w:spacing w:after="0" w:line="182"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The material terms of the A&amp;R Plan are described in the Company’s definitive Proxy Statement, dated April 28, 2023 (the “2023 Proxy Statement”), under the heading “</w:t>
      </w:r>
      <w:r>
        <w:rPr>
          <w:rFonts w:ascii="Arial" w:cs="Arial" w:eastAsia="Arial" w:hAnsi="Arial"/>
          <w:sz w:val="18"/>
          <w:szCs w:val="18"/>
          <w:u w:val="single" w:color="auto"/>
          <w:color w:val="0000FF"/>
        </w:rPr>
        <w:t>Proposal 4 — Approval of the Amended and Restated LivaNova PLC 2022 Incentive Award Plan</w:t>
      </w:r>
      <w:r>
        <w:rPr>
          <w:rFonts w:ascii="Arial" w:cs="Arial" w:eastAsia="Arial" w:hAnsi="Arial"/>
          <w:sz w:val="18"/>
          <w:szCs w:val="18"/>
          <w:color w:val="auto"/>
        </w:rPr>
        <w:t>”, which description is incorporated herein by reference. The descriptions of the A&amp;R Plan contained herein and in the 2023 Proxy Statement do not purport to be complete and are qualified in their entirety by reference to the Amended and Restated LivaNova PLC 2022 Incentive Award Plan, a copy of which is filed as Exhibit 10.1 hereto and is incorporated by reference herein.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total of 43,937,718 of the Company’s ordinary shares, representing 81.59% of the shares outstanding and eligible to vote and constituting a quorum, were represented virtually or by proxy at the AGM.</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At the AGM, LivaNova’s shareholders considered 10 proposals as more fully described in the 2023 Proxy Statement and as summarized below. Each of the resolutions 1-10 was adopted. The number of votes for and against, as well as the number of abstentions and broker non-votes are set forth below.</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1. Ordinary resolution to elect, by separate resolutions, each of the following nine (9) directors for a term expiring at the AGM to be held in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Mr. Francesco Bianchi</w:t>
            </w:r>
          </w:p>
        </w:tc>
        <w:tc>
          <w:tcPr>
            <w:tcW w:w="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80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39,499,405</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1,028,170</w:t>
            </w:r>
          </w:p>
        </w:tc>
        <w:tc>
          <w:tcPr>
            <w:tcW w:w="120" w:type="dxa"/>
            <w:vAlign w:val="bottom"/>
            <w:vMerge w:val="continue"/>
          </w:tcPr>
          <w:p>
            <w:pPr>
              <w:spacing w:after="0"/>
              <w:rPr>
                <w:sz w:val="20"/>
                <w:szCs w:val="20"/>
                <w:color w:val="auto"/>
              </w:rPr>
            </w:pPr>
          </w:p>
        </w:tc>
        <w:tc>
          <w:tcPr>
            <w:tcW w:w="268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17,984</w:t>
            </w: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3,392,159</w:t>
            </w:r>
          </w:p>
        </w:tc>
        <w:tc>
          <w:tcPr>
            <w:tcW w:w="0" w:type="dxa"/>
            <w:vAlign w:val="bottom"/>
          </w:tcPr>
          <w:p>
            <w:pPr>
              <w:spacing w:after="0"/>
              <w:rPr>
                <w:sz w:val="1"/>
                <w:szCs w:val="1"/>
                <w:color w:val="auto"/>
              </w:rPr>
            </w:pPr>
          </w:p>
        </w:tc>
      </w:tr>
      <w:tr>
        <w:trPr>
          <w:trHeight w:val="540"/>
        </w:trPr>
        <w:tc>
          <w:tcPr>
            <w:tcW w:w="2800" w:type="dxa"/>
            <w:vAlign w:val="bottom"/>
          </w:tcPr>
          <w:p>
            <w:pPr>
              <w:spacing w:after="0"/>
              <w:rPr>
                <w:sz w:val="20"/>
                <w:szCs w:val="20"/>
                <w:color w:val="auto"/>
              </w:rPr>
            </w:pPr>
            <w:r>
              <w:rPr>
                <w:rFonts w:ascii="Arial" w:cs="Arial" w:eastAsia="Arial" w:hAnsi="Arial"/>
                <w:sz w:val="18"/>
                <w:szCs w:val="18"/>
                <w:b w:val="1"/>
                <w:bCs w:val="1"/>
                <w:color w:val="auto"/>
              </w:rPr>
              <w:t>Ms. Stacy Enxing Seng</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gridSpan w:val="2"/>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80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39,041,733</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1,487,841</w:t>
            </w:r>
          </w:p>
        </w:tc>
        <w:tc>
          <w:tcPr>
            <w:tcW w:w="140" w:type="dxa"/>
            <w:vAlign w:val="bottom"/>
            <w:gridSpan w:val="2"/>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15,985</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3,392,159</w:t>
            </w:r>
          </w:p>
        </w:tc>
        <w:tc>
          <w:tcPr>
            <w:tcW w:w="0" w:type="dxa"/>
            <w:vAlign w:val="bottom"/>
          </w:tcPr>
          <w:p>
            <w:pPr>
              <w:spacing w:after="0"/>
              <w:rPr>
                <w:sz w:val="1"/>
                <w:szCs w:val="1"/>
                <w:color w:val="auto"/>
              </w:rPr>
            </w:pPr>
          </w:p>
        </w:tc>
      </w:tr>
      <w:tr>
        <w:trPr>
          <w:trHeight w:val="540"/>
        </w:trPr>
        <w:tc>
          <w:tcPr>
            <w:tcW w:w="2800" w:type="dxa"/>
            <w:vAlign w:val="bottom"/>
          </w:tcPr>
          <w:p>
            <w:pPr>
              <w:spacing w:after="0"/>
              <w:rPr>
                <w:sz w:val="20"/>
                <w:szCs w:val="20"/>
                <w:color w:val="auto"/>
              </w:rPr>
            </w:pPr>
            <w:r>
              <w:rPr>
                <w:rFonts w:ascii="Arial" w:cs="Arial" w:eastAsia="Arial" w:hAnsi="Arial"/>
                <w:sz w:val="18"/>
                <w:szCs w:val="18"/>
                <w:b w:val="1"/>
                <w:bCs w:val="1"/>
                <w:color w:val="auto"/>
              </w:rPr>
              <w:t>Mr. William A. Kozy</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80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38,622,336</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1,791,747</w:t>
            </w:r>
          </w:p>
        </w:tc>
        <w:tc>
          <w:tcPr>
            <w:tcW w:w="120" w:type="dxa"/>
            <w:vAlign w:val="bottom"/>
            <w:vMerge w:val="continue"/>
          </w:tcPr>
          <w:p>
            <w:pPr>
              <w:spacing w:after="0"/>
              <w:rPr>
                <w:sz w:val="20"/>
                <w:szCs w:val="20"/>
                <w:color w:val="auto"/>
              </w:rPr>
            </w:pPr>
          </w:p>
        </w:tc>
        <w:tc>
          <w:tcPr>
            <w:tcW w:w="268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131,476</w:t>
            </w:r>
          </w:p>
        </w:tc>
        <w:tc>
          <w:tcPr>
            <w:tcW w:w="140" w:type="dxa"/>
            <w:vAlign w:val="bottom"/>
            <w:gridSpan w:val="2"/>
            <w:vMerge w:val="continue"/>
          </w:tcPr>
          <w:p>
            <w:pPr>
              <w:spacing w:after="0"/>
              <w:rPr>
                <w:sz w:val="20"/>
                <w:szCs w:val="20"/>
                <w:color w:val="auto"/>
              </w:rPr>
            </w:pPr>
          </w:p>
        </w:tc>
        <w:tc>
          <w:tcPr>
            <w:tcW w:w="2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3,392,159</w:t>
            </w:r>
          </w:p>
        </w:tc>
        <w:tc>
          <w:tcPr>
            <w:tcW w:w="0" w:type="dxa"/>
            <w:vAlign w:val="bottom"/>
          </w:tcPr>
          <w:p>
            <w:pPr>
              <w:spacing w:after="0"/>
              <w:rPr>
                <w:sz w:val="1"/>
                <w:szCs w:val="1"/>
                <w:color w:val="auto"/>
              </w:rPr>
            </w:pPr>
          </w:p>
        </w:tc>
      </w:tr>
      <w:tr>
        <w:trPr>
          <w:trHeight w:val="26"/>
        </w:trPr>
        <w:tc>
          <w:tcPr>
            <w:tcW w:w="280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Mr. Daniel J. Moore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39,186,785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1,333,196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25,578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3,392,159</w:t>
            </w:r>
          </w:p>
        </w:tc>
        <w:tc>
          <w:tcPr>
            <w:tcW w:w="0" w:type="dxa"/>
            <w:vAlign w:val="bottom"/>
          </w:tcPr>
          <w:p>
            <w:pPr>
              <w:spacing w:after="0"/>
              <w:rPr>
                <w:sz w:val="1"/>
                <w:szCs w:val="1"/>
                <w:color w:val="auto"/>
              </w:rPr>
            </w:pPr>
          </w:p>
        </w:tc>
      </w:tr>
      <w:tr>
        <w:trPr>
          <w:trHeight w:val="527"/>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Dr. Sharon O’Kane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39,239,186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1,290,389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15,984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3,392,159</w:t>
            </w:r>
          </w:p>
        </w:tc>
        <w:tc>
          <w:tcPr>
            <w:tcW w:w="0" w:type="dxa"/>
            <w:vAlign w:val="bottom"/>
          </w:tcPr>
          <w:p>
            <w:pPr>
              <w:spacing w:after="0"/>
              <w:rPr>
                <w:sz w:val="1"/>
                <w:szCs w:val="1"/>
                <w:color w:val="auto"/>
              </w:rPr>
            </w:pPr>
          </w:p>
        </w:tc>
      </w:tr>
      <w:tr>
        <w:trPr>
          <w:trHeight w:val="54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Ms. Andrea L. Saia</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38,418,594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2,110,981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15,984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3,392,159</w:t>
            </w:r>
          </w:p>
        </w:tc>
        <w:tc>
          <w:tcPr>
            <w:tcW w:w="0" w:type="dxa"/>
            <w:vAlign w:val="bottom"/>
          </w:tcPr>
          <w:p>
            <w:pPr>
              <w:spacing w:after="0"/>
              <w:rPr>
                <w:sz w:val="1"/>
                <w:szCs w:val="1"/>
                <w:color w:val="auto"/>
              </w:rPr>
            </w:pPr>
          </w:p>
        </w:tc>
      </w:tr>
      <w:tr>
        <w:trPr>
          <w:trHeight w:val="54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Mr. Todd Schermerhorn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39,352,199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1,175,352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18,008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3,392,159</w:t>
            </w:r>
          </w:p>
        </w:tc>
        <w:tc>
          <w:tcPr>
            <w:tcW w:w="0" w:type="dxa"/>
            <w:vAlign w:val="bottom"/>
          </w:tcPr>
          <w:p>
            <w:pPr>
              <w:spacing w:after="0"/>
              <w:rPr>
                <w:sz w:val="1"/>
                <w:szCs w:val="1"/>
                <w:color w:val="auto"/>
              </w:rPr>
            </w:pPr>
          </w:p>
        </w:tc>
      </w:tr>
      <w:tr>
        <w:trPr>
          <w:trHeight w:val="54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Ms. Brooke Story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ind w:left="7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2"/>
          </w:tcPr>
          <w:p>
            <w:pPr>
              <w:ind w:left="620"/>
              <w:spacing w:after="0"/>
              <w:rPr>
                <w:sz w:val="20"/>
                <w:szCs w:val="20"/>
                <w:color w:val="auto"/>
              </w:rPr>
            </w:pPr>
            <w:r>
              <w:rPr>
                <w:rFonts w:ascii="Arial" w:cs="Arial" w:eastAsia="Arial" w:hAnsi="Arial"/>
                <w:sz w:val="18"/>
                <w:szCs w:val="18"/>
                <w:b w:val="1"/>
                <w:bCs w:val="1"/>
                <w:color w:val="auto"/>
              </w:rPr>
              <w:t>Votes Abstained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39,783,581</w:t>
            </w: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6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632,739</w:t>
            </w:r>
          </w:p>
        </w:tc>
        <w:tc>
          <w:tcPr>
            <w:tcW w:w="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6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129,239</w:t>
            </w:r>
          </w:p>
        </w:tc>
        <w:tc>
          <w:tcPr>
            <w:tcW w:w="100" w:type="dxa"/>
            <w:vAlign w:val="bottom"/>
            <w:vMerge w:val="continue"/>
          </w:tcPr>
          <w:p>
            <w:pPr>
              <w:spacing w:after="0"/>
              <w:rPr>
                <w:sz w:val="20"/>
                <w:szCs w:val="20"/>
                <w:color w:val="auto"/>
              </w:rPr>
            </w:pPr>
          </w:p>
        </w:tc>
        <w:tc>
          <w:tcPr>
            <w:tcW w:w="40" w:type="dxa"/>
            <w:vAlign w:val="bottom"/>
            <w:gridSpan w:val="2"/>
            <w:vMerge w:val="continue"/>
          </w:tcPr>
          <w:p>
            <w:pPr>
              <w:spacing w:after="0"/>
              <w:rPr>
                <w:sz w:val="20"/>
                <w:szCs w:val="20"/>
                <w:color w:val="auto"/>
              </w:rPr>
            </w:pPr>
          </w:p>
        </w:tc>
        <w:tc>
          <w:tcPr>
            <w:tcW w:w="27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3,392,159</w:t>
            </w:r>
          </w:p>
        </w:tc>
        <w:tc>
          <w:tcPr>
            <w:tcW w:w="0" w:type="dxa"/>
            <w:vAlign w:val="bottom"/>
          </w:tcPr>
          <w:p>
            <w:pPr>
              <w:spacing w:after="0"/>
              <w:rPr>
                <w:sz w:val="1"/>
                <w:szCs w:val="1"/>
                <w:color w:val="auto"/>
              </w:rPr>
            </w:pPr>
          </w:p>
        </w:tc>
      </w:tr>
      <w:tr>
        <w:trPr>
          <w:trHeight w:val="77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Mr. Peter Wilver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ind w:left="7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2"/>
          </w:tcPr>
          <w:p>
            <w:pPr>
              <w:ind w:left="620"/>
              <w:spacing w:after="0"/>
              <w:rPr>
                <w:sz w:val="20"/>
                <w:szCs w:val="20"/>
                <w:color w:val="auto"/>
              </w:rPr>
            </w:pPr>
            <w:r>
              <w:rPr>
                <w:rFonts w:ascii="Arial" w:cs="Arial" w:eastAsia="Arial" w:hAnsi="Arial"/>
                <w:sz w:val="18"/>
                <w:szCs w:val="18"/>
                <w:b w:val="1"/>
                <w:bCs w:val="1"/>
                <w:color w:val="auto"/>
              </w:rPr>
              <w:t>Votes Abstained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37,692,076</w:t>
            </w: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6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2,835,474</w:t>
            </w:r>
          </w:p>
        </w:tc>
        <w:tc>
          <w:tcPr>
            <w:tcW w:w="12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6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18,009</w:t>
            </w:r>
          </w:p>
        </w:tc>
        <w:tc>
          <w:tcPr>
            <w:tcW w:w="100" w:type="dxa"/>
            <w:vAlign w:val="bottom"/>
          </w:tcPr>
          <w:p>
            <w:pPr>
              <w:spacing w:after="0"/>
              <w:rPr>
                <w:sz w:val="20"/>
                <w:szCs w:val="20"/>
                <w:color w:val="auto"/>
              </w:rPr>
            </w:pPr>
          </w:p>
        </w:tc>
        <w:tc>
          <w:tcPr>
            <w:tcW w:w="40" w:type="dxa"/>
            <w:vAlign w:val="bottom"/>
            <w:gridSpan w:val="2"/>
            <w:vMerge w:val="continue"/>
          </w:tcPr>
          <w:p>
            <w:pPr>
              <w:spacing w:after="0"/>
              <w:rPr>
                <w:sz w:val="20"/>
                <w:szCs w:val="20"/>
                <w:color w:val="auto"/>
              </w:rPr>
            </w:pPr>
          </w:p>
        </w:tc>
        <w:tc>
          <w:tcPr>
            <w:tcW w:w="27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3,392,159</w:t>
            </w:r>
          </w:p>
        </w:tc>
        <w:tc>
          <w:tcPr>
            <w:tcW w:w="0" w:type="dxa"/>
            <w:vAlign w:val="bottom"/>
          </w:tcPr>
          <w:p>
            <w:pPr>
              <w:spacing w:after="0"/>
              <w:rPr>
                <w:sz w:val="1"/>
                <w:szCs w:val="1"/>
                <w:color w:val="auto"/>
              </w:rPr>
            </w:pPr>
          </w:p>
        </w:tc>
      </w:tr>
      <w:tr>
        <w:trPr>
          <w:trHeight w:val="540"/>
        </w:trPr>
        <w:tc>
          <w:tcPr>
            <w:tcW w:w="11240" w:type="dxa"/>
            <w:vAlign w:val="bottom"/>
            <w:gridSpan w:val="16"/>
          </w:tcPr>
          <w:p>
            <w:pPr>
              <w:spacing w:after="0"/>
              <w:rPr>
                <w:sz w:val="20"/>
                <w:szCs w:val="20"/>
                <w:color w:val="auto"/>
              </w:rPr>
            </w:pPr>
            <w:r>
              <w:rPr>
                <w:rFonts w:ascii="Arial" w:cs="Arial" w:eastAsia="Arial" w:hAnsi="Arial"/>
                <w:sz w:val="18"/>
                <w:szCs w:val="18"/>
                <w:color w:val="auto"/>
              </w:rPr>
              <w:t>2.  Ordinary resolution to approve, on an advisory basis, the Company’s compensation of its named executive officers (“US Say-on-Pay”).</w:t>
            </w:r>
          </w:p>
        </w:tc>
        <w:tc>
          <w:tcPr>
            <w:tcW w:w="0" w:type="dxa"/>
            <w:vAlign w:val="bottom"/>
          </w:tcPr>
          <w:p>
            <w:pPr>
              <w:spacing w:after="0"/>
              <w:rPr>
                <w:sz w:val="1"/>
                <w:szCs w:val="1"/>
                <w:color w:val="auto"/>
              </w:rPr>
            </w:pPr>
          </w:p>
        </w:tc>
      </w:tr>
      <w:tr>
        <w:trPr>
          <w:trHeight w:val="486"/>
        </w:trPr>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ind w:left="7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2"/>
          </w:tcPr>
          <w:p>
            <w:pPr>
              <w:ind w:left="620"/>
              <w:spacing w:after="0"/>
              <w:rPr>
                <w:sz w:val="20"/>
                <w:szCs w:val="20"/>
                <w:color w:val="auto"/>
              </w:rPr>
            </w:pPr>
            <w:r>
              <w:rPr>
                <w:rFonts w:ascii="Arial" w:cs="Arial" w:eastAsia="Arial" w:hAnsi="Arial"/>
                <w:sz w:val="18"/>
                <w:szCs w:val="18"/>
                <w:b w:val="1"/>
                <w:bCs w:val="1"/>
                <w:color w:val="auto"/>
              </w:rPr>
              <w:t>Votes Abstained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37,436,778</w:t>
            </w: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3,095,082</w:t>
            </w:r>
          </w:p>
        </w:tc>
        <w:tc>
          <w:tcPr>
            <w:tcW w:w="12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13,699</w:t>
            </w:r>
          </w:p>
        </w:tc>
        <w:tc>
          <w:tcPr>
            <w:tcW w:w="100" w:type="dxa"/>
            <w:vAlign w:val="bottom"/>
          </w:tcPr>
          <w:p>
            <w:pPr>
              <w:spacing w:after="0"/>
              <w:rPr>
                <w:sz w:val="20"/>
                <w:szCs w:val="20"/>
                <w:color w:val="auto"/>
              </w:rPr>
            </w:pPr>
          </w:p>
        </w:tc>
        <w:tc>
          <w:tcPr>
            <w:tcW w:w="40" w:type="dxa"/>
            <w:vAlign w:val="bottom"/>
            <w:gridSpan w:val="2"/>
            <w:vMerge w:val="continue"/>
          </w:tcPr>
          <w:p>
            <w:pPr>
              <w:spacing w:after="0"/>
              <w:rPr>
                <w:sz w:val="20"/>
                <w:szCs w:val="20"/>
                <w:color w:val="auto"/>
              </w:rPr>
            </w:pPr>
          </w:p>
        </w:tc>
        <w:tc>
          <w:tcPr>
            <w:tcW w:w="2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3,392,159</w:t>
            </w:r>
          </w:p>
        </w:tc>
        <w:tc>
          <w:tcPr>
            <w:tcW w:w="0" w:type="dxa"/>
            <w:vAlign w:val="bottom"/>
          </w:tcPr>
          <w:p>
            <w:pPr>
              <w:spacing w:after="0"/>
              <w:rPr>
                <w:sz w:val="1"/>
                <w:szCs w:val="1"/>
                <w:color w:val="auto"/>
              </w:rPr>
            </w:pPr>
          </w:p>
        </w:tc>
      </w:tr>
      <w:tr>
        <w:trPr>
          <w:trHeight w:val="26"/>
        </w:trPr>
        <w:tc>
          <w:tcPr>
            <w:tcW w:w="27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 w:name="page4"/>
    <w:bookmarkEnd w:id="3"/>
    <w:p>
      <w:pPr>
        <w:ind w:firstLine="8"/>
        <w:spacing w:after="0" w:line="261" w:lineRule="auto"/>
        <w:tabs>
          <w:tab w:leader="none" w:pos="469"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resolution to ratify the appointment of PricewaterhouseCoopers LLP, a Delaware limited liability partnership ("PwC USA"), as the Company’s independent registered public accounting firm for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1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43,883,022</w:t>
            </w:r>
          </w:p>
        </w:tc>
        <w:tc>
          <w:tcPr>
            <w:tcW w:w="120" w:type="dxa"/>
            <w:vAlign w:val="bottom"/>
            <w:vMerge w:val="continue"/>
          </w:tcPr>
          <w:p>
            <w:pPr>
              <w:spacing w:after="0"/>
              <w:rPr>
                <w:sz w:val="20"/>
                <w:szCs w:val="20"/>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39,922</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14,774</w:t>
            </w:r>
          </w:p>
        </w:tc>
        <w:tc>
          <w:tcPr>
            <w:tcW w:w="140" w:type="dxa"/>
            <w:vAlign w:val="bottom"/>
            <w:vMerge w:val="continue"/>
          </w:tcPr>
          <w:p>
            <w:pPr>
              <w:spacing w:after="0"/>
              <w:rPr>
                <w:sz w:val="20"/>
                <w:szCs w:val="20"/>
                <w:color w:val="auto"/>
              </w:rPr>
            </w:pPr>
          </w:p>
        </w:tc>
        <w:tc>
          <w:tcPr>
            <w:tcW w:w="278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
        </w:trPr>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Ordinary resolution to approve the Amended and Restated LivaNova PLC 2022 Incentive Award Plan.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1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39,247,159</w:t>
            </w:r>
          </w:p>
        </w:tc>
        <w:tc>
          <w:tcPr>
            <w:tcW w:w="120" w:type="dxa"/>
            <w:vAlign w:val="bottom"/>
            <w:vMerge w:val="continue"/>
          </w:tcPr>
          <w:p>
            <w:pPr>
              <w:spacing w:after="0"/>
              <w:rPr>
                <w:sz w:val="20"/>
                <w:szCs w:val="20"/>
                <w:color w:val="auto"/>
              </w:rPr>
            </w:pPr>
          </w:p>
        </w:tc>
        <w:tc>
          <w:tcPr>
            <w:tcW w:w="26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1,277,592</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20,808</w:t>
            </w:r>
          </w:p>
        </w:tc>
        <w:tc>
          <w:tcPr>
            <w:tcW w:w="140" w:type="dxa"/>
            <w:vAlign w:val="bottom"/>
            <w:vMerge w:val="continue"/>
          </w:tcPr>
          <w:p>
            <w:pPr>
              <w:spacing w:after="0"/>
              <w:rPr>
                <w:sz w:val="20"/>
                <w:szCs w:val="20"/>
                <w:color w:val="auto"/>
              </w:rPr>
            </w:pPr>
          </w:p>
        </w:tc>
        <w:tc>
          <w:tcPr>
            <w:tcW w:w="27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3,392,159</w:t>
            </w:r>
          </w:p>
        </w:tc>
        <w:tc>
          <w:tcPr>
            <w:tcW w:w="0" w:type="dxa"/>
            <w:vAlign w:val="bottom"/>
          </w:tcPr>
          <w:p>
            <w:pPr>
              <w:spacing w:after="0"/>
              <w:rPr>
                <w:sz w:val="1"/>
                <w:szCs w:val="1"/>
                <w:color w:val="auto"/>
              </w:rPr>
            </w:pPr>
          </w:p>
        </w:tc>
      </w:tr>
      <w:tr>
        <w:trPr>
          <w:trHeight w:val="26"/>
        </w:trPr>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8"/>
        <w:spacing w:after="0" w:line="248" w:lineRule="auto"/>
        <w:tabs>
          <w:tab w:leader="none" w:pos="189"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resolution to generally and unconditionally authorize the directors, for purposes of section 551 of the Companies Act 2006 (the “Companies Act”) to exercise all powers of the Company to allot shares in the Company and to grant rights to subscribe for, or to convert any security into, shares in the Company up to an aggregate nominal amount of £10,770,848, provided that:</w:t>
      </w:r>
    </w:p>
    <w:p>
      <w:pPr>
        <w:spacing w:after="0" w:line="249" w:lineRule="exact"/>
        <w:rPr>
          <w:sz w:val="20"/>
          <w:szCs w:val="20"/>
          <w:color w:val="auto"/>
        </w:rPr>
      </w:pPr>
    </w:p>
    <w:p>
      <w:pPr>
        <w:ind w:firstLine="8"/>
        <w:spacing w:after="0" w:line="241"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p>
    <w:p>
      <w:pPr>
        <w:spacing w:after="0" w:line="256" w:lineRule="exact"/>
        <w:rPr>
          <w:rFonts w:ascii="Arial" w:cs="Arial" w:eastAsia="Arial" w:hAnsi="Arial"/>
          <w:sz w:val="18"/>
          <w:szCs w:val="18"/>
          <w:color w:val="auto"/>
        </w:rPr>
      </w:pPr>
    </w:p>
    <w:p>
      <w:pPr>
        <w:ind w:right="100" w:firstLine="8"/>
        <w:spacing w:after="0" w:line="248" w:lineRule="auto"/>
        <w:tabs>
          <w:tab w:leader="none" w:pos="29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391"/>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43,540,473</w:t>
            </w:r>
          </w:p>
        </w:tc>
        <w:tc>
          <w:tcPr>
            <w:tcW w:w="120" w:type="dxa"/>
            <w:vAlign w:val="bottom"/>
            <w:vMerge w:val="continue"/>
          </w:tcPr>
          <w:p>
            <w:pPr>
              <w:spacing w:after="0"/>
              <w:rPr>
                <w:sz w:val="20"/>
                <w:szCs w:val="20"/>
                <w:color w:val="auto"/>
              </w:rPr>
            </w:pPr>
          </w:p>
        </w:tc>
        <w:tc>
          <w:tcPr>
            <w:tcW w:w="26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381,719</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15,526</w:t>
            </w:r>
          </w:p>
        </w:tc>
        <w:tc>
          <w:tcPr>
            <w:tcW w:w="140" w:type="dxa"/>
            <w:vAlign w:val="bottom"/>
            <w:vMerge w:val="continue"/>
          </w:tcPr>
          <w:p>
            <w:pPr>
              <w:spacing w:after="0"/>
              <w:rPr>
                <w:sz w:val="20"/>
                <w:szCs w:val="20"/>
                <w:color w:val="auto"/>
              </w:rPr>
            </w:pPr>
          </w:p>
        </w:tc>
        <w:tc>
          <w:tcPr>
            <w:tcW w:w="278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
        </w:trPr>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100" w:firstLine="8"/>
        <w:spacing w:after="0" w:line="279" w:lineRule="auto"/>
        <w:tabs>
          <w:tab w:leader="none" w:pos="189" w:val="left"/>
        </w:tabs>
        <w:numPr>
          <w:ilvl w:val="0"/>
          <w:numId w:val="5"/>
        </w:numPr>
        <w:rPr>
          <w:rFonts w:ascii="Arial" w:cs="Arial" w:eastAsia="Arial" w:hAnsi="Arial"/>
          <w:sz w:val="16"/>
          <w:szCs w:val="16"/>
          <w:color w:val="auto"/>
        </w:rPr>
      </w:pPr>
      <w:r>
        <w:rPr>
          <w:rFonts w:ascii="Arial" w:cs="Arial" w:eastAsia="Arial" w:hAnsi="Arial"/>
          <w:sz w:val="16"/>
          <w:szCs w:val="16"/>
          <w:color w:val="auto"/>
        </w:rPr>
        <w:t>Special Resolution subject to the passing of resolution 5 and in accordance with sections 570 and 573 of the Companies Act, to empower the directors generally to allot equity securities (as defined in section 560 of the Companies Act) for cash pursuant to the authority conferred by resolution 5,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£10,770,848, provided that:</w:t>
      </w:r>
    </w:p>
    <w:p>
      <w:pPr>
        <w:spacing w:after="0" w:line="227" w:lineRule="exact"/>
        <w:rPr>
          <w:sz w:val="20"/>
          <w:szCs w:val="20"/>
          <w:color w:val="auto"/>
        </w:rPr>
      </w:pPr>
    </w:p>
    <w:p>
      <w:pPr>
        <w:ind w:right="60" w:firstLine="8"/>
        <w:spacing w:after="0" w:line="278" w:lineRule="auto"/>
        <w:tabs>
          <w:tab w:leader="none" w:pos="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ind w:right="340" w:firstLine="8"/>
        <w:spacing w:after="0" w:line="248" w:lineRule="auto"/>
        <w:tabs>
          <w:tab w:leader="none" w:pos="29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power replaces (except for any power conferred by resolution 5)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1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43,107,358</w:t>
            </w:r>
          </w:p>
        </w:tc>
        <w:tc>
          <w:tcPr>
            <w:tcW w:w="120" w:type="dxa"/>
            <w:vAlign w:val="bottom"/>
            <w:vMerge w:val="continue"/>
          </w:tcPr>
          <w:p>
            <w:pPr>
              <w:spacing w:after="0"/>
              <w:rPr>
                <w:sz w:val="21"/>
                <w:szCs w:val="21"/>
                <w:color w:val="auto"/>
              </w:rPr>
            </w:pPr>
          </w:p>
        </w:tc>
        <w:tc>
          <w:tcPr>
            <w:tcW w:w="26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814,021</w:t>
            </w:r>
          </w:p>
        </w:tc>
        <w:tc>
          <w:tcPr>
            <w:tcW w:w="140" w:type="dxa"/>
            <w:vAlign w:val="bottom"/>
            <w:vMerge w:val="continue"/>
          </w:tcPr>
          <w:p>
            <w:pPr>
              <w:spacing w:after="0"/>
              <w:rPr>
                <w:sz w:val="21"/>
                <w:szCs w:val="21"/>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16,339</w:t>
            </w:r>
          </w:p>
        </w:tc>
        <w:tc>
          <w:tcPr>
            <w:tcW w:w="140" w:type="dxa"/>
            <w:vAlign w:val="bottom"/>
            <w:vMerge w:val="continue"/>
          </w:tcPr>
          <w:p>
            <w:pPr>
              <w:spacing w:after="0"/>
              <w:rPr>
                <w:sz w:val="21"/>
                <w:szCs w:val="21"/>
                <w:color w:val="auto"/>
              </w:rPr>
            </w:pPr>
          </w:p>
        </w:tc>
        <w:tc>
          <w:tcPr>
            <w:tcW w:w="278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firstLine="8"/>
        <w:spacing w:after="0" w:line="261"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resolution to approve, on an advisory basis, the United Kingdom (“UK”) directors’ remuneration report in the form set out in the Company’s UK annual report for the period ended December 31,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1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38,942,046</w:t>
            </w:r>
          </w:p>
        </w:tc>
        <w:tc>
          <w:tcPr>
            <w:tcW w:w="120" w:type="dxa"/>
            <w:vAlign w:val="bottom"/>
            <w:vMerge w:val="continue"/>
          </w:tcPr>
          <w:p>
            <w:pPr>
              <w:spacing w:after="0"/>
              <w:rPr>
                <w:sz w:val="20"/>
                <w:szCs w:val="20"/>
                <w:color w:val="auto"/>
              </w:rPr>
            </w:pPr>
          </w:p>
        </w:tc>
        <w:tc>
          <w:tcPr>
            <w:tcW w:w="26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1,590,167</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13,346</w:t>
            </w:r>
          </w:p>
        </w:tc>
        <w:tc>
          <w:tcPr>
            <w:tcW w:w="140" w:type="dxa"/>
            <w:vAlign w:val="bottom"/>
            <w:vMerge w:val="continue"/>
          </w:tcPr>
          <w:p>
            <w:pPr>
              <w:spacing w:after="0"/>
              <w:rPr>
                <w:sz w:val="20"/>
                <w:szCs w:val="20"/>
                <w:color w:val="auto"/>
              </w:rPr>
            </w:pPr>
          </w:p>
        </w:tc>
        <w:tc>
          <w:tcPr>
            <w:tcW w:w="27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3,392,159</w:t>
            </w:r>
          </w:p>
        </w:tc>
        <w:tc>
          <w:tcPr>
            <w:tcW w:w="0" w:type="dxa"/>
            <w:vAlign w:val="bottom"/>
          </w:tcPr>
          <w:p>
            <w:pPr>
              <w:spacing w:after="0"/>
              <w:rPr>
                <w:sz w:val="1"/>
                <w:szCs w:val="1"/>
                <w:color w:val="auto"/>
              </w:rPr>
            </w:pPr>
          </w:p>
        </w:tc>
      </w:tr>
      <w:tr>
        <w:trPr>
          <w:trHeight w:val="26"/>
        </w:trPr>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520" w:firstLine="8"/>
        <w:spacing w:after="0" w:line="261"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resolution to receive and adopt the Company’s audited UK statutory accounts for the year ended December 31, 2022, together with the reports of the directors and auditors thereon.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1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40,344,853</w:t>
            </w:r>
          </w:p>
        </w:tc>
        <w:tc>
          <w:tcPr>
            <w:tcW w:w="120" w:type="dxa"/>
            <w:vAlign w:val="bottom"/>
            <w:vMerge w:val="continue"/>
          </w:tcPr>
          <w:p>
            <w:pPr>
              <w:spacing w:after="0"/>
              <w:rPr>
                <w:sz w:val="20"/>
                <w:szCs w:val="20"/>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11,813</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188,893</w:t>
            </w:r>
          </w:p>
        </w:tc>
        <w:tc>
          <w:tcPr>
            <w:tcW w:w="140" w:type="dxa"/>
            <w:vAlign w:val="bottom"/>
            <w:vMerge w:val="continue"/>
          </w:tcPr>
          <w:p>
            <w:pPr>
              <w:spacing w:after="0"/>
              <w:rPr>
                <w:sz w:val="20"/>
                <w:szCs w:val="20"/>
                <w:color w:val="auto"/>
              </w:rPr>
            </w:pPr>
          </w:p>
        </w:tc>
        <w:tc>
          <w:tcPr>
            <w:tcW w:w="27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3,392,159</w:t>
            </w:r>
          </w:p>
        </w:tc>
        <w:tc>
          <w:tcPr>
            <w:tcW w:w="0" w:type="dxa"/>
            <w:vAlign w:val="bottom"/>
          </w:tcPr>
          <w:p>
            <w:pPr>
              <w:spacing w:after="0"/>
              <w:rPr>
                <w:sz w:val="1"/>
                <w:szCs w:val="1"/>
                <w:color w:val="auto"/>
              </w:rPr>
            </w:pPr>
          </w:p>
        </w:tc>
      </w:tr>
      <w:tr>
        <w:trPr>
          <w:trHeight w:val="26"/>
        </w:trPr>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8"/>
        <w:spacing w:after="0" w:line="261" w:lineRule="auto"/>
        <w:tabs>
          <w:tab w:leader="none" w:pos="4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resolution to re-appoint PricewaterhouseCoopers LLP, a limited liability partnership organized under the laws of England (“PwC-UK”), as the Company’s UK statutory auditor for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1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43,882,990</w:t>
            </w:r>
          </w:p>
        </w:tc>
        <w:tc>
          <w:tcPr>
            <w:tcW w:w="120" w:type="dxa"/>
            <w:vAlign w:val="bottom"/>
            <w:vMerge w:val="continue"/>
          </w:tcPr>
          <w:p>
            <w:pPr>
              <w:spacing w:after="0"/>
              <w:rPr>
                <w:sz w:val="20"/>
                <w:szCs w:val="20"/>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39,754</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14,974</w:t>
            </w:r>
          </w:p>
        </w:tc>
        <w:tc>
          <w:tcPr>
            <w:tcW w:w="140" w:type="dxa"/>
            <w:vAlign w:val="bottom"/>
            <w:vMerge w:val="continue"/>
          </w:tcPr>
          <w:p>
            <w:pPr>
              <w:spacing w:after="0"/>
              <w:rPr>
                <w:sz w:val="20"/>
                <w:szCs w:val="20"/>
                <w:color w:val="auto"/>
              </w:rPr>
            </w:pPr>
          </w:p>
        </w:tc>
        <w:tc>
          <w:tcPr>
            <w:tcW w:w="278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
        </w:trPr>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8"/>
        <w:spacing w:after="0" w:line="255" w:lineRule="auto"/>
        <w:tabs>
          <w:tab w:leader="none" w:pos="4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resolution to authorize the directors and/or the Audit and Compliance Committee to determine the remuneration of the Company’s UK statutory auditor.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c>
          <w:tcPr>
            <w:tcW w:w="1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43,865,986</w:t>
            </w:r>
          </w:p>
        </w:tc>
        <w:tc>
          <w:tcPr>
            <w:tcW w:w="120" w:type="dxa"/>
            <w:vAlign w:val="bottom"/>
            <w:vMerge w:val="continue"/>
          </w:tcPr>
          <w:p>
            <w:pPr>
              <w:spacing w:after="0"/>
              <w:rPr>
                <w:sz w:val="20"/>
                <w:szCs w:val="20"/>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53,892</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17,840</w:t>
            </w:r>
          </w:p>
        </w:tc>
        <w:tc>
          <w:tcPr>
            <w:tcW w:w="140" w:type="dxa"/>
            <w:vAlign w:val="bottom"/>
            <w:vMerge w:val="continue"/>
          </w:tcPr>
          <w:p>
            <w:pPr>
              <w:spacing w:after="0"/>
              <w:rPr>
                <w:sz w:val="20"/>
                <w:szCs w:val="20"/>
                <w:color w:val="auto"/>
              </w:rPr>
            </w:pPr>
          </w:p>
        </w:tc>
        <w:tc>
          <w:tcPr>
            <w:tcW w:w="278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
        </w:trPr>
        <w:tc>
          <w:tcPr>
            <w:tcW w:w="27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FF"/>
        </w:rPr>
        <w:t>Amended and Restated LivaNova PLC 2022 Incentive Award Plan</w:t>
      </w:r>
    </w:p>
    <w:p>
      <w:pPr>
        <w:spacing w:after="0" w:line="23" w:lineRule="exact"/>
        <w:rPr>
          <w:sz w:val="20"/>
          <w:szCs w:val="20"/>
          <w:color w:val="auto"/>
        </w:rPr>
      </w:pPr>
    </w:p>
    <w:p>
      <w:pPr>
        <w:ind w:left="1580" w:hanging="1554"/>
        <w:spacing w:after="0"/>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 w:name="page6"/>
    <w:bookmarkEnd w:id="5"/>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June 16, 2023</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Michael Hutchinson</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Michael Hutchinson</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SVP, Company Secretary &amp;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320" w:top="1012" w:right="5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AMENDED AND RESTATED LIVANOVA PLC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2022 INCENTIVE AWARD PLAN</w:t>
      </w:r>
    </w:p>
    <w:p>
      <w:pPr>
        <w:spacing w:after="0" w:line="101" w:lineRule="exact"/>
        <w:rPr>
          <w:sz w:val="20"/>
          <w:szCs w:val="20"/>
          <w:color w:val="auto"/>
        </w:rPr>
      </w:pPr>
    </w:p>
    <w:p>
      <w:pPr>
        <w:jc w:val="center"/>
        <w:ind w:left="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Adopted by the Board of Directors of LivaNova PLC on April 19, 2023, conditional on shareholder approval.) (Approved by the shareholders of LivaNova</w:t>
      </w:r>
      <w:r>
        <w:rPr>
          <w:rFonts w:ascii="Arial" w:cs="Arial" w:eastAsia="Arial" w:hAnsi="Arial"/>
          <w:sz w:val="18"/>
          <w:szCs w:val="18"/>
          <w:color w:val="auto"/>
        </w:rPr>
        <w:t xml:space="preserve"> </w:t>
      </w:r>
      <w:r>
        <w:rPr>
          <w:rFonts w:ascii="Arial" w:cs="Arial" w:eastAsia="Arial" w:hAnsi="Arial"/>
          <w:sz w:val="18"/>
          <w:szCs w:val="18"/>
          <w:i w:val="1"/>
          <w:iCs w:val="1"/>
          <w:color w:val="auto"/>
        </w:rPr>
        <w:t>PLC on June 12, 2023.</w:t>
      </w:r>
      <w:r>
        <w:rPr>
          <w:rFonts w:ascii="Arial" w:cs="Arial" w:eastAsia="Arial" w:hAnsi="Arial"/>
          <w:sz w:val="18"/>
          <w:szCs w:val="18"/>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the Amended and Restated LivaNova PLC 2022 Incentive Award Plan (as it may be amended or restated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is to</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promote the success and enhance the value of LivaNova PLC, a public limited company incorporated under the laws of England and Wales (the</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by linking the individual interests of the Employees to those of Company shareholders and by providing Employees with an incentive for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outstanding performance to generate superior returns to Company shareholders. The Plan is further intended to provide flexibility to the Company in its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ability to motivate, attract, and retain the services of Employees upon whose judgment, interest, and special effort the successful conduct of the Company’s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operation is largely dependent.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CONSTRUCTION</w:t>
      </w:r>
    </w:p>
    <w:p>
      <w:pPr>
        <w:spacing w:after="0" w:line="121"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89" w:lineRule="exact"/>
        <w:rPr>
          <w:sz w:val="20"/>
          <w:szCs w:val="20"/>
          <w:color w:val="auto"/>
        </w:rPr>
      </w:pPr>
    </w:p>
    <w:p>
      <w:pPr>
        <w:ind w:left="360" w:right="60"/>
        <w:spacing w:after="0" w:line="238"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11. With reference to the duties of the Committee under the Plan which have been delegated to one or more persons pursuant to Section 11.6, or as to which the Board has assumed, the term “Administrator” shall refer to such person(s) unless the Committee or the Board has revoked such delegation or the Board has terminated the assumption of such duties.</w:t>
      </w:r>
    </w:p>
    <w:p>
      <w:pPr>
        <w:spacing w:after="0" w:line="97" w:lineRule="exact"/>
        <w:rPr>
          <w:sz w:val="20"/>
          <w:szCs w:val="20"/>
          <w:color w:val="auto"/>
        </w:rPr>
      </w:pPr>
    </w:p>
    <w:p>
      <w:pPr>
        <w:ind w:left="360"/>
        <w:spacing w:after="0" w:line="248"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87" w:lineRule="exact"/>
        <w:rPr>
          <w:sz w:val="20"/>
          <w:szCs w:val="20"/>
          <w:color w:val="auto"/>
        </w:rPr>
      </w:pPr>
    </w:p>
    <w:p>
      <w:pPr>
        <w:ind w:left="360" w:right="120"/>
        <w:spacing w:after="0" w:line="238"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applicable law, including without limitation: (a) the Code, the Securities Act, the Exchange Act and any rules or regulations thereunder; (b) corporate, securities, tax or other laws, statutes, rules, requirements or regulations, whether federal, state, local or foreign, applicable in England and Wales, the United States or any other jurisdiction; and (c) rules of any securities exchange or automated quotation system on which the Shares are listed, quoted or traded.</w:t>
      </w:r>
    </w:p>
    <w:p>
      <w:pPr>
        <w:spacing w:after="0" w:line="97" w:lineRule="exact"/>
        <w:rPr>
          <w:sz w:val="20"/>
          <w:szCs w:val="20"/>
          <w:color w:val="auto"/>
        </w:rPr>
      </w:pPr>
    </w:p>
    <w:p>
      <w:pPr>
        <w:ind w:left="360" w:right="40"/>
        <w:spacing w:after="0" w:line="238"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Automatic Exercise Date</w:t>
      </w:r>
      <w:r>
        <w:rPr>
          <w:rFonts w:ascii="Arial" w:cs="Arial" w:eastAsia="Arial" w:hAnsi="Arial"/>
          <w:sz w:val="18"/>
          <w:szCs w:val="18"/>
          <w:color w:val="auto"/>
        </w:rPr>
        <w:t>” shall mean, with respect to an Option or a Stock Appreciation Right, the last business day of the applicable Option Term or SAR Term that was initially established by the Administrator for such Option or Stock Appreciation Right (</w:t>
      </w:r>
      <w:r>
        <w:rPr>
          <w:rFonts w:ascii="Arial" w:cs="Arial" w:eastAsia="Arial" w:hAnsi="Arial"/>
          <w:sz w:val="18"/>
          <w:szCs w:val="18"/>
          <w:i w:val="1"/>
          <w:iCs w:val="1"/>
          <w:color w:val="auto"/>
        </w:rPr>
        <w:t>e.g.</w:t>
      </w:r>
      <w:r>
        <w:rPr>
          <w:rFonts w:ascii="Arial" w:cs="Arial" w:eastAsia="Arial" w:hAnsi="Arial"/>
          <w:sz w:val="18"/>
          <w:szCs w:val="18"/>
          <w:color w:val="auto"/>
        </w:rPr>
        <w:t>, the last business day prior to the tenth anniversary of the date of grant of such Option or Stock Appreciation Right if the Option or Stock Appreciation Right initially had a ten-year Option Term or SAR Term, as applicable).</w:t>
      </w:r>
    </w:p>
    <w:p>
      <w:pPr>
        <w:spacing w:after="0" w:line="97" w:lineRule="exact"/>
        <w:rPr>
          <w:sz w:val="20"/>
          <w:szCs w:val="20"/>
          <w:color w:val="auto"/>
        </w:rPr>
      </w:pPr>
    </w:p>
    <w:p>
      <w:pPr>
        <w:ind w:left="360" w:right="540"/>
        <w:spacing w:after="0" w:line="246"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Stock Appreciation Right, Restricted Stock, Restricted Stock Unit, Other Stock or Cash Based Award or a Dividend Equivalent award, which may be awarded or granted under the Plan.</w:t>
      </w:r>
    </w:p>
    <w:p>
      <w:pPr>
        <w:spacing w:after="0" w:line="89" w:lineRule="exact"/>
        <w:rPr>
          <w:sz w:val="20"/>
          <w:szCs w:val="20"/>
          <w:color w:val="auto"/>
        </w:rPr>
      </w:pPr>
    </w:p>
    <w:p>
      <w:pPr>
        <w:ind w:left="360" w:right="300"/>
        <w:spacing w:after="0" w:line="248"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87" w:lineRule="exact"/>
        <w:rPr>
          <w:sz w:val="20"/>
          <w:szCs w:val="20"/>
          <w:color w:val="auto"/>
        </w:rPr>
      </w:pPr>
    </w:p>
    <w:p>
      <w:pPr>
        <w:ind w:left="360" w:right="180"/>
        <w:spacing w:after="0" w:line="246"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3.2.</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w:t>
      </w:r>
    </w:p>
    <w:p>
      <w:pPr>
        <w:spacing w:after="0" w:line="117" w:lineRule="exact"/>
        <w:rPr>
          <w:sz w:val="20"/>
          <w:szCs w:val="20"/>
          <w:color w:val="auto"/>
        </w:rPr>
      </w:pPr>
    </w:p>
    <w:p>
      <w:pPr>
        <w:ind w:left="1100" w:hanging="37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Sale;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20"/>
          </w:cols>
          <w:pgMar w:left="320" w:top="1228" w:right="359" w:bottom="1440" w:gutter="0" w:footer="0" w:header="0"/>
        </w:sectPr>
      </w:pPr>
    </w:p>
    <w:bookmarkStart w:id="7" w:name="page8"/>
    <w:bookmarkEnd w:id="7"/>
    <w:p>
      <w:pPr>
        <w:ind w:left="720"/>
        <w:spacing w:after="0"/>
        <w:tabs>
          <w:tab w:leader="none" w:pos="11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a Takeover.</w:t>
      </w:r>
    </w:p>
    <w:p>
      <w:pPr>
        <w:spacing w:after="0" w:line="11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the date of the occurrence of such Change in Control and any incidental matters relating thereto.</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 the extent that any amount payable under the Plan constitutes non-exempt “deferred compensation” for purposes of Section 409A and would otherwise be payable or distributable under the Plan by reason of the occurrence of a Change in Control, such amount or benefit will not be payable or distributable to any Participant who is subject to Section 409A by reason of such Change in Control unless the circumstances giving rise to such Change in Control constitutes a “change in control event” as defined in Treasury Regulation Section 1.409A-3(i)(5). If this provision prevents the payment or distribution of any amount, such payment or distribution shall be made on the next earliest payment or distribution date or event specified in the Plan that is permissible under Section 409A.</w:t>
      </w:r>
    </w:p>
    <w:p>
      <w:pPr>
        <w:spacing w:after="0" w:line="97" w:lineRule="exact"/>
        <w:rPr>
          <w:sz w:val="20"/>
          <w:szCs w:val="20"/>
          <w:color w:val="auto"/>
        </w:rPr>
      </w:pPr>
    </w:p>
    <w:p>
      <w:pPr>
        <w:ind w:left="360" w:right="480"/>
        <w:spacing w:after="0" w:line="246"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89" w:lineRule="exact"/>
        <w:rPr>
          <w:sz w:val="20"/>
          <w:szCs w:val="20"/>
          <w:color w:val="auto"/>
        </w:rPr>
      </w:pPr>
    </w:p>
    <w:p>
      <w:pPr>
        <w:ind w:left="360" w:right="80"/>
        <w:spacing w:after="0" w:line="261"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or the Compensation Committee of the Board described in Article 11 hereof.</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any consultant or adviser engaged to provide services to the Company or any Subsidiary.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Control</w:t>
      </w:r>
      <w:r>
        <w:rPr>
          <w:rFonts w:ascii="Arial" w:cs="Arial" w:eastAsia="Arial" w:hAnsi="Arial"/>
          <w:sz w:val="18"/>
          <w:szCs w:val="18"/>
          <w:color w:val="auto"/>
        </w:rPr>
        <w:t>” shall have the meaning given in section 995(2) of the Income Tax Act 2007, unless otherwise specified.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117" w:lineRule="exact"/>
        <w:rPr>
          <w:sz w:val="20"/>
          <w:szCs w:val="20"/>
          <w:color w:val="auto"/>
        </w:rPr>
      </w:pPr>
    </w:p>
    <w:p>
      <w:pPr>
        <w:ind w:left="360" w:right="540"/>
        <w:spacing w:after="0" w:line="246"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9.2.</w:t>
      </w:r>
    </w:p>
    <w:p>
      <w:pPr>
        <w:spacing w:after="0" w:line="89" w:lineRule="exact"/>
        <w:rPr>
          <w:sz w:val="20"/>
          <w:szCs w:val="20"/>
          <w:color w:val="auto"/>
        </w:rPr>
      </w:pPr>
    </w:p>
    <w:p>
      <w:pPr>
        <w:ind w:left="360" w:right="120"/>
        <w:spacing w:after="0" w:line="261"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on which the Plan is approved by the shareholders of the Company.</w:t>
      </w:r>
    </w:p>
    <w:p>
      <w:pPr>
        <w:spacing w:after="0" w:line="117" w:lineRule="exact"/>
        <w:rPr>
          <w:sz w:val="20"/>
          <w:szCs w:val="20"/>
          <w:color w:val="auto"/>
        </w:rPr>
      </w:pPr>
    </w:p>
    <w:p>
      <w:pPr>
        <w:ind w:left="360" w:right="240"/>
        <w:spacing w:after="0" w:line="261"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person who is an Employee, as determined by the Administrator. For the avoidance of doubt, no person who is a Consultant or a Non-Employee Director can qualify as an Eligible Individual under the Plan.</w:t>
      </w:r>
    </w:p>
    <w:p>
      <w:pPr>
        <w:spacing w:after="0" w:line="76" w:lineRule="exact"/>
        <w:rPr>
          <w:sz w:val="20"/>
          <w:szCs w:val="20"/>
          <w:color w:val="auto"/>
        </w:rPr>
      </w:pPr>
    </w:p>
    <w:p>
      <w:pPr>
        <w:ind w:left="360" w:right="40"/>
        <w:spacing w:after="0" w:line="246"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person who is an employee of the Company or of any Subsidiary, including any employee who is also a director or officeholder of the Company or of any Subsidiary.</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Employer</w:t>
      </w:r>
      <w:r>
        <w:rPr>
          <w:rFonts w:ascii="Arial" w:cs="Arial" w:eastAsia="Arial" w:hAnsi="Arial"/>
          <w:sz w:val="18"/>
          <w:szCs w:val="18"/>
          <w:color w:val="auto"/>
        </w:rPr>
        <w:t>” shall have the meaning set forth in Section 10.2.</w:t>
      </w:r>
    </w:p>
    <w:p>
      <w:pPr>
        <w:spacing w:after="0" w:line="117" w:lineRule="exact"/>
        <w:rPr>
          <w:sz w:val="20"/>
          <w:szCs w:val="20"/>
          <w:color w:val="auto"/>
        </w:rPr>
      </w:pPr>
    </w:p>
    <w:p>
      <w:pPr>
        <w:jc w:val="both"/>
        <w:ind w:left="360" w:right="160"/>
        <w:spacing w:after="0" w:line="238"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shareholders, such as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given to such term in Section 12.1(c).</w:t>
      </w:r>
    </w:p>
    <w:p>
      <w:pPr>
        <w:spacing w:after="0" w:line="117" w:lineRule="exact"/>
        <w:rPr>
          <w:sz w:val="20"/>
          <w:szCs w:val="20"/>
          <w:color w:val="auto"/>
        </w:rPr>
      </w:pPr>
    </w:p>
    <w:p>
      <w:pPr>
        <w:jc w:val="both"/>
        <w:ind w:left="360"/>
        <w:spacing w:after="0" w:line="261" w:lineRule="auto"/>
        <w:rPr>
          <w:sz w:val="20"/>
          <w:szCs w:val="20"/>
          <w:color w:val="auto"/>
        </w:rPr>
      </w:pPr>
      <w:r>
        <w:rPr>
          <w:rFonts w:ascii="Arial" w:cs="Arial" w:eastAsia="Arial" w:hAnsi="Arial"/>
          <w:sz w:val="17"/>
          <w:szCs w:val="17"/>
          <w:color w:val="auto"/>
        </w:rPr>
        <w:t xml:space="preserve">2.25 “ </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shall mean, as of any given date, the closing sales price for a Share as quoted on the Nasdaq Global Select Market for such date or, if there is no closing sales price for a Share on the date in question, the closing sales price for a Share on the last preceding date for which such quotation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78" w:lineRule="exact"/>
        <w:rPr>
          <w:sz w:val="20"/>
          <w:szCs w:val="20"/>
          <w:color w:val="auto"/>
        </w:rPr>
      </w:pPr>
    </w:p>
    <w:p>
      <w:pPr>
        <w:ind w:left="360" w:right="120"/>
        <w:spacing w:after="0" w:line="261"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Greater Than 10% Shareholder</w:t>
      </w:r>
      <w:r>
        <w:rPr>
          <w:rFonts w:ascii="Arial" w:cs="Arial" w:eastAsia="Arial" w:hAnsi="Arial"/>
          <w:sz w:val="18"/>
          <w:szCs w:val="18"/>
          <w:color w:val="auto"/>
        </w:rPr>
        <w:t>” shall mean an individual then owning (within the meaning of Section 424(d) of the Code) more than 10% of the total combined voting power of all classes of shares of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20"/>
          </w:cols>
          <w:pgMar w:left="320" w:top="1367" w:right="359" w:bottom="1440" w:gutter="0" w:footer="0" w:header="0"/>
        </w:sectPr>
      </w:pPr>
    </w:p>
    <w:bookmarkStart w:id="8" w:name="page9"/>
    <w:bookmarkEnd w:id="8"/>
    <w:p>
      <w:pPr>
        <w:ind w:right="260"/>
        <w:spacing w:after="0" w:line="246" w:lineRule="auto"/>
        <w:rPr>
          <w:sz w:val="20"/>
          <w:szCs w:val="20"/>
          <w:color w:val="auto"/>
        </w:rPr>
      </w:pPr>
      <w:r>
        <w:rPr>
          <w:rFonts w:ascii="Arial" w:cs="Arial" w:eastAsia="Arial" w:hAnsi="Arial"/>
          <w:sz w:val="18"/>
          <w:szCs w:val="18"/>
          <w:color w:val="auto"/>
        </w:rPr>
        <w:t>Company or any subsidiary corporation (as defined in Section 424(f) of the Code) or parent corporation thereof (as defined in Section 424(e) of the Code).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11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 or which is designated as an Incentive Stock Option but does not meet the applicable requirements of Section 422 of the Code.</w:t>
      </w:r>
    </w:p>
    <w:p>
      <w:pPr>
        <w:spacing w:after="0" w:line="7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Option</w:t>
      </w:r>
      <w:r>
        <w:rPr>
          <w:rFonts w:ascii="Arial" w:cs="Arial" w:eastAsia="Arial" w:hAnsi="Arial"/>
          <w:sz w:val="18"/>
          <w:szCs w:val="18"/>
          <w:color w:val="auto"/>
        </w:rPr>
        <w:t>” shall mean a right to purchase Shares at a specified exercise price, granted under Article 5. An Option shall be either a Non-Qualified Stock Option or an Incentive Stock Option.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5.4.</w:t>
      </w:r>
    </w:p>
    <w:p>
      <w:pPr>
        <w:spacing w:after="0" w:line="11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collectively: (a) the Company’s memorandum and articles of association; and (b) the Committee’s charter or other similar organizational documentation relating to the creation and governance of the Committee.</w:t>
      </w:r>
    </w:p>
    <w:p>
      <w:pPr>
        <w:spacing w:after="0" w:line="76"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Other Stock or Cash Based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9.1, which may include, without limitation, deferred stock, deferred stock units, stock payments and performance awards.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2.35 “</w:t>
      </w:r>
      <w:r>
        <w:rPr>
          <w:rFonts w:ascii="Arial" w:cs="Arial" w:eastAsia="Arial" w:hAnsi="Arial"/>
          <w:sz w:val="16"/>
          <w:szCs w:val="16"/>
          <w:u w:val="single" w:color="auto"/>
          <w:color w:val="auto"/>
        </w:rPr>
        <w:t>Performance Criteria</w:t>
      </w:r>
      <w:r>
        <w:rPr>
          <w:rFonts w:ascii="Arial" w:cs="Arial" w:eastAsia="Arial" w:hAnsi="Arial"/>
          <w:sz w:val="16"/>
          <w:szCs w:val="16"/>
          <w:color w:val="auto"/>
        </w:rPr>
        <w:t>” shall mean the criteria (and adjustments) that the Administrator selects for an Award for purposes of establishing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or Performance Goals for a Performance Period, determined as follows: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(a) The Performance Criteria that shall be used to establish Performance Goals include without limitation: (i) net earnings or losses (either</w:t>
      </w:r>
    </w:p>
    <w:p>
      <w:pPr>
        <w:spacing w:after="0" w:line="23" w:lineRule="exact"/>
        <w:rPr>
          <w:sz w:val="20"/>
          <w:szCs w:val="20"/>
          <w:color w:val="auto"/>
        </w:rPr>
      </w:pPr>
    </w:p>
    <w:p>
      <w:pPr>
        <w:ind w:left="360"/>
        <w:spacing w:after="0" w:line="258" w:lineRule="auto"/>
        <w:rPr>
          <w:sz w:val="20"/>
          <w:szCs w:val="20"/>
          <w:color w:val="auto"/>
        </w:rPr>
      </w:pPr>
      <w:r>
        <w:rPr>
          <w:rFonts w:ascii="Arial" w:cs="Arial" w:eastAsia="Arial" w:hAnsi="Arial"/>
          <w:sz w:val="16"/>
          <w:szCs w:val="16"/>
          <w:color w:val="auto"/>
        </w:rPr>
        <w:t>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shareholders’ equity; (x) total shareholder return or total shareholder return relative to peers;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or study milestones; (xxi) market share; (xxii) economic value; (xxiii) productivity; (xxiv) operating efficiency;</w:t>
      </w:r>
    </w:p>
    <w:p>
      <w:pPr>
        <w:spacing w:after="0" w:line="2" w:lineRule="exact"/>
        <w:rPr>
          <w:sz w:val="20"/>
          <w:szCs w:val="20"/>
          <w:color w:val="auto"/>
        </w:rPr>
      </w:pPr>
    </w:p>
    <w:p>
      <w:pPr>
        <w:ind w:left="360" w:right="320" w:firstLine="8"/>
        <w:spacing w:after="0" w:line="255" w:lineRule="auto"/>
        <w:tabs>
          <w:tab w:leader="none" w:pos="7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economic value-added; (xxvi) cash flow return on capital; (xxvii) return on net assets; (xxviii); funds from operations; (xxix) funds available for distributions; (xxx) sales and sales unit volume; (xxxi) licensing revenue; (xxxii) brand recognition and acceptance; (xxxiii) inventory turns or cycle time; (xxxiv) market penetration and geographic business expansion; (xxxv) customer satisfaction/ growth; (xxxvi) customer service; (xxxvi) employee satisfaction; (xxxvii) recruitment and maintenance of personnel; (xxxviii) human resources management;</w:t>
      </w:r>
    </w:p>
    <w:p>
      <w:pPr>
        <w:spacing w:after="0" w:line="1" w:lineRule="exact"/>
        <w:rPr>
          <w:rFonts w:ascii="Arial" w:cs="Arial" w:eastAsia="Arial" w:hAnsi="Arial"/>
          <w:sz w:val="16"/>
          <w:szCs w:val="16"/>
          <w:color w:val="auto"/>
        </w:rPr>
      </w:pPr>
    </w:p>
    <w:p>
      <w:pPr>
        <w:ind w:left="360" w:right="60" w:firstLine="8"/>
        <w:spacing w:after="0" w:line="234" w:lineRule="auto"/>
        <w:tabs>
          <w:tab w:leader="none" w:pos="9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supervision of litigation and other legal matters; (xl) strategic partnerships and transactions; (xli) financial ratios (including those measuring liquidity, activity, profitability or leverage); (xlii) new or existing store results and operations and new store openings; (xliii) supply chain achievements; (xliv) debt levels or reductions; (xlv) sales-related goals; (xlvi) financing and other capital raising transactions; (xlvii) year-end cash; (xlviii) acquisition activity; (xlix) investment sourcing activity; (l) marketing initiatives, (li) environmental, social or governance metrics, any of which may be measured either in absolute terms or as compared to any incremental increase or decrease or as compared to results of a peer group or to market performance indicators or indices.</w:t>
      </w:r>
    </w:p>
    <w:p>
      <w:pPr>
        <w:spacing w:after="0" w:line="123" w:lineRule="exact"/>
        <w:rPr>
          <w:sz w:val="20"/>
          <w:szCs w:val="20"/>
          <w:color w:val="auto"/>
        </w:rPr>
      </w:pPr>
    </w:p>
    <w:p>
      <w:pPr>
        <w:ind w:left="360" w:right="180"/>
        <w:spacing w:after="0" w:line="270" w:lineRule="auto"/>
        <w:rPr>
          <w:sz w:val="20"/>
          <w:szCs w:val="20"/>
          <w:color w:val="auto"/>
        </w:rPr>
      </w:pPr>
      <w:r>
        <w:rPr>
          <w:rFonts w:ascii="Arial" w:cs="Arial" w:eastAsia="Arial" w:hAnsi="Arial"/>
          <w:sz w:val="17"/>
          <w:szCs w:val="17"/>
          <w:color w:val="auto"/>
        </w:rPr>
        <w:t>(b) The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880"/>
          </w:cols>
          <w:pgMar w:left="680" w:top="1367" w:right="339" w:bottom="1440" w:gutter="0" w:footer="0" w:header="0"/>
        </w:sectPr>
      </w:pPr>
    </w:p>
    <w:bookmarkStart w:id="9" w:name="page10"/>
    <w:bookmarkEnd w:id="9"/>
    <w:p>
      <w:pPr>
        <w:ind w:left="360"/>
        <w:spacing w:after="0" w:line="260" w:lineRule="auto"/>
        <w:rPr>
          <w:sz w:val="20"/>
          <w:szCs w:val="20"/>
          <w:color w:val="auto"/>
        </w:rPr>
      </w:pPr>
      <w:r>
        <w:rPr>
          <w:rFonts w:ascii="Arial" w:cs="Arial" w:eastAsia="Arial" w:hAnsi="Arial"/>
          <w:sz w:val="16"/>
          <w:szCs w:val="16"/>
          <w:color w:val="auto"/>
        </w:rPr>
        <w:t>initiatives; (iv) other non-operating items; (v) items related to acquisitions; (vi) items attributable to the business operations of any entity acquired by the Company during the Performance Period; (vii) items related to the sale or disposition of a business or segment of a business; (viii) items related to discontinued operations that do not qualify as a segment of a business under Applicable Accounting Standards; (ix) items attributable to any dividend in specie, sub-division of shares, consolidation of shares, or exchange of shares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initiative; (xx) items relating to foreign exchange or currency transactions and/or fluctuations; or</w:t>
      </w:r>
    </w:p>
    <w:p>
      <w:pPr>
        <w:spacing w:after="0" w:line="7" w:lineRule="exact"/>
        <w:rPr>
          <w:sz w:val="20"/>
          <w:szCs w:val="20"/>
          <w:color w:val="auto"/>
        </w:rPr>
      </w:pPr>
    </w:p>
    <w:p>
      <w:pPr>
        <w:ind w:left="360" w:right="420" w:firstLine="8"/>
        <w:spacing w:after="0" w:line="233" w:lineRule="auto"/>
        <w:tabs>
          <w:tab w:leader="none" w:pos="7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items relating to any other unusual or nonrecurring events or changes in Applicable Law, Applicable Accounting Standards or business conditions.</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Performance Goals</w:t>
      </w:r>
      <w:r>
        <w:rPr>
          <w:rFonts w:ascii="Arial" w:cs="Arial" w:eastAsia="Arial" w:hAnsi="Arial"/>
          <w:sz w:val="18"/>
          <w:szCs w:val="18"/>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9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9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2.40 “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Shares awarded under Article 7 that are subject to certain restrictions and may be subject to risk of forfeiture or repurchase.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Article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Sale</w:t>
      </w:r>
      <w:r>
        <w:rPr>
          <w:rFonts w:ascii="Arial" w:cs="Arial" w:eastAsia="Arial" w:hAnsi="Arial"/>
          <w:sz w:val="18"/>
          <w:szCs w:val="18"/>
          <w:color w:val="auto"/>
        </w:rPr>
        <w:t>” shall mean the sale of all or substantially all of the assets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SAR Term</w:t>
      </w:r>
      <w:r>
        <w:rPr>
          <w:rFonts w:ascii="Arial" w:cs="Arial" w:eastAsia="Arial" w:hAnsi="Arial"/>
          <w:sz w:val="18"/>
          <w:szCs w:val="18"/>
          <w:color w:val="auto"/>
        </w:rPr>
        <w:t>” shall have the meaning set forth in Section 5.4.</w:t>
      </w:r>
    </w:p>
    <w:p>
      <w:pPr>
        <w:spacing w:after="0" w:line="117"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2.45 “</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Shares</w:t>
      </w:r>
      <w:r>
        <w:rPr>
          <w:rFonts w:ascii="Arial" w:cs="Arial" w:eastAsia="Arial" w:hAnsi="Arial"/>
          <w:sz w:val="18"/>
          <w:szCs w:val="18"/>
          <w:color w:val="auto"/>
        </w:rPr>
        <w:t>” shall mean ordinary shares in the capital of the Company.</w:t>
      </w:r>
    </w:p>
    <w:p>
      <w:pPr>
        <w:spacing w:after="0" w:line="11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xml:space="preserve"> ” shall mean an Award entitling the Holder (or other person entitled to exercise pursuant to the Plan) to exercise all or a specified portion thereof (to the extent then exercisable pursuant to its terms) and to receive from the Company an amount (in cash or Shares, at the discretion of the Administrator) determined by multiplying the difference obtained by subtracting the exercise price per share of such Award from the Fair Market Value on the date of exercise of such Award by the number of Shares with respect to which such Award shall have been exercised, subject to any caps or limitations the Administrator may impose.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80"/>
          </w:cols>
          <w:pgMar w:left="680" w:top="1381" w:right="339" w:bottom="1440" w:gutter="0" w:footer="0" w:header="0"/>
        </w:sectPr>
      </w:pPr>
    </w:p>
    <w:bookmarkStart w:id="10" w:name="page11"/>
    <w:bookmarkEnd w:id="10"/>
    <w:p>
      <w:pPr>
        <w:ind w:left="360"/>
        <w:spacing w:after="0"/>
        <w:rPr>
          <w:sz w:val="20"/>
          <w:szCs w:val="20"/>
          <w:color w:val="auto"/>
        </w:rPr>
      </w:pPr>
      <w:r>
        <w:rPr>
          <w:rFonts w:ascii="Arial" w:cs="Arial" w:eastAsia="Arial" w:hAnsi="Arial"/>
          <w:sz w:val="17"/>
          <w:szCs w:val="17"/>
          <w:color w:val="auto"/>
        </w:rPr>
        <w:t>2.49 “</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a company that is a subsidiary of the Company within the meaning of Section 1159 of the Companies Act 2006.</w:t>
      </w:r>
    </w:p>
    <w:p>
      <w:pPr>
        <w:spacing w:after="0" w:line="129" w:lineRule="exact"/>
        <w:rPr>
          <w:sz w:val="20"/>
          <w:szCs w:val="20"/>
          <w:color w:val="auto"/>
        </w:rPr>
      </w:pPr>
    </w:p>
    <w:p>
      <w:pPr>
        <w:ind w:left="360" w:right="80"/>
        <w:spacing w:after="0" w:line="238" w:lineRule="auto"/>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2.51 “</w:t>
      </w:r>
      <w:r>
        <w:rPr>
          <w:rFonts w:ascii="Arial" w:cs="Arial" w:eastAsia="Arial" w:hAnsi="Arial"/>
          <w:sz w:val="18"/>
          <w:szCs w:val="18"/>
          <w:u w:val="single" w:color="auto"/>
          <w:color w:val="auto"/>
        </w:rPr>
        <w:t>Takeover</w:t>
      </w:r>
      <w:r>
        <w:rPr>
          <w:rFonts w:ascii="Arial" w:cs="Arial" w:eastAsia="Arial" w:hAnsi="Arial"/>
          <w:sz w:val="18"/>
          <w:szCs w:val="18"/>
          <w:color w:val="auto"/>
        </w:rPr>
        <w:t>” shall mean if any person (or a group of persons acting in concert) (the “</w:t>
      </w:r>
      <w:r>
        <w:rPr>
          <w:rFonts w:ascii="Arial" w:cs="Arial" w:eastAsia="Arial" w:hAnsi="Arial"/>
          <w:sz w:val="18"/>
          <w:szCs w:val="18"/>
          <w:u w:val="single" w:color="auto"/>
          <w:color w:val="auto"/>
        </w:rPr>
        <w:t>Acquiring Person</w:t>
      </w:r>
      <w:r>
        <w:rPr>
          <w:rFonts w:ascii="Arial" w:cs="Arial" w:eastAsia="Arial" w:hAnsi="Arial"/>
          <w:sz w:val="18"/>
          <w:szCs w:val="18"/>
          <w:color w:val="auto"/>
        </w:rPr>
        <w: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(a) obtains Control of the Company as the result of making a general offer to:</w:t>
      </w:r>
    </w:p>
    <w:p>
      <w:pPr>
        <w:spacing w:after="0" w:line="117" w:lineRule="exact"/>
        <w:rPr>
          <w:sz w:val="20"/>
          <w:szCs w:val="20"/>
          <w:color w:val="auto"/>
        </w:rPr>
      </w:pPr>
    </w:p>
    <w:p>
      <w:pPr>
        <w:ind w:left="1080" w:right="20"/>
        <w:spacing w:after="0" w:line="246" w:lineRule="auto"/>
        <w:rPr>
          <w:sz w:val="20"/>
          <w:szCs w:val="20"/>
          <w:color w:val="auto"/>
        </w:rPr>
      </w:pPr>
      <w:r>
        <w:rPr>
          <w:rFonts w:ascii="Arial" w:cs="Arial" w:eastAsia="Arial" w:hAnsi="Arial"/>
          <w:sz w:val="18"/>
          <w:szCs w:val="18"/>
          <w:color w:val="auto"/>
        </w:rPr>
        <w:t>(i) acquire all of the issued ordinary share capital of the Company, which is made on a condition that, if it is satisfied, the Acquiring Person will have Control of the Company; or</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(ii) acquire all of the shares in the Company which are of the same class as the Shares; or</w:t>
      </w:r>
    </w:p>
    <w:p>
      <w:pPr>
        <w:spacing w:after="0" w:line="117" w:lineRule="exact"/>
        <w:rPr>
          <w:sz w:val="20"/>
          <w:szCs w:val="20"/>
          <w:color w:val="auto"/>
        </w:rPr>
      </w:pPr>
    </w:p>
    <w:p>
      <w:pPr>
        <w:ind w:left="720" w:right="100"/>
        <w:spacing w:after="0" w:line="261" w:lineRule="auto"/>
        <w:rPr>
          <w:sz w:val="20"/>
          <w:szCs w:val="20"/>
          <w:color w:val="auto"/>
        </w:rPr>
      </w:pPr>
      <w:r>
        <w:rPr>
          <w:rFonts w:ascii="Arial" w:cs="Arial" w:eastAsia="Arial" w:hAnsi="Arial"/>
          <w:sz w:val="18"/>
          <w:szCs w:val="18"/>
          <w:color w:val="auto"/>
        </w:rPr>
        <w:t>(b) obtains Control of the Company as a result of a compromise or arrangement sanctioned by a court under Section 899 of the Companies Act 2006, or sanctioned under any other similar law of another jurisdiction; or</w:t>
      </w:r>
    </w:p>
    <w:p>
      <w:pPr>
        <w:spacing w:after="0" w:line="76" w:lineRule="exact"/>
        <w:rPr>
          <w:sz w:val="20"/>
          <w:szCs w:val="20"/>
          <w:color w:val="auto"/>
        </w:rPr>
      </w:pPr>
    </w:p>
    <w:p>
      <w:pPr>
        <w:ind w:left="720" w:right="40"/>
        <w:spacing w:after="0" w:line="261" w:lineRule="auto"/>
        <w:rPr>
          <w:sz w:val="20"/>
          <w:szCs w:val="20"/>
          <w:color w:val="auto"/>
        </w:rPr>
      </w:pPr>
      <w:r>
        <w:rPr>
          <w:rFonts w:ascii="Arial" w:cs="Arial" w:eastAsia="Arial" w:hAnsi="Arial"/>
          <w:sz w:val="18"/>
          <w:szCs w:val="18"/>
          <w:color w:val="auto"/>
        </w:rPr>
        <w:t>(c) becomes bound or entitled under Sections 979 to 985 of the Companies Act 2006 (or similar law of another jurisdiction) to acquire shares of the same class as the Shares; or</w:t>
      </w:r>
    </w:p>
    <w:p>
      <w:pPr>
        <w:spacing w:after="0" w:line="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(d) obtains Control of the Company in any other way.</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Tax Liability</w:t>
      </w:r>
      <w:r>
        <w:rPr>
          <w:rFonts w:ascii="Arial" w:cs="Arial" w:eastAsia="Arial" w:hAnsi="Arial"/>
          <w:sz w:val="18"/>
          <w:szCs w:val="18"/>
          <w:color w:val="auto"/>
        </w:rPr>
        <w:t>” shall have the meaning set forth in Section 10.2(a).</w:t>
      </w:r>
    </w:p>
    <w:p>
      <w:pPr>
        <w:spacing w:after="0" w:line="117" w:lineRule="exact"/>
        <w:rPr>
          <w:sz w:val="20"/>
          <w:szCs w:val="20"/>
          <w:color w:val="auto"/>
        </w:rPr>
      </w:pPr>
    </w:p>
    <w:p>
      <w:pPr>
        <w:ind w:left="360" w:right="40"/>
        <w:spacing w:after="0" w:line="237" w:lineRule="auto"/>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 the time when the employee-employer relationship between a Holder and the Company or any Subsidiary is terminated for any reason, including, without limitation, a termination by resignation, discharge, dismissal, agreement, redundancy, death, disability, ill- health, injury or retirement; for the avoidance of doubt including a termination of an employee- employer relationship simultaneously with the commencement of a Non-Employee Director, Consultant or other non-employee service provider relationship with the Company or any Subsidiary, but excluding a termination of an employee-employer relationship simultaneously with the commencement of another employee-employer relationship with the Company or any Subsidiary.</w:t>
      </w:r>
    </w:p>
    <w:p>
      <w:pPr>
        <w:spacing w:after="0" w:line="12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or dismissal for cause and all questions of whether particular leaves of absence constitute a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Incentive Stock Options, unless the Administrator otherwise provides in the terms of any Program, Award Agreement or otherwise, or as otherwise required by Applicable Law, a leave of absence or other change in the employee-employer relationship shall constitute a Termination of Service only if, and to the extent that, such leave of absence or other change interrupts employment for the purposes of Section 422(a)(2) of the Code and the then-applicable regulations and revenue rulings under said Section. For purposes of the Plan, a Termination of Service shall be deemed to occur in the event that: (i) the Subsidiary employing such Holder ceases to remain a Subsidiary; or (ii) there is a transfer by the Subsidiary employing such Holder of the undertaking, or part of the undertaking, in which the Holder works to a person which is not a Subsidiary and such transfer involves an automatic transfer of the Holder’s employment to such person by operation of Applicable Law, in each case as a result of any merger, sale of stock or other corporate transaction or event (including, without limitation, a spin-off).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320" w:top="1367" w:right="339" w:bottom="1440" w:gutter="0" w:footer="0" w:header="0"/>
        </w:sectPr>
      </w:pPr>
    </w:p>
    <w:bookmarkStart w:id="11" w:name="page12"/>
    <w:bookmarkEnd w:id="11"/>
    <w:p>
      <w:pPr>
        <w:jc w:val="center"/>
        <w:ind w:right="340"/>
        <w:spacing w:after="0"/>
        <w:rPr>
          <w:sz w:val="20"/>
          <w:szCs w:val="20"/>
          <w:color w:val="auto"/>
        </w:rPr>
      </w:pPr>
      <w:r>
        <w:rPr>
          <w:rFonts w:ascii="Arial" w:cs="Arial" w:eastAsia="Arial" w:hAnsi="Arial"/>
          <w:sz w:val="18"/>
          <w:szCs w:val="18"/>
          <w:b w:val="1"/>
          <w:bCs w:val="1"/>
          <w:color w:val="auto"/>
        </w:rPr>
        <w:t>ARTICLE 3.</w:t>
      </w:r>
    </w:p>
    <w:p>
      <w:pPr>
        <w:spacing w:after="0" w:line="18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SHARES SUBJECT TO THE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left="360"/>
        <w:spacing w:after="0" w:line="238" w:lineRule="auto"/>
        <w:rPr>
          <w:sz w:val="20"/>
          <w:szCs w:val="20"/>
          <w:color w:val="auto"/>
        </w:rPr>
      </w:pPr>
      <w:r>
        <w:rPr>
          <w:rFonts w:ascii="Arial" w:cs="Arial" w:eastAsia="Arial" w:hAnsi="Arial"/>
          <w:sz w:val="18"/>
          <w:szCs w:val="18"/>
          <w:color w:val="auto"/>
        </w:rPr>
        <w:t>(a) Subject to Sections 3.1(b) and 12.2, the maximum aggregate number of Shares which may be issued or transferred pursuant to Awards under the Plan is: (i) 2,250,000 Shares pursuant to Options or Stock Appreciation Rights; and (ii) 1,500,000 Shares pursuant to Awards other than Options or Stock Appreciation Rights. Any Shares distributed pursuant to an Award may consist, in whole or in part, of authorized and unissued Shares, treasury Shares or Shares purchased on the open market.</w:t>
      </w:r>
    </w:p>
    <w:p>
      <w:pPr>
        <w:spacing w:after="0" w:line="97" w:lineRule="exact"/>
        <w:rPr>
          <w:sz w:val="20"/>
          <w:szCs w:val="20"/>
          <w:color w:val="auto"/>
        </w:rPr>
      </w:pPr>
    </w:p>
    <w:p>
      <w:pPr>
        <w:ind w:left="360" w:right="20"/>
        <w:spacing w:after="0" w:line="262" w:lineRule="auto"/>
        <w:rPr>
          <w:sz w:val="20"/>
          <w:szCs w:val="20"/>
          <w:color w:val="auto"/>
        </w:rPr>
      </w:pPr>
      <w:r>
        <w:rPr>
          <w:rFonts w:ascii="Arial" w:cs="Arial" w:eastAsia="Arial" w:hAnsi="Arial"/>
          <w:sz w:val="16"/>
          <w:szCs w:val="16"/>
          <w:color w:val="auto"/>
        </w:rPr>
        <w:t>(b) If any Shares subject to an Award are forfeited, if any Award or any portion of an Award lapses or expires (including the unvested portion of any Award granted subject to Performance Goals, which fails to achieve its Performance Goals in full), if any Shares subject to an Award are converted to shares of another Person in connection with a Takeover, Sale, recapitalization, reorganization, merger, consolidation, split-up, spin-off, combination, exchange of shares or other similar event, or if any Award is settled for cash (in whole or in part) (including Shares repurchased by the Company under Section 7.4 at the same price paid by the Holder), the Shares subject to such Award shall, to the extent of such forfeiture, lapse,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any Award; (iii) Shares subject to a Stock Appreciation Right that are not issued in connection with the settlement of the Stock Appreciation Right in Shares upon exercise thereof; and (iv) Shares purchased on the open market with the cash proceeds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79" w:lineRule="exact"/>
        <w:rPr>
          <w:sz w:val="20"/>
          <w:szCs w:val="20"/>
          <w:color w:val="auto"/>
        </w:rPr>
      </w:pPr>
    </w:p>
    <w:p>
      <w:pPr>
        <w:ind w:left="360" w:right="20"/>
        <w:spacing w:after="0" w:line="267" w:lineRule="auto"/>
        <w:rPr>
          <w:sz w:val="20"/>
          <w:szCs w:val="20"/>
          <w:color w:val="auto"/>
        </w:rPr>
      </w:pPr>
      <w:r>
        <w:rPr>
          <w:rFonts w:ascii="Arial" w:cs="Arial" w:eastAsia="Arial" w:hAnsi="Arial"/>
          <w:sz w:val="16"/>
          <w:szCs w:val="16"/>
          <w:color w:val="auto"/>
        </w:rPr>
        <w:t xml:space="preserve">(c) Substitute Awards shall not reduce the Shares authorized for grant under the Plan, except as may be required by reason of Section 422 of the Code. Additionally, in the event that a company acquired by the Company or any Subsidiary or with which the Company or any Subsidiary combines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Awards using such available Shares shall not be made after the date awards or grants could have been made under the terms of the pre- existing plan, absent the acquisition or combination, and shall only be made to individuals who were not employed by or providing services to the Company or its Subsidiaries immediately prior to such acquisition or combination.</w:t>
      </w:r>
    </w:p>
    <w:p>
      <w:pPr>
        <w:spacing w:after="0" w:line="10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3.2 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Section 12.2, the maximum aggregate number of Shares with respect to one or more Awards that may be granted to any one person during any calendar year shall be 1,250,000 and the maximum aggregate amount that may be paid in cash to any one person during any calendar year with respect to one or more Awards payable in cash shall be $12,500,000.</w:t>
      </w:r>
    </w:p>
    <w:p>
      <w:pPr>
        <w:spacing w:after="0" w:line="174"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ARTICLE 4.</w:t>
      </w:r>
    </w:p>
    <w:p>
      <w:pPr>
        <w:spacing w:after="0" w:line="18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GRANTING OF AWARDS</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4.1 </w:t>
      </w:r>
      <w:r>
        <w:rPr>
          <w:rFonts w:ascii="Arial" w:cs="Arial" w:eastAsia="Arial" w:hAnsi="Arial"/>
          <w:sz w:val="18"/>
          <w:szCs w:val="18"/>
          <w:u w:val="single" w:color="auto"/>
          <w:color w:val="auto"/>
        </w:rPr>
        <w:t>Participation</w:t>
      </w:r>
      <w:r>
        <w:rPr>
          <w:rFonts w:ascii="Arial" w:cs="Arial" w:eastAsia="Arial" w:hAnsi="Arial"/>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No Eligible Individual or other Person shall have any right to be granted an Award pursuant to the Plan and neither the Company nor the Administrator is obligated to treat Eligible Individuals, Holders or any other persons uniformly. Participation by each Holder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860"/>
          </w:cols>
          <w:pgMar w:left="680" w:top="1431" w:right="359" w:bottom="1440" w:gutter="0" w:footer="0" w:header="0"/>
        </w:sectPr>
      </w:pPr>
    </w:p>
    <w:bookmarkStart w:id="12" w:name="page13"/>
    <w:bookmarkEnd w:id="12"/>
    <w:p>
      <w:pPr>
        <w:ind w:right="380"/>
        <w:spacing w:after="0" w:line="246" w:lineRule="auto"/>
        <w:rPr>
          <w:sz w:val="20"/>
          <w:szCs w:val="20"/>
          <w:color w:val="auto"/>
        </w:rPr>
      </w:pPr>
      <w:r>
        <w:rPr>
          <w:rFonts w:ascii="Arial" w:cs="Arial" w:eastAsia="Arial" w:hAnsi="Arial"/>
          <w:sz w:val="18"/>
          <w:szCs w:val="18"/>
          <w:color w:val="auto"/>
        </w:rPr>
        <w:t>in the Plan shall be voluntary and nothing in the Plan or any Program shall be construed as mandating that any Eligible Individual or other Person shall participate in the Plan.</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w:t>
      </w:r>
    </w:p>
    <w:p>
      <w:pPr>
        <w:spacing w:after="0" w:line="9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4.3 </w:t>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xml:space="preserve"> . Notwithstanding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8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4.4 </w:t>
      </w: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 Nothing in the Plan or in any Program or Award Agreement hereunder shall confer upon any Holder any right to continue in the employ of the Company or any Subsidiary, or shall interfere with or restrict in any way the rights of the Company and any Subsidiary, which rights are hereby expressly reserved, to discharge or dismiss any Holder at any time for any reason whatsoever, with or without cause, and with or without notice, or to terminate or change any Holder’s terms and conditions of employment, except to the extent expressly provided otherwise in a written agreement between the Holder and the Company or any Subsidiary.</w:t>
      </w:r>
    </w:p>
    <w:p>
      <w:pPr>
        <w:spacing w:after="0" w:line="8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4.5 </w:t>
      </w:r>
      <w:r>
        <w:rPr>
          <w:rFonts w:ascii="Arial" w:cs="Arial" w:eastAsia="Arial" w:hAnsi="Arial"/>
          <w:sz w:val="17"/>
          <w:szCs w:val="17"/>
          <w:u w:val="single" w:color="auto"/>
          <w:color w:val="auto"/>
        </w:rPr>
        <w:t>Foreign Holders</w:t>
      </w:r>
      <w:r>
        <w:rPr>
          <w:rFonts w:ascii="Arial" w:cs="Arial" w:eastAsia="Arial" w:hAnsi="Arial"/>
          <w:sz w:val="17"/>
          <w:szCs w:val="17"/>
          <w:color w:val="auto"/>
        </w:rPr>
        <w:t xml:space="preserve">. Notwithstanding any provision of the Plan or applicable Program to the contrary, in order to comply with the laws in countries other than the United States in which the Company and its Subsidiaries operate or have Employees, or in order to comply with the requirements of any foreign securities exchange or other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sub-plans and/or modifications shall increase the share limitation contained in Section 3.1 or the Award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220"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ARTICLE 5.</w:t>
      </w:r>
    </w:p>
    <w:p>
      <w:pPr>
        <w:spacing w:after="0" w:line="19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GRANTING OF OPTIONS AND STOCK APPRECIATION RIGHTS</w:t>
      </w:r>
    </w:p>
    <w:p>
      <w:pPr>
        <w:spacing w:after="0" w:line="14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5.1 </w:t>
      </w:r>
      <w:r>
        <w:rPr>
          <w:rFonts w:ascii="Arial" w:cs="Arial" w:eastAsia="Arial" w:hAnsi="Arial"/>
          <w:sz w:val="18"/>
          <w:szCs w:val="18"/>
          <w:u w:val="single" w:color="auto"/>
          <w:color w:val="auto"/>
        </w:rPr>
        <w:t>Granting of Options and Stock Appreciation Rights to Eligible Individuals</w:t>
      </w:r>
      <w:r>
        <w:rPr>
          <w:rFonts w:ascii="Arial" w:cs="Arial" w:eastAsia="Arial" w:hAnsi="Arial"/>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w:t>
      </w:r>
    </w:p>
    <w:p>
      <w:pPr>
        <w:spacing w:after="0" w:line="10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5.2 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Shareholder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880"/>
          </w:cols>
          <w:pgMar w:left="680" w:top="1367" w:right="339" w:bottom="1440" w:gutter="0" w:footer="0" w:header="0"/>
        </w:sectPr>
      </w:pPr>
    </w:p>
    <w:bookmarkStart w:id="13" w:name="page14"/>
    <w:bookmarkEnd w:id="13"/>
    <w:p>
      <w:pPr>
        <w:ind w:right="40"/>
        <w:spacing w:after="0" w:line="265" w:lineRule="auto"/>
        <w:rPr>
          <w:sz w:val="20"/>
          <w:szCs w:val="20"/>
          <w:color w:val="auto"/>
        </w:rPr>
      </w:pPr>
      <w:r>
        <w:rPr>
          <w:rFonts w:ascii="Arial" w:cs="Arial" w:eastAsia="Arial" w:hAnsi="Arial"/>
          <w:sz w:val="16"/>
          <w:szCs w:val="16"/>
          <w:color w:val="auto"/>
        </w:rPr>
        <w:t>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w:t>
      </w:r>
    </w:p>
    <w:p>
      <w:pPr>
        <w:spacing w:after="0" w:line="1" w:lineRule="exact"/>
        <w:rPr>
          <w:sz w:val="20"/>
          <w:szCs w:val="20"/>
          <w:color w:val="auto"/>
        </w:rPr>
      </w:pPr>
    </w:p>
    <w:p>
      <w:pPr>
        <w:ind w:right="280" w:firstLine="8"/>
        <w:spacing w:after="0" w:line="271"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Subject to Sections 3.1(b) and 12.2, the aggregate number of Shares which may be issued or transferred pursuant to Incentive Stock Options under the Plan is 2,250,000.</w:t>
      </w:r>
    </w:p>
    <w:p>
      <w:pPr>
        <w:spacing w:after="0" w:line="9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5.3 </w:t>
      </w:r>
      <w:r>
        <w:rPr>
          <w:rFonts w:ascii="Arial" w:cs="Arial" w:eastAsia="Arial" w:hAnsi="Arial"/>
          <w:sz w:val="17"/>
          <w:szCs w:val="17"/>
          <w:u w:val="single" w:color="auto"/>
          <w:color w:val="auto"/>
        </w:rPr>
        <w:t>Option and Stock Appreciation Right Exercise Price</w:t>
      </w:r>
      <w:r>
        <w:rPr>
          <w:rFonts w:ascii="Arial" w:cs="Arial" w:eastAsia="Arial" w:hAnsi="Arial"/>
          <w:sz w:val="17"/>
          <w:szCs w:val="17"/>
          <w:color w:val="auto"/>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Shareholder,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exercise price of any Substitute Award shall be determined in accordance with the applicable requirements of Sections 424 and 409A of the Code.</w:t>
      </w:r>
    </w:p>
    <w:p>
      <w:pPr>
        <w:spacing w:after="0" w:line="14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5.4 </w:t>
      </w:r>
      <w:r>
        <w:rPr>
          <w:rFonts w:ascii="Arial" w:cs="Arial" w:eastAsia="Arial" w:hAnsi="Arial"/>
          <w:sz w:val="16"/>
          <w:szCs w:val="16"/>
          <w:u w:val="single" w:color="auto"/>
          <w:color w:val="auto"/>
        </w:rPr>
        <w:t>Option and SAR Term</w:t>
      </w:r>
      <w:r>
        <w:rPr>
          <w:rFonts w:ascii="Arial" w:cs="Arial" w:eastAsia="Arial" w:hAnsi="Arial"/>
          <w:sz w:val="16"/>
          <w:szCs w:val="16"/>
          <w:color w:val="auto"/>
        </w:rPr>
        <w:t>. The term of each Option (the “</w:t>
      </w:r>
      <w:r>
        <w:rPr>
          <w:rFonts w:ascii="Arial" w:cs="Arial" w:eastAsia="Arial" w:hAnsi="Arial"/>
          <w:sz w:val="16"/>
          <w:szCs w:val="16"/>
          <w:u w:val="single" w:color="auto"/>
          <w:color w:val="auto"/>
        </w:rPr>
        <w:t>Option Term</w:t>
      </w:r>
      <w:r>
        <w:rPr>
          <w:rFonts w:ascii="Arial" w:cs="Arial" w:eastAsia="Arial" w:hAnsi="Arial"/>
          <w:sz w:val="16"/>
          <w:szCs w:val="16"/>
          <w:color w:val="auto"/>
        </w:rPr>
        <w:t>”) and the term of each Stock Appreciation Right (the “</w:t>
      </w:r>
      <w:r>
        <w:rPr>
          <w:rFonts w:ascii="Arial" w:cs="Arial" w:eastAsia="Arial" w:hAnsi="Arial"/>
          <w:sz w:val="16"/>
          <w:szCs w:val="16"/>
          <w:u w:val="single" w:color="auto"/>
          <w:color w:val="auto"/>
        </w:rPr>
        <w:t>SAR Term</w:t>
      </w:r>
      <w:r>
        <w:rPr>
          <w:rFonts w:ascii="Arial" w:cs="Arial" w:eastAsia="Arial" w:hAnsi="Arial"/>
          <w:sz w:val="16"/>
          <w:szCs w:val="16"/>
          <w:color w:val="auto"/>
        </w:rPr>
        <w:t xml:space="preserve">”)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Term or SAR Term, as applicable, shall not be more than (a) ten (10) years from the date the Option or Stock Appreciation Right, as applicable, is granted to an Eligible Individual (other than a Greater Than 10% Shareholder), or (b) five (5) years from the date an Incentive Stock Option is granted to a Greater Than 10% Shareholder.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Sections 10.7 and 12.1, any other term or condition of such Option or Stock Appreciation Right relating to such Termination of Service of the Holder or otherwise.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5.5 </w:t>
      </w:r>
      <w:r>
        <w:rPr>
          <w:rFonts w:ascii="Arial" w:cs="Arial" w:eastAsia="Arial" w:hAnsi="Arial"/>
          <w:sz w:val="18"/>
          <w:szCs w:val="18"/>
          <w:u w:val="single" w:color="auto"/>
          <w:color w:val="auto"/>
        </w:rPr>
        <w:t>Option and SAR Vesting</w:t>
      </w:r>
      <w:r>
        <w:rPr>
          <w:rFonts w:ascii="Arial" w:cs="Arial" w:eastAsia="Arial" w:hAnsi="Arial"/>
          <w:sz w:val="18"/>
          <w:szCs w:val="18"/>
          <w:color w:val="auto"/>
        </w:rPr>
        <w:t>.</w:t>
      </w:r>
    </w:p>
    <w:p>
      <w:pPr>
        <w:spacing w:after="0" w:line="144" w:lineRule="exact"/>
        <w:rPr>
          <w:sz w:val="20"/>
          <w:szCs w:val="20"/>
          <w:color w:val="auto"/>
        </w:rPr>
      </w:pPr>
    </w:p>
    <w:p>
      <w:pPr>
        <w:ind w:left="360" w:right="20"/>
        <w:spacing w:after="0" w:line="232" w:lineRule="auto"/>
        <w:rPr>
          <w:sz w:val="20"/>
          <w:szCs w:val="20"/>
          <w:color w:val="auto"/>
        </w:rPr>
      </w:pPr>
      <w:r>
        <w:rPr>
          <w:rFonts w:ascii="Arial" w:cs="Arial" w:eastAsia="Arial" w:hAnsi="Arial"/>
          <w:sz w:val="18"/>
          <w:szCs w:val="18"/>
          <w:color w:val="auto"/>
        </w:rPr>
        <w:t xml:space="preserve">(a) The period during which the right to exercise, in whole or in part, an Option vests in the Holder shall be set by the Administrator and set forth in the applicable Award Agreement, but shall in all cases be a period of at least 12 months from the Grant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Unless otherwise determined by the Administrator in the Award Agreement, the applicable Program or by action of the Administrator following the grant of the Option, (a) no portion of an Option which is unexercisable at a Holder’s Termination of Service shall thereafter become exercisable and (b) the portion of an Option that is unexercisable at a Holder’s Termination of Service shall automatically expire on the date of such Termination of Service.</w:t>
      </w:r>
    </w:p>
    <w:p>
      <w:pPr>
        <w:spacing w:after="0" w:line="127" w:lineRule="exact"/>
        <w:rPr>
          <w:sz w:val="20"/>
          <w:szCs w:val="20"/>
          <w:color w:val="auto"/>
        </w:rPr>
      </w:pPr>
    </w:p>
    <w:p>
      <w:pPr>
        <w:ind w:left="360" w:right="60"/>
        <w:spacing w:after="0" w:line="247" w:lineRule="auto"/>
        <w:rPr>
          <w:sz w:val="20"/>
          <w:szCs w:val="20"/>
          <w:color w:val="auto"/>
        </w:rPr>
      </w:pPr>
      <w:r>
        <w:rPr>
          <w:rFonts w:ascii="Arial" w:cs="Arial" w:eastAsia="Arial" w:hAnsi="Arial"/>
          <w:sz w:val="17"/>
          <w:szCs w:val="17"/>
          <w:color w:val="auto"/>
        </w:rPr>
        <w:t xml:space="preserve">(b) The period during which the right to exercise, in whole or in part, a Stock Appreciation Right vests in the Holder shall be set by the Administrator and set forth in the applicable Award Agreement, but shall in all cases be a period of at least 12 months from the Grant Date; </w:t>
      </w:r>
      <w:r>
        <w:rPr>
          <w:rFonts w:ascii="Arial" w:cs="Arial" w:eastAsia="Arial" w:hAnsi="Arial"/>
          <w:sz w:val="17"/>
          <w:szCs w:val="17"/>
          <w:u w:val="single" w:color="auto"/>
          <w:color w:val="auto"/>
        </w:rPr>
        <w:t>provided</w:t>
      </w:r>
      <w:r>
        <w:rPr>
          <w:rFonts w:ascii="Arial" w:cs="Arial" w:eastAsia="Arial" w:hAnsi="Arial"/>
          <w:sz w:val="17"/>
          <w:szCs w:val="17"/>
          <w:color w:val="auto"/>
        </w:rPr>
        <w:t>, that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Unless otherwise determined by the Administrator in the Award Agreement, the applicable Program or by action of the Administrator following the grant of the Stock Appreciation Right, (a) no portion of a Stock Appreciation Right which is unexercisable at a Holder’s Termination of Service shall thereafter become exercisable and (b) the portion of a Stock Appreciation Right that is unexercisable at a Holder’s Termination of Service shall automatically expire on the date of such Termination of Service.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880"/>
          </w:cols>
          <w:pgMar w:left="680" w:top="1381" w:right="339" w:bottom="1440" w:gutter="0" w:footer="0" w:header="0"/>
        </w:sectPr>
      </w:pPr>
    </w:p>
    <w:bookmarkStart w:id="14" w:name="page15"/>
    <w:bookmarkEnd w:id="14"/>
    <w:p>
      <w:pPr>
        <w:spacing w:after="0" w:line="234" w:lineRule="auto"/>
        <w:rPr>
          <w:sz w:val="20"/>
          <w:szCs w:val="20"/>
          <w:color w:val="auto"/>
        </w:rPr>
      </w:pPr>
      <w:r>
        <w:rPr>
          <w:rFonts w:ascii="Arial" w:cs="Arial" w:eastAsia="Arial" w:hAnsi="Arial"/>
          <w:sz w:val="18"/>
          <w:szCs w:val="18"/>
          <w:color w:val="auto"/>
        </w:rPr>
        <w:t>5.6 </w:t>
      </w:r>
      <w:r>
        <w:rPr>
          <w:rFonts w:ascii="Arial" w:cs="Arial" w:eastAsia="Arial" w:hAnsi="Arial"/>
          <w:sz w:val="18"/>
          <w:szCs w:val="18"/>
          <w:u w:val="single" w:color="auto"/>
          <w:color w:val="auto"/>
        </w:rPr>
        <w:t>Substitution of Stock Appreciation Rights; Early Exercise of Options</w:t>
      </w:r>
      <w:r>
        <w:rPr>
          <w:rFonts w:ascii="Arial" w:cs="Arial" w:eastAsia="Arial" w:hAnsi="Arial"/>
          <w:sz w:val="18"/>
          <w:szCs w:val="18"/>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Restricted Stock with respect to any unvested portion of the Option so exercised. Restricted Stock acquired upon the exercise of any unvested portion of an Option shall be subject to such terms and conditions as the Administrator shall determine.</w:t>
      </w:r>
    </w:p>
    <w:p>
      <w:pPr>
        <w:spacing w:after="0" w:line="17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ARTICLE 6.</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EXERCISE OF OPTIONS AND STOCK APPRECIATION RIGHTS</w:t>
      </w:r>
    </w:p>
    <w:p>
      <w:pPr>
        <w:spacing w:after="0" w:line="13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6.1 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spacing w:after="0" w:line="108"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6.2 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. Except as set forth in Section 6.3, all or a portion of an exercisable Option or Stock Appreciation Right shall be deemed exercised upon delivery of all of the following to the Secretary of the Company, the share plan administrator of the Company or such other person or entity designated by the Administrator, or his, her or its office, as applicable:</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(a) A written or electronic notice complying with the applicable rules established by the Administrator stating that the Option or Stock Appreciation Right, or a portion thereof, is exercised. The notice shall be signed by the Holder or other person then entitled to exercise the Option or Stock Appreciation Right or such portion thereof;</w:t>
      </w:r>
    </w:p>
    <w:p>
      <w:pPr>
        <w:spacing w:after="0" w:line="108" w:lineRule="exact"/>
        <w:rPr>
          <w:sz w:val="20"/>
          <w:szCs w:val="20"/>
          <w:color w:val="auto"/>
        </w:rPr>
      </w:pPr>
    </w:p>
    <w:p>
      <w:pPr>
        <w:ind w:left="360" w:right="380"/>
        <w:spacing w:after="0" w:line="261" w:lineRule="auto"/>
        <w:rPr>
          <w:sz w:val="20"/>
          <w:szCs w:val="20"/>
          <w:color w:val="auto"/>
        </w:rPr>
      </w:pPr>
      <w:r>
        <w:rPr>
          <w:rFonts w:ascii="Arial" w:cs="Arial" w:eastAsia="Arial" w:hAnsi="Arial"/>
          <w:sz w:val="18"/>
          <w:szCs w:val="18"/>
          <w:color w:val="auto"/>
        </w:rPr>
        <w:t>(b) Such representations and documents as the Administrator, in its sole discretion, deems necessary or advisable to effect compliance with Applicable Law;</w:t>
      </w:r>
    </w:p>
    <w:p>
      <w:pPr>
        <w:spacing w:after="0" w:line="90" w:lineRule="exact"/>
        <w:rPr>
          <w:sz w:val="20"/>
          <w:szCs w:val="20"/>
          <w:color w:val="auto"/>
        </w:rPr>
      </w:pPr>
    </w:p>
    <w:p>
      <w:pPr>
        <w:ind w:left="360" w:right="100"/>
        <w:spacing w:after="0" w:line="248" w:lineRule="auto"/>
        <w:rPr>
          <w:sz w:val="20"/>
          <w:szCs w:val="20"/>
          <w:color w:val="auto"/>
        </w:rPr>
      </w:pPr>
      <w:r>
        <w:rPr>
          <w:rFonts w:ascii="Arial" w:cs="Arial" w:eastAsia="Arial" w:hAnsi="Arial"/>
          <w:sz w:val="18"/>
          <w:szCs w:val="18"/>
          <w:color w:val="auto"/>
        </w:rPr>
        <w:t>(c) In the event that the Option or Stock Appreciation Right shall be exercised pursuant to Section 10.3 by any person or persons other than the Holder, appropriate proof of the right of such person or persons to exercise the Option or Stock Appreciation Right, as determined in the sole discretion of the Administrator; and</w:t>
      </w:r>
    </w:p>
    <w:p>
      <w:pPr>
        <w:spacing w:after="0" w:line="101" w:lineRule="exact"/>
        <w:rPr>
          <w:sz w:val="20"/>
          <w:szCs w:val="20"/>
          <w:color w:val="auto"/>
        </w:rPr>
      </w:pPr>
    </w:p>
    <w:p>
      <w:pPr>
        <w:ind w:left="360" w:right="20"/>
        <w:spacing w:after="0" w:line="238" w:lineRule="auto"/>
        <w:rPr>
          <w:sz w:val="20"/>
          <w:szCs w:val="20"/>
          <w:color w:val="auto"/>
        </w:rPr>
      </w:pPr>
      <w:r>
        <w:rPr>
          <w:rFonts w:ascii="Arial" w:cs="Arial" w:eastAsia="Arial" w:hAnsi="Arial"/>
          <w:sz w:val="18"/>
          <w:szCs w:val="18"/>
          <w:color w:val="auto"/>
        </w:rPr>
        <w:t>(d) Full payment (which term shall include an arrangement for full payment having been made) of any Tax Liability arising on exercise (or partial exercise) of the Option or Stock Appreciation Right (or in respect of the issue of Shares pursuant to such exercise (or partial exercise)), and, in the case of an Option, full payment of the exercise price, in a manner permitted by the Administrator in accordance with Sections 10.1 and 10.2.</w:t>
      </w:r>
    </w:p>
    <w:p>
      <w:pPr>
        <w:spacing w:after="0" w:line="110"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6.3 </w:t>
      </w:r>
      <w:r>
        <w:rPr>
          <w:rFonts w:ascii="Arial" w:cs="Arial" w:eastAsia="Arial" w:hAnsi="Arial"/>
          <w:sz w:val="17"/>
          <w:szCs w:val="17"/>
          <w:u w:val="single" w:color="auto"/>
          <w:color w:val="auto"/>
        </w:rPr>
        <w:t>Expiration of Option Term or SAR Term: Automatic Exercise of In-The-Money Options and Stock Appreciation Rights</w:t>
      </w:r>
      <w:r>
        <w:rPr>
          <w:rFonts w:ascii="Arial" w:cs="Arial" w:eastAsia="Arial" w:hAnsi="Arial"/>
          <w:sz w:val="17"/>
          <w:szCs w:val="17"/>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10.1(b) or 10.1(c) and the Company or any Subsidiary shall be entitled to deduct or withhold an amount sufficient to satisfy any Tax Liability associated with such exercise in accordance with Section 10.2. Unless otherwise determined by the Administrator, this Section 6.3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6.3.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880"/>
          </w:cols>
          <w:pgMar w:left="680" w:top="1381" w:right="339" w:bottom="1440" w:gutter="0" w:footer="0" w:header="0"/>
        </w:sectPr>
      </w:pPr>
    </w:p>
    <w:bookmarkStart w:id="15" w:name="page16"/>
    <w:bookmarkEnd w:id="15"/>
    <w:p>
      <w:pPr>
        <w:ind w:right="280"/>
        <w:spacing w:after="0" w:line="255" w:lineRule="auto"/>
        <w:rPr>
          <w:sz w:val="20"/>
          <w:szCs w:val="20"/>
          <w:color w:val="auto"/>
        </w:rPr>
      </w:pPr>
      <w:r>
        <w:rPr>
          <w:rFonts w:ascii="Arial" w:cs="Arial" w:eastAsia="Arial" w:hAnsi="Arial"/>
          <w:sz w:val="17"/>
          <w:szCs w:val="17"/>
          <w:color w:val="auto"/>
        </w:rPr>
        <w:t>6.4 </w:t>
      </w:r>
      <w:r>
        <w:rPr>
          <w:rFonts w:ascii="Arial" w:cs="Arial" w:eastAsia="Arial" w:hAnsi="Arial"/>
          <w:sz w:val="17"/>
          <w:szCs w:val="17"/>
          <w:u w:val="single" w:color="auto"/>
          <w:color w:val="auto"/>
        </w:rPr>
        <w:t>Notification Regarding Disposition</w:t>
      </w:r>
      <w:r>
        <w:rPr>
          <w:rFonts w:ascii="Arial" w:cs="Arial" w:eastAsia="Arial" w:hAnsi="Arial"/>
          <w:sz w:val="17"/>
          <w:szCs w:val="17"/>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186"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ARTICLE 7.</w:t>
      </w:r>
    </w:p>
    <w:p>
      <w:pPr>
        <w:spacing w:after="0" w:line="18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AWARD OF RESTRICTED STOCK</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7.1 </w:t>
      </w:r>
      <w:r>
        <w:rPr>
          <w:rFonts w:ascii="Arial" w:cs="Arial" w:eastAsia="Arial" w:hAnsi="Arial"/>
          <w:sz w:val="16"/>
          <w:szCs w:val="16"/>
          <w:u w:val="single" w:color="auto"/>
          <w:color w:val="auto"/>
        </w:rPr>
        <w:t>Award of Restricted Stock</w:t>
      </w:r>
      <w:r>
        <w:rPr>
          <w:rFonts w:ascii="Arial" w:cs="Arial" w:eastAsia="Arial" w:hAnsi="Arial"/>
          <w:sz w:val="16"/>
          <w:szCs w:val="16"/>
          <w:color w:val="auto"/>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72"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7.2 </w:t>
      </w:r>
      <w:r>
        <w:rPr>
          <w:rFonts w:ascii="Arial" w:cs="Arial" w:eastAsia="Arial" w:hAnsi="Arial"/>
          <w:sz w:val="17"/>
          <w:szCs w:val="17"/>
          <w:u w:val="single" w:color="auto"/>
          <w:color w:val="auto"/>
        </w:rPr>
        <w:t>Rights as Shareholders</w:t>
      </w:r>
      <w:r>
        <w:rPr>
          <w:rFonts w:ascii="Arial" w:cs="Arial" w:eastAsia="Arial" w:hAnsi="Arial"/>
          <w:sz w:val="17"/>
          <w:szCs w:val="17"/>
          <w:color w:val="auto"/>
        </w:rPr>
        <w:t xml:space="preserve">. Subject to Section 7.4, upon issuance of Restricted Stock, the Holder shall have, unless otherwise provided by the Administrator, all the rights of a shareholder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sole discretion of the Administrator, any extraordinary distributions with respect to the Shares may be subject to the restrictions set forth in Section 7.3. In addition, with respect to a share of Restricted Stock, dividends which are paid prior to vesting shall only be paid out to the Holder to the extent that the vesting conditions are subsequently satisfied and the share of Restricted Stock vests.</w:t>
      </w:r>
    </w:p>
    <w:p>
      <w:pPr>
        <w:spacing w:after="0" w:line="8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7.3 </w:t>
      </w:r>
      <w:r>
        <w:rPr>
          <w:rFonts w:ascii="Arial" w:cs="Arial" w:eastAsia="Arial" w:hAnsi="Arial"/>
          <w:sz w:val="16"/>
          <w:szCs w:val="16"/>
          <w:u w:val="single" w:color="auto"/>
          <w:color w:val="auto"/>
        </w:rPr>
        <w:t>Restrictions</w:t>
      </w:r>
      <w:r>
        <w:rPr>
          <w:rFonts w:ascii="Arial" w:cs="Arial" w:eastAsia="Arial" w:hAnsi="Arial"/>
          <w:sz w:val="16"/>
          <w:szCs w:val="16"/>
          <w:color w:val="auto"/>
        </w:rPr>
        <w:t xml:space="preserve">. All Restricted Stock (including any shares received by Holders thereof with respect to Restricted Stock as a result of stock dividends, stock splits or any other form of recapitalization) shall be subject to such restrictions and vesting requirements as the Administrator shall provide in the applicable Program or Award Agreement, but the vesting period shall in all cases be a period of at least 12 months from the Grant Date; </w:t>
      </w:r>
      <w:r>
        <w:rPr>
          <w:rFonts w:ascii="Arial" w:cs="Arial" w:eastAsia="Arial" w:hAnsi="Arial"/>
          <w:sz w:val="16"/>
          <w:szCs w:val="16"/>
          <w:u w:val="single" w:color="auto"/>
          <w:color w:val="auto"/>
        </w:rPr>
        <w:t>provided</w:t>
      </w:r>
      <w:r>
        <w:rPr>
          <w:rFonts w:ascii="Arial" w:cs="Arial" w:eastAsia="Arial" w:hAnsi="Arial"/>
          <w:sz w:val="16"/>
          <w:szCs w:val="16"/>
          <w:color w:val="auto"/>
        </w:rPr>
        <w: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By action taken after the Restricted Stock is issued, in the event of a Holder’s Termination of Service due to:</w:t>
      </w:r>
    </w:p>
    <w:p>
      <w:pPr>
        <w:spacing w:after="0" w:line="72" w:lineRule="exact"/>
        <w:rPr>
          <w:sz w:val="20"/>
          <w:szCs w:val="20"/>
          <w:color w:val="auto"/>
        </w:rPr>
      </w:pPr>
    </w:p>
    <w:p>
      <w:pPr>
        <w:ind w:left="360"/>
        <w:spacing w:after="0" w:line="291" w:lineRule="auto"/>
        <w:rPr>
          <w:sz w:val="20"/>
          <w:szCs w:val="20"/>
          <w:color w:val="auto"/>
        </w:rPr>
      </w:pPr>
      <w:r>
        <w:rPr>
          <w:rFonts w:ascii="Arial" w:cs="Arial" w:eastAsia="Arial" w:hAnsi="Arial"/>
          <w:sz w:val="17"/>
          <w:szCs w:val="17"/>
          <w:color w:val="auto"/>
        </w:rPr>
        <w:t>(a) death or disability, the Administrator may, on such terms and conditions as it may determine to be appropriate, accelerate the vesting of such Restricted Stock by removing any or all of the restrictions imposed by the terms of the applicable Program or Award Agreement; or</w:t>
      </w:r>
    </w:p>
    <w:p>
      <w:pPr>
        <w:spacing w:after="0" w:line="52" w:lineRule="exact"/>
        <w:rPr>
          <w:sz w:val="20"/>
          <w:szCs w:val="20"/>
          <w:color w:val="auto"/>
        </w:rPr>
      </w:pPr>
    </w:p>
    <w:p>
      <w:pPr>
        <w:ind w:left="360" w:right="20"/>
        <w:spacing w:after="0"/>
        <w:rPr>
          <w:sz w:val="20"/>
          <w:szCs w:val="20"/>
          <w:color w:val="auto"/>
        </w:rPr>
      </w:pPr>
      <w:r>
        <w:rPr>
          <w:rFonts w:ascii="Arial" w:cs="Arial" w:eastAsia="Arial" w:hAnsi="Arial"/>
          <w:sz w:val="18"/>
          <w:szCs w:val="18"/>
          <w:color w:val="auto"/>
        </w:rPr>
        <w:t>(b) retirement, the Administrator may, on such terms and conditions as it may determine to be appropriate, determine that such Restricted Stock shall continue to vest on the date(s) set out, and remain subject to such restrictions as are provided, in the applicable Program or Award Agreement.</w:t>
      </w:r>
    </w:p>
    <w:p>
      <w:pPr>
        <w:spacing w:after="0" w:line="95"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7.4 </w:t>
      </w:r>
      <w:r>
        <w:rPr>
          <w:rFonts w:ascii="Arial" w:cs="Arial" w:eastAsia="Arial" w:hAnsi="Arial"/>
          <w:sz w:val="16"/>
          <w:szCs w:val="16"/>
          <w:u w:val="single" w:color="auto"/>
          <w:color w:val="auto"/>
        </w:rPr>
        <w:t>Repurchase or Forfeiture of Restricted Stock</w:t>
      </w:r>
      <w:r>
        <w:rPr>
          <w:rFonts w:ascii="Arial" w:cs="Arial" w:eastAsia="Arial" w:hAnsi="Arial"/>
          <w:sz w:val="16"/>
          <w:szCs w:val="16"/>
          <w:color w:val="auto"/>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or a person nominated by the Company without consideration on the date of such Termination of Service. If a price was paid by the Holder for the Restricted Stock, upon a Termination of Service during the applicable restriction period, the Company or a person nominated by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the Administrator, in its sole discretion, may provide (in an Award Agreement or otherwise) that in the event of a Holder’s Termination of Service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860"/>
          </w:cols>
          <w:pgMar w:left="680" w:top="1381" w:right="359" w:bottom="1440" w:gutter="0" w:footer="0" w:header="0"/>
        </w:sectPr>
      </w:pPr>
    </w:p>
    <w:bookmarkStart w:id="16" w:name="page17"/>
    <w:bookmarkEnd w:id="16"/>
    <w:p>
      <w:pPr>
        <w:ind w:left="360" w:right="240"/>
        <w:spacing w:after="0" w:line="291" w:lineRule="auto"/>
        <w:rPr>
          <w:sz w:val="20"/>
          <w:szCs w:val="20"/>
          <w:color w:val="auto"/>
        </w:rPr>
      </w:pPr>
      <w:r>
        <w:rPr>
          <w:rFonts w:ascii="Arial" w:cs="Arial" w:eastAsia="Arial" w:hAnsi="Arial"/>
          <w:sz w:val="17"/>
          <w:szCs w:val="17"/>
          <w:color w:val="auto"/>
        </w:rPr>
        <w:t>(a) death or disability, the Holder’s rights in unvested Restricted Stock then subject to restrictions shall not lapse, such Restricted Stock shall vest and cease to be forfeitable and, if applicable, the Company shall cease to have a right of repurchase; or</w:t>
      </w:r>
    </w:p>
    <w:p>
      <w:pPr>
        <w:spacing w:after="0" w:line="66" w:lineRule="exact"/>
        <w:rPr>
          <w:sz w:val="20"/>
          <w:szCs w:val="20"/>
          <w:color w:val="auto"/>
        </w:rPr>
      </w:pPr>
    </w:p>
    <w:p>
      <w:pPr>
        <w:ind w:left="360" w:right="440"/>
        <w:spacing w:after="0" w:line="291" w:lineRule="auto"/>
        <w:rPr>
          <w:sz w:val="20"/>
          <w:szCs w:val="20"/>
          <w:color w:val="auto"/>
        </w:rPr>
      </w:pPr>
      <w:r>
        <w:rPr>
          <w:rFonts w:ascii="Arial" w:cs="Arial" w:eastAsia="Arial" w:hAnsi="Arial"/>
          <w:sz w:val="17"/>
          <w:szCs w:val="17"/>
          <w:color w:val="auto"/>
        </w:rPr>
        <w:t>(b) retirement, the Holder’s rights in unvested Restricted Stock then subject to restrictions shall not lapse, but shall continue to vest on the date(s) set out, and remain subject to such restrictions as are provided, in the applicable Program or Award Agreement.</w:t>
      </w:r>
    </w:p>
    <w:p>
      <w:pPr>
        <w:spacing w:after="0" w:line="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7.5 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18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ARTICLE 8.</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AWARD OF RESTRICTED STOCK UNITS</w:t>
      </w:r>
    </w:p>
    <w:p>
      <w:pPr>
        <w:spacing w:after="0" w:line="14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8.1 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8.2 </w:t>
      </w:r>
      <w:r>
        <w:rPr>
          <w:rFonts w:ascii="Arial" w:cs="Arial" w:eastAsia="Arial" w:hAnsi="Arial"/>
          <w:sz w:val="16"/>
          <w:szCs w:val="16"/>
          <w:u w:val="single" w:color="auto"/>
          <w:color w:val="auto"/>
        </w:rPr>
        <w:t>Term</w:t>
      </w:r>
      <w:r>
        <w:rPr>
          <w:rFonts w:ascii="Arial" w:cs="Arial" w:eastAsia="Arial" w:hAnsi="Arial"/>
          <w:sz w:val="16"/>
          <w:szCs w:val="16"/>
          <w:color w:val="auto"/>
        </w:rPr>
        <w:t>. Except as otherwise provided herein, the term of a Restricted Stock Unit award shall be set by the Administrator in its sole discretion.</w:t>
      </w:r>
    </w:p>
    <w:p>
      <w:pPr>
        <w:spacing w:after="0" w:line="154"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8.3 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shall specify the purchase price, if any, to be paid by the Holder to the Company with respect to any Restricted Stock Unit award;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108"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8.4 </w:t>
      </w: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but the vesting period shall in all cases be a period of at least 12 months from the Grant Date; </w:t>
      </w:r>
      <w:r>
        <w:rPr>
          <w:rFonts w:ascii="Arial" w:cs="Arial" w:eastAsia="Arial" w:hAnsi="Arial"/>
          <w:sz w:val="16"/>
          <w:szCs w:val="16"/>
          <w:u w:val="single" w:color="auto"/>
          <w:color w:val="auto"/>
        </w:rPr>
        <w:t>provided</w:t>
      </w:r>
      <w:r>
        <w:rPr>
          <w:rFonts w:ascii="Arial" w:cs="Arial" w:eastAsia="Arial" w:hAnsi="Arial"/>
          <w:sz w:val="16"/>
          <w:szCs w:val="16"/>
          <w:color w:val="auto"/>
        </w:rPr>
        <w:t>, up to a maximum of</w:t>
      </w:r>
    </w:p>
    <w:p>
      <w:pPr>
        <w:spacing w:after="0" w:line="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five percent (5%) of the maximum aggregate number of Shares that may be issued under the Plan pursuant to Section 3.1 may be issued pursuant to Awards granted under the Plan without regard for any limitations or other requirements for vesting or transferability under the Plan.</w:t>
      </w:r>
    </w:p>
    <w:p>
      <w:pPr>
        <w:spacing w:after="0" w:line="8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8.5 </w:t>
      </w:r>
      <w:r>
        <w:rPr>
          <w:rFonts w:ascii="Arial" w:cs="Arial" w:eastAsia="Arial" w:hAnsi="Arial"/>
          <w:sz w:val="16"/>
          <w:szCs w:val="16"/>
          <w:u w:val="single" w:color="auto"/>
          <w:color w:val="auto"/>
        </w:rPr>
        <w:t>Maturity and Payment</w:t>
      </w:r>
      <w:r>
        <w:rPr>
          <w:rFonts w:ascii="Arial" w:cs="Arial" w:eastAsia="Arial" w:hAnsi="Arial"/>
          <w:sz w:val="16"/>
          <w:szCs w:val="16"/>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end of calendar year in which the applicable portion of the Restricted Stock Unit vests; or (b)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end of the Company’s fiscal year in which the applicable portion of the Restricted Stock Unit vests. On the maturity date, and subject to the achievement in full of any applicable Performance Goals during any applicable Performance Period,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Shares as determined by the Administrator.</w:t>
      </w:r>
    </w:p>
    <w:p>
      <w:pPr>
        <w:spacing w:after="0" w:line="140"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8.6 </w:t>
      </w:r>
      <w:r>
        <w:rPr>
          <w:rFonts w:ascii="Arial" w:cs="Arial" w:eastAsia="Arial" w:hAnsi="Arial"/>
          <w:sz w:val="18"/>
          <w:szCs w:val="18"/>
          <w:u w:val="single" w:color="auto"/>
          <w:color w:val="auto"/>
        </w:rPr>
        <w:t>Settlement after Termination of Service</w:t>
      </w:r>
      <w:r>
        <w:rPr>
          <w:rFonts w:ascii="Arial" w:cs="Arial" w:eastAsia="Arial" w:hAnsi="Arial"/>
          <w:sz w:val="18"/>
          <w:szCs w:val="18"/>
          <w:color w:val="auto"/>
        </w:rPr>
        <w:t xml:space="preserve">. An Award of Restricted Stock Units shall only be settled (whether by a distribution of Shares or a payment in cash) while the Holder is an Employee;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in its sole discretion, may provide (in an Award Agreement or otherwise) that a Restricted Stock Unit award:</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(a) may be settled subsequent to a Termination of Service in the event of a Holder’s Termination of Service due to death or disability; or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860"/>
          </w:cols>
          <w:pgMar w:left="680" w:top="1381" w:right="359" w:bottom="1440" w:gutter="0" w:footer="0" w:header="0"/>
        </w:sectPr>
      </w:pPr>
    </w:p>
    <w:bookmarkStart w:id="17" w:name="page18"/>
    <w:bookmarkEnd w:id="17"/>
    <w:p>
      <w:pPr>
        <w:ind w:left="720" w:right="440"/>
        <w:spacing w:after="0" w:line="261" w:lineRule="auto"/>
        <w:rPr>
          <w:sz w:val="20"/>
          <w:szCs w:val="20"/>
          <w:color w:val="auto"/>
        </w:rPr>
      </w:pPr>
      <w:r>
        <w:rPr>
          <w:rFonts w:ascii="Arial" w:cs="Arial" w:eastAsia="Arial" w:hAnsi="Arial"/>
          <w:sz w:val="18"/>
          <w:szCs w:val="18"/>
          <w:color w:val="auto"/>
        </w:rPr>
        <w:t>(b) may continue to vest on the date(s) set out, and remain subject to such restrictions as are provided, in the applicable Program or Award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OTHER STOCK OR CASH BASED AWARDS AND DIVIDEND EQUIVALENTS</w:t>
      </w:r>
    </w:p>
    <w:p>
      <w:pPr>
        <w:spacing w:after="0" w:line="135" w:lineRule="exact"/>
        <w:rPr>
          <w:sz w:val="20"/>
          <w:szCs w:val="20"/>
          <w:color w:val="auto"/>
        </w:rPr>
      </w:pPr>
    </w:p>
    <w:p>
      <w:pPr>
        <w:ind w:left="360" w:right="20"/>
        <w:spacing w:after="0" w:line="247" w:lineRule="auto"/>
        <w:rPr>
          <w:sz w:val="20"/>
          <w:szCs w:val="20"/>
          <w:color w:val="auto"/>
        </w:rPr>
      </w:pPr>
      <w:r>
        <w:rPr>
          <w:rFonts w:ascii="Arial" w:cs="Arial" w:eastAsia="Arial" w:hAnsi="Arial"/>
          <w:sz w:val="17"/>
          <w:szCs w:val="17"/>
          <w:color w:val="auto"/>
        </w:rPr>
        <w:t>9.1 </w:t>
      </w:r>
      <w:r>
        <w:rPr>
          <w:rFonts w:ascii="Arial" w:cs="Arial" w:eastAsia="Arial" w:hAnsi="Arial"/>
          <w:sz w:val="17"/>
          <w:szCs w:val="17"/>
          <w:u w:val="single" w:color="auto"/>
          <w:color w:val="auto"/>
        </w:rPr>
        <w:t>Other Stock or Cash Based Awards</w:t>
      </w:r>
      <w:r>
        <w:rPr>
          <w:rFonts w:ascii="Arial" w:cs="Arial" w:eastAsia="Arial" w:hAnsi="Arial"/>
          <w:sz w:val="17"/>
          <w:szCs w:val="17"/>
          <w:color w:val="auto"/>
        </w:rPr>
        <w:t xml:space="preserve">. The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but the vesting period shall in all cases be a period of at least 12 months from the Grant Date; </w:t>
      </w:r>
      <w:r>
        <w:rPr>
          <w:rFonts w:ascii="Arial" w:cs="Arial" w:eastAsia="Arial" w:hAnsi="Arial"/>
          <w:sz w:val="17"/>
          <w:szCs w:val="17"/>
          <w:u w:val="single" w:color="auto"/>
          <w:color w:val="auto"/>
        </w:rPr>
        <w:t>provided</w:t>
      </w:r>
      <w:r>
        <w:rPr>
          <w:rFonts w:ascii="Arial" w:cs="Arial" w:eastAsia="Arial" w:hAnsi="Arial"/>
          <w:sz w:val="17"/>
          <w:szCs w:val="17"/>
          <w:color w:val="auto"/>
        </w:rPr>
        <w: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109" w:lineRule="exact"/>
        <w:rPr>
          <w:sz w:val="20"/>
          <w:szCs w:val="20"/>
          <w:color w:val="auto"/>
        </w:rPr>
      </w:pPr>
    </w:p>
    <w:p>
      <w:pPr>
        <w:ind w:left="360" w:right="20"/>
        <w:spacing w:after="0" w:line="250" w:lineRule="auto"/>
        <w:rPr>
          <w:sz w:val="20"/>
          <w:szCs w:val="20"/>
          <w:color w:val="auto"/>
        </w:rPr>
      </w:pPr>
      <w:r>
        <w:rPr>
          <w:rFonts w:ascii="Arial" w:cs="Arial" w:eastAsia="Arial" w:hAnsi="Arial"/>
          <w:sz w:val="17"/>
          <w:szCs w:val="17"/>
          <w:color w:val="auto"/>
        </w:rPr>
        <w:t>9.2 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. Dividend Equivalents may be granted by the Administrator, either alone or in tandem with another Award, based on dividends declared on the Shares,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148" w:lineRule="exact"/>
        <w:rPr>
          <w:sz w:val="20"/>
          <w:szCs w:val="20"/>
          <w:color w:val="auto"/>
        </w:rPr>
      </w:pPr>
    </w:p>
    <w:p>
      <w:pPr>
        <w:ind w:left="360" w:right="260"/>
        <w:spacing w:after="0" w:line="246" w:lineRule="auto"/>
        <w:rPr>
          <w:sz w:val="20"/>
          <w:szCs w:val="20"/>
          <w:color w:val="auto"/>
        </w:rPr>
      </w:pPr>
      <w:r>
        <w:rPr>
          <w:rFonts w:ascii="Arial" w:cs="Arial" w:eastAsia="Arial" w:hAnsi="Arial"/>
          <w:sz w:val="18"/>
          <w:szCs w:val="18"/>
          <w:color w:val="auto"/>
        </w:rPr>
        <w:t>10.1 </w:t>
      </w:r>
      <w:r>
        <w:rPr>
          <w:rFonts w:ascii="Arial" w:cs="Arial" w:eastAsia="Arial" w:hAnsi="Arial"/>
          <w:sz w:val="18"/>
          <w:szCs w:val="18"/>
          <w:u w:val="single" w:color="auto"/>
          <w:color w:val="auto"/>
        </w:rPr>
        <w:t>Payment</w:t>
      </w:r>
      <w:r>
        <w:rPr>
          <w:rFonts w:ascii="Arial" w:cs="Arial" w:eastAsia="Arial" w:hAnsi="Arial"/>
          <w:sz w:val="18"/>
          <w:szCs w:val="18"/>
          <w:color w:val="auto"/>
        </w:rPr>
        <w:t>. The Administrator shall determine the method or methods by which payments by any Holder with respect to any Awards granted under the Plan shall be made, including, without limitation:</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(a) cash or check;</w:t>
      </w:r>
    </w:p>
    <w:p>
      <w:pPr>
        <w:spacing w:after="0" w:line="131" w:lineRule="exact"/>
        <w:rPr>
          <w:sz w:val="20"/>
          <w:szCs w:val="20"/>
          <w:color w:val="auto"/>
        </w:rPr>
      </w:pPr>
    </w:p>
    <w:p>
      <w:pPr>
        <w:ind w:left="720" w:right="40"/>
        <w:spacing w:after="0"/>
        <w:rPr>
          <w:sz w:val="20"/>
          <w:szCs w:val="20"/>
          <w:color w:val="auto"/>
        </w:rPr>
      </w:pPr>
      <w:r>
        <w:rPr>
          <w:rFonts w:ascii="Arial" w:cs="Arial" w:eastAsia="Arial" w:hAnsi="Arial"/>
          <w:sz w:val="18"/>
          <w:szCs w:val="18"/>
          <w:color w:val="auto"/>
        </w:rPr>
        <w:t>(b) Shares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w:t>
      </w:r>
    </w:p>
    <w:p>
      <w:pPr>
        <w:spacing w:after="0" w:line="149" w:lineRule="exact"/>
        <w:rPr>
          <w:sz w:val="20"/>
          <w:szCs w:val="20"/>
          <w:color w:val="auto"/>
        </w:rPr>
      </w:pPr>
    </w:p>
    <w:p>
      <w:pPr>
        <w:ind w:left="720"/>
        <w:spacing w:after="0" w:line="238" w:lineRule="auto"/>
        <w:rPr>
          <w:sz w:val="20"/>
          <w:szCs w:val="20"/>
          <w:color w:val="auto"/>
        </w:rPr>
      </w:pPr>
      <w:r>
        <w:rPr>
          <w:rFonts w:ascii="Arial" w:cs="Arial" w:eastAsia="Arial" w:hAnsi="Arial"/>
          <w:sz w:val="18"/>
          <w:szCs w:val="18"/>
          <w:color w:val="auto"/>
        </w:rPr>
        <w:t xml:space="preserve">(c) delivery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 of such proceeds is then made to the Company upon settlement of such sale;</w:t>
      </w:r>
    </w:p>
    <w:p>
      <w:pPr>
        <w:spacing w:after="0" w:line="124" w:lineRule="exact"/>
        <w:rPr>
          <w:sz w:val="20"/>
          <w:szCs w:val="20"/>
          <w:color w:val="auto"/>
        </w:rPr>
      </w:pPr>
    </w:p>
    <w:p>
      <w:pPr>
        <w:ind w:left="720" w:right="3720"/>
        <w:spacing w:after="0" w:line="391" w:lineRule="auto"/>
        <w:rPr>
          <w:sz w:val="20"/>
          <w:szCs w:val="20"/>
          <w:color w:val="auto"/>
        </w:rPr>
      </w:pPr>
      <w:r>
        <w:rPr>
          <w:rFonts w:ascii="Arial" w:cs="Arial" w:eastAsia="Arial" w:hAnsi="Arial"/>
          <w:sz w:val="18"/>
          <w:szCs w:val="18"/>
          <w:color w:val="auto"/>
        </w:rPr>
        <w:t>(d) other form of legal consideration acceptable to the Administrator in its sole discretion; or (e) any combination of the above permitted forms of payment.</w:t>
      </w:r>
    </w:p>
    <w:p>
      <w:pPr>
        <w:spacing w:after="0" w:line="1"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40"/>
          </w:cols>
          <w:pgMar w:left="320" w:top="138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10.2 </w:t>
      </w:r>
      <w:r>
        <w:rPr>
          <w:rFonts w:ascii="Arial" w:cs="Arial" w:eastAsia="Arial" w:hAnsi="Arial"/>
          <w:sz w:val="18"/>
          <w:szCs w:val="18"/>
          <w:u w:val="single" w:color="auto"/>
          <w:color w:val="auto"/>
        </w:rPr>
        <w:t>Responsibility for Taxes and Tax Withholding</w:t>
      </w:r>
      <w:r>
        <w:rPr>
          <w:rFonts w:ascii="Arial" w:cs="Arial" w:eastAsia="Arial" w:hAnsi="Arial"/>
          <w:sz w:val="18"/>
          <w:szCs w:val="18"/>
          <w:color w:val="auto"/>
        </w:rPr>
        <w:t>.</w:t>
      </w:r>
    </w:p>
    <w:p>
      <w:pPr>
        <w:spacing w:after="0" w:line="131" w:lineRule="exact"/>
        <w:rPr>
          <w:sz w:val="20"/>
          <w:szCs w:val="20"/>
          <w:color w:val="auto"/>
        </w:rPr>
      </w:pPr>
    </w:p>
    <w:p>
      <w:pPr>
        <w:ind w:left="360"/>
        <w:spacing w:after="0" w:line="264" w:lineRule="auto"/>
        <w:rPr>
          <w:sz w:val="20"/>
          <w:szCs w:val="20"/>
          <w:color w:val="auto"/>
        </w:rPr>
      </w:pPr>
      <w:r>
        <w:rPr>
          <w:rFonts w:ascii="Arial" w:cs="Arial" w:eastAsia="Arial" w:hAnsi="Arial"/>
          <w:sz w:val="16"/>
          <w:szCs w:val="16"/>
          <w:color w:val="auto"/>
        </w:rPr>
        <w:t>(a) As a condition of the grant, vesting and/or exercise of any Award (or any Substitute Award) granted to a Holder,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unless the Company or (if different) the Holder’s employer (the “</w:t>
      </w:r>
      <w:r>
        <w:rPr>
          <w:rFonts w:ascii="Arial" w:cs="Arial" w:eastAsia="Arial" w:hAnsi="Arial"/>
          <w:sz w:val="16"/>
          <w:szCs w:val="16"/>
          <w:u w:val="single" w:color="auto"/>
          <w:color w:val="auto"/>
        </w:rPr>
        <w:t>Employer</w:t>
      </w:r>
      <w:r>
        <w:rPr>
          <w:rFonts w:ascii="Arial" w:cs="Arial" w:eastAsia="Arial" w:hAnsi="Arial"/>
          <w:sz w:val="16"/>
          <w:szCs w:val="16"/>
          <w:color w:val="auto"/>
        </w:rPr>
        <w:t>”) decides not to pursue such recovery at its absolute discretion), or any other relevant taxes (including, but not limited, to any federal, state, local or foreign taxes) or tax related items (or any equivalent or similar taxes, contributions or other relevant tax-related items in any relevant jurisdiction) or required deductions, withholdings or payments legally applicable to the relevant Holder related to: (i) the grant, vesting or exercise of or any benefit derived from an Award (or any Substitute Award); (ii) the transfer or issue of Shares or cash to a Holder on satisfaction of an Award (or any Substitute Award); (iii) any restrictions applicable to Shares held by a Holder ceasing to apply to those Shares; (iv) the disposal of any Shares by or on behalf of a Holder; or (v) participation in the Plan (any, a “</w:t>
      </w:r>
      <w:r>
        <w:rPr>
          <w:rFonts w:ascii="Arial" w:cs="Arial" w:eastAsia="Arial" w:hAnsi="Arial"/>
          <w:sz w:val="16"/>
          <w:szCs w:val="16"/>
          <w:u w:val="single" w:color="auto"/>
          <w:color w:val="auto"/>
        </w:rPr>
        <w:t>Tax Liability</w:t>
      </w:r>
      <w:r>
        <w:rPr>
          <w:rFonts w:ascii="Arial" w:cs="Arial" w:eastAsia="Arial" w:hAnsi="Arial"/>
          <w:sz w:val="16"/>
          <w:szCs w:val="16"/>
          <w:color w:val="auto"/>
        </w:rPr>
        <w:t>”) is and remains the responsibility of the relevant Holder and may exceed the amount actually withheld by the Company or (if different) the Employer. For the avoidance of doubt, any references to National Insurance contributions or NICs in the Plan shall be deemed to include a reference to the United Kingdom tax known as the health and social care levy.</w:t>
      </w:r>
    </w:p>
    <w:p>
      <w:pPr>
        <w:spacing w:after="0" w:line="96" w:lineRule="exact"/>
        <w:rPr>
          <w:sz w:val="20"/>
          <w:szCs w:val="20"/>
          <w:color w:val="auto"/>
        </w:rPr>
      </w:pPr>
    </w:p>
    <w:p>
      <w:pPr>
        <w:ind w:left="360" w:right="260"/>
        <w:spacing w:after="0"/>
        <w:rPr>
          <w:sz w:val="20"/>
          <w:szCs w:val="20"/>
          <w:color w:val="auto"/>
        </w:rPr>
      </w:pPr>
      <w:r>
        <w:rPr>
          <w:rFonts w:ascii="Arial" w:cs="Arial" w:eastAsia="Arial" w:hAnsi="Arial"/>
          <w:sz w:val="18"/>
          <w:szCs w:val="18"/>
          <w:color w:val="auto"/>
        </w:rPr>
        <w:t>(b) The Company or any Subsidiary (including the Employer, if applicable) shall have the authority and the right to deduct or withhold, or require a Holder to remit to the Company, an amount sufficient to satisfy any Tax Liability required by law to be withheld or otherwise arising with respect to any taxable event concerning a Holder arising as a result of the Plan or any Award.</w:t>
      </w:r>
    </w:p>
    <w:p>
      <w:pPr>
        <w:spacing w:after="0" w:line="108" w:lineRule="exact"/>
        <w:rPr>
          <w:sz w:val="20"/>
          <w:szCs w:val="20"/>
          <w:color w:val="auto"/>
        </w:rPr>
      </w:pPr>
    </w:p>
    <w:p>
      <w:pPr>
        <w:ind w:left="360" w:right="40"/>
        <w:spacing w:after="0" w:line="247" w:lineRule="auto"/>
        <w:rPr>
          <w:sz w:val="20"/>
          <w:szCs w:val="20"/>
          <w:color w:val="auto"/>
        </w:rPr>
      </w:pPr>
      <w:r>
        <w:rPr>
          <w:rFonts w:ascii="Arial" w:cs="Arial" w:eastAsia="Arial" w:hAnsi="Arial"/>
          <w:sz w:val="17"/>
          <w:szCs w:val="17"/>
          <w:color w:val="auto"/>
        </w:rPr>
        <w:t>(c) The Holder irrevocably agrees to pay to the Company or (if different) the Employer the amount of any Tax Liability or enter into arrangements to the satisfaction of the Company or the Employer (as appropriate) for payment of any Tax Liability that the Company, Subsidiary or the Employer is required or authorized, or reasonably believes it is required or authorized, to withhold, pay, or account for, including (but not limited) by way of (i) cash of or check for the relevant amount paid or made payable, as applicable, to the Company or the Employer (or other relevant Subsidiary) with respect to which the relevant Tax Liability arises; (ii) withholding from the Holder’s wages or other compensation paid to the Holder by the Company or the Employer (or any other relevant Subsidiary), including (for the avoidance of doubt) any payment due to Participant pursuant to the relevant Award, (iii) withholding from proceeds of the sale of Shares acquired on satisfaction of an Award either through a voluntary sale or through a mandatory sale arranged by the Company (on the Holder’s behalf pursuant to this authorization) without further consent, (iv) withholding Shares that would otherwise be issued upon satisfaction of an Award or (v) in any combination of the foregoing or such other method as determined by the Company or the Administrator.</w:t>
      </w:r>
    </w:p>
    <w:p>
      <w:pPr>
        <w:spacing w:after="0" w:line="135" w:lineRule="exact"/>
        <w:rPr>
          <w:sz w:val="20"/>
          <w:szCs w:val="20"/>
          <w:color w:val="auto"/>
        </w:rPr>
      </w:pPr>
    </w:p>
    <w:p>
      <w:pPr>
        <w:ind w:left="360" w:right="200"/>
        <w:spacing w:after="0" w:line="234" w:lineRule="auto"/>
        <w:rPr>
          <w:sz w:val="20"/>
          <w:szCs w:val="20"/>
          <w:color w:val="auto"/>
        </w:rPr>
      </w:pPr>
      <w:r>
        <w:rPr>
          <w:rFonts w:ascii="Arial" w:cs="Arial" w:eastAsia="Arial" w:hAnsi="Arial"/>
          <w:sz w:val="18"/>
          <w:szCs w:val="18"/>
          <w:color w:val="auto"/>
        </w:rPr>
        <w:t>(d) The Holder will indemnify and keep indemnified the Company and any relevant Subsidiary (including the Employer, if applicable) from and against any liability for or obligation to pay any Tax Liability, regardless of any action taken by the Company or any Subsidiary (including the Employer, if applicable). Neither the Company nor any Subsidiary (including the Employer, if applicable) makes any representation or undertaking regarding the treatment of any Tax Liability in connection with the grant, vesting, exercise or payment of any Award (or any Substitute Award), any subsequent disposal of Shares or the receipt of any dividend. Neither the Company nor any Subsidiary (including the Employer, if applicable) commits to or is under any obligation to structure any Award (or any Substitute Award) to reduce or eliminate any Tax Liability or to achieve any particular tax result.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860"/>
          </w:cols>
          <w:pgMar w:left="680" w:top="138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10.3 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(a) Except as otherwise provided in Sections 10.3(b) and 10.3(c):</w:t>
      </w:r>
    </w:p>
    <w:p>
      <w:pPr>
        <w:spacing w:after="0" w:line="117" w:lineRule="exact"/>
        <w:rPr>
          <w:sz w:val="20"/>
          <w:szCs w:val="20"/>
          <w:color w:val="auto"/>
        </w:rPr>
      </w:pPr>
    </w:p>
    <w:p>
      <w:pPr>
        <w:ind w:left="700" w:right="40"/>
        <w:spacing w:after="0" w:line="238" w:lineRule="auto"/>
        <w:rPr>
          <w:sz w:val="20"/>
          <w:szCs w:val="20"/>
          <w:color w:val="auto"/>
        </w:rPr>
      </w:pPr>
      <w:r>
        <w:rPr>
          <w:rFonts w:ascii="Arial" w:cs="Arial" w:eastAsia="Arial" w:hAnsi="Arial"/>
          <w:sz w:val="18"/>
          <w:szCs w:val="18"/>
          <w:color w:val="auto"/>
        </w:rPr>
        <w:t>(i) No Award under the Plan may be sold, pledged, assigned or transferred in any manner other than (A) by will or the laws of descent and distribution or (B) other than in respect of an Incentive Stock Option, subject to the consent of the Administrator, pursuant to a DRO, unless and until such Award has been exercised or the Shares underlying such Award have been issued, and all restrictions applicable to such Shares have lapsed;</w:t>
      </w:r>
    </w:p>
    <w:p>
      <w:pPr>
        <w:spacing w:after="0" w:line="97"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color w:val="auto"/>
        </w:rPr>
        <w:t>(ii) No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spacing w:after="0" w:line="99" w:lineRule="exact"/>
        <w:rPr>
          <w:sz w:val="20"/>
          <w:szCs w:val="20"/>
          <w:color w:val="auto"/>
        </w:rPr>
      </w:pPr>
    </w:p>
    <w:p>
      <w:pPr>
        <w:ind w:left="700" w:right="20"/>
        <w:spacing w:after="0" w:line="251" w:lineRule="auto"/>
        <w:rPr>
          <w:sz w:val="20"/>
          <w:szCs w:val="20"/>
          <w:color w:val="auto"/>
        </w:rPr>
      </w:pPr>
      <w:r>
        <w:rPr>
          <w:rFonts w:ascii="Arial" w:cs="Arial" w:eastAsia="Arial" w:hAnsi="Arial"/>
          <w:sz w:val="17"/>
          <w:szCs w:val="17"/>
          <w:color w:val="auto"/>
        </w:rPr>
        <w:t>(iii) During the lifetime of the Holder, only the Holder may exercise any exercisable portion of an Award granted to such Holder under the Plan, unless (other than in respect of an Incentive Stock Option)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Applicable Laws of descent and distribution.</w:t>
      </w:r>
    </w:p>
    <w:p>
      <w:pPr>
        <w:spacing w:after="0" w:line="98" w:lineRule="exact"/>
        <w:rPr>
          <w:sz w:val="20"/>
          <w:szCs w:val="20"/>
          <w:color w:val="auto"/>
        </w:rPr>
      </w:pPr>
    </w:p>
    <w:p>
      <w:pPr>
        <w:ind w:left="340"/>
        <w:spacing w:after="0" w:line="262" w:lineRule="auto"/>
        <w:rPr>
          <w:sz w:val="20"/>
          <w:szCs w:val="20"/>
          <w:color w:val="auto"/>
        </w:rPr>
      </w:pPr>
      <w:r>
        <w:rPr>
          <w:rFonts w:ascii="Arial" w:cs="Arial" w:eastAsia="Arial" w:hAnsi="Arial"/>
          <w:sz w:val="16"/>
          <w:szCs w:val="16"/>
          <w:color w:val="auto"/>
        </w:rPr>
        <w:t>(b) Notwithstanding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w:t>
      </w:r>
    </w:p>
    <w:p>
      <w:pPr>
        <w:spacing w:after="0" w:line="1" w:lineRule="exact"/>
        <w:rPr>
          <w:sz w:val="20"/>
          <w:szCs w:val="20"/>
          <w:color w:val="auto"/>
        </w:rPr>
      </w:pPr>
    </w:p>
    <w:p>
      <w:pPr>
        <w:ind w:left="340" w:right="180" w:firstLine="8"/>
        <w:spacing w:after="0" w:line="23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152" w:lineRule="exact"/>
        <w:rPr>
          <w:sz w:val="20"/>
          <w:szCs w:val="20"/>
          <w:color w:val="auto"/>
        </w:rPr>
      </w:pPr>
    </w:p>
    <w:p>
      <w:pPr>
        <w:ind w:left="340"/>
        <w:spacing w:after="0" w:line="264" w:lineRule="auto"/>
        <w:rPr>
          <w:sz w:val="20"/>
          <w:szCs w:val="20"/>
          <w:color w:val="auto"/>
        </w:rPr>
      </w:pPr>
      <w:r>
        <w:rPr>
          <w:rFonts w:ascii="Arial" w:cs="Arial" w:eastAsia="Arial" w:hAnsi="Arial"/>
          <w:sz w:val="16"/>
          <w:szCs w:val="16"/>
          <w:color w:val="auto"/>
        </w:rPr>
        <w:t xml:space="preserve">(c) Notwithstanding Section 10.3(a), a Holder may, if permitted, and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or jurisdiction,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change or revocation is delivered in writing to the Administrator prior to the Holder’s death.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820"/>
          </w:cols>
          <w:pgMar w:left="700" w:top="1367"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10.4 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131" w:lineRule="exact"/>
        <w:rPr>
          <w:sz w:val="20"/>
          <w:szCs w:val="20"/>
          <w:color w:val="auto"/>
        </w:rPr>
      </w:pPr>
    </w:p>
    <w:p>
      <w:pPr>
        <w:ind w:left="360"/>
        <w:spacing w:after="0" w:line="272" w:lineRule="auto"/>
        <w:rPr>
          <w:sz w:val="20"/>
          <w:szCs w:val="20"/>
          <w:color w:val="auto"/>
        </w:rPr>
      </w:pPr>
      <w:r>
        <w:rPr>
          <w:rFonts w:ascii="Arial" w:cs="Arial" w:eastAsia="Arial" w:hAnsi="Arial"/>
          <w:sz w:val="16"/>
          <w:szCs w:val="16"/>
          <w:color w:val="auto"/>
        </w:rPr>
        <w:t>(a) The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85" w:lineRule="exact"/>
        <w:rPr>
          <w:sz w:val="20"/>
          <w:szCs w:val="20"/>
          <w:color w:val="auto"/>
        </w:rPr>
      </w:pPr>
    </w:p>
    <w:p>
      <w:pPr>
        <w:ind w:left="360" w:right="120"/>
        <w:spacing w:after="0" w:line="238" w:lineRule="auto"/>
        <w:rPr>
          <w:sz w:val="20"/>
          <w:szCs w:val="20"/>
          <w:color w:val="auto"/>
        </w:rPr>
      </w:pPr>
      <w:r>
        <w:rPr>
          <w:rFonts w:ascii="Arial" w:cs="Arial" w:eastAsia="Arial" w:hAnsi="Arial"/>
          <w:sz w:val="18"/>
          <w:szCs w:val="18"/>
          <w:color w:val="auto"/>
        </w:rPr>
        <w:t>(b) All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110" w:lineRule="exact"/>
        <w:rPr>
          <w:sz w:val="20"/>
          <w:szCs w:val="20"/>
          <w:color w:val="auto"/>
        </w:rPr>
      </w:pPr>
    </w:p>
    <w:p>
      <w:pPr>
        <w:ind w:left="360" w:right="200"/>
        <w:spacing w:after="0" w:line="324" w:lineRule="auto"/>
        <w:rPr>
          <w:sz w:val="20"/>
          <w:szCs w:val="20"/>
          <w:color w:val="auto"/>
        </w:rPr>
      </w:pPr>
      <w:r>
        <w:rPr>
          <w:rFonts w:ascii="Arial" w:cs="Arial" w:eastAsia="Arial" w:hAnsi="Arial"/>
          <w:sz w:val="16"/>
          <w:szCs w:val="16"/>
          <w:color w:val="auto"/>
        </w:rPr>
        <w:t>(c) The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43" w:lineRule="exact"/>
        <w:rPr>
          <w:sz w:val="20"/>
          <w:szCs w:val="20"/>
          <w:color w:val="auto"/>
        </w:rPr>
      </w:pPr>
    </w:p>
    <w:p>
      <w:pPr>
        <w:ind w:left="360" w:right="480"/>
        <w:spacing w:after="0" w:line="261" w:lineRule="auto"/>
        <w:rPr>
          <w:sz w:val="20"/>
          <w:szCs w:val="20"/>
          <w:color w:val="auto"/>
        </w:rPr>
      </w:pPr>
      <w:r>
        <w:rPr>
          <w:rFonts w:ascii="Arial" w:cs="Arial" w:eastAsia="Arial" w:hAnsi="Arial"/>
          <w:sz w:val="18"/>
          <w:szCs w:val="18"/>
          <w:color w:val="auto"/>
        </w:rPr>
        <w:t>(d) No fractional Shares shall be issued and the Administrator, in its sole discretion, shall determine whether cash shall be given in lieu of fractional Shares or whether such fractional Shares shall be eliminated by rounding down.</w:t>
      </w:r>
    </w:p>
    <w:p>
      <w:pPr>
        <w:spacing w:after="0" w:line="90" w:lineRule="exact"/>
        <w:rPr>
          <w:sz w:val="20"/>
          <w:szCs w:val="20"/>
          <w:color w:val="auto"/>
        </w:rPr>
      </w:pPr>
    </w:p>
    <w:p>
      <w:pPr>
        <w:ind w:left="360" w:right="280"/>
        <w:spacing w:after="0" w:line="238" w:lineRule="auto"/>
        <w:rPr>
          <w:sz w:val="20"/>
          <w:szCs w:val="20"/>
          <w:color w:val="auto"/>
        </w:rPr>
      </w:pPr>
      <w:r>
        <w:rPr>
          <w:rFonts w:ascii="Arial" w:cs="Arial" w:eastAsia="Arial" w:hAnsi="Arial"/>
          <w:sz w:val="18"/>
          <w:szCs w:val="18"/>
          <w:color w:val="auto"/>
        </w:rPr>
        <w:t>(e) The Company, in its sole discretion, may (i) retain physical possession of any share certificate evidencing Shares until any restrictions thereon shall have lapsed and/or (ii) require that the share certificates evidencing such Shares be held in custody by a designated escrow agent (which may but need not be the Company) until the restrictions thereon shall have lapsed, and that the Holder deliver a stock transfer form, endorsed in blank, relating to such Shares.</w:t>
      </w:r>
    </w:p>
    <w:p>
      <w:pPr>
        <w:spacing w:after="0" w:line="110" w:lineRule="exact"/>
        <w:rPr>
          <w:sz w:val="20"/>
          <w:szCs w:val="20"/>
          <w:color w:val="auto"/>
        </w:rPr>
      </w:pPr>
    </w:p>
    <w:p>
      <w:pPr>
        <w:ind w:left="360" w:right="340"/>
        <w:spacing w:after="0" w:line="270" w:lineRule="auto"/>
        <w:rPr>
          <w:sz w:val="20"/>
          <w:szCs w:val="20"/>
          <w:color w:val="auto"/>
        </w:rPr>
      </w:pPr>
      <w:r>
        <w:rPr>
          <w:rFonts w:ascii="Arial" w:cs="Arial" w:eastAsia="Arial" w:hAnsi="Arial"/>
          <w:sz w:val="17"/>
          <w:szCs w:val="17"/>
          <w:color w:val="auto"/>
        </w:rPr>
        <w:t>(f) Notwithstanding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share plan administrator).</w:t>
      </w:r>
    </w:p>
    <w:p>
      <w:pPr>
        <w:spacing w:after="0" w:line="8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10.5 </w:t>
      </w:r>
      <w:r>
        <w:rPr>
          <w:rFonts w:ascii="Arial" w:cs="Arial" w:eastAsia="Arial" w:hAnsi="Arial"/>
          <w:sz w:val="18"/>
          <w:szCs w:val="18"/>
          <w:u w:val="single" w:color="auto"/>
          <w:color w:val="auto"/>
        </w:rPr>
        <w:t>Malus and Claw-Back Provisions</w:t>
      </w:r>
      <w:r>
        <w:rPr>
          <w:rFonts w:ascii="Arial" w:cs="Arial" w:eastAsia="Arial" w:hAnsi="Arial"/>
          <w:sz w:val="18"/>
          <w:szCs w:val="18"/>
          <w:color w:val="auto"/>
        </w:rPr>
        <w:t>. All Awards (including any proceeds, gains or other economic benefit actually or constructively received by a Holder upon any receipt or exercise of any Award or upon the receipt or resale of any Shares underlying the Award) shall be subject to the terms of Applicable Law, regulation and governance codes that regulate or govern executive remuneration and compensation from time to time and the provisions of any malus or claw-back policy implemented by the Company, including, without limitation, the LivaNova Compensation Recoupment Policy and any malus or claw- 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10.6 </w:t>
      </w:r>
      <w:r>
        <w:rPr>
          <w:rFonts w:ascii="Arial" w:cs="Arial" w:eastAsia="Arial" w:hAnsi="Arial"/>
          <w:sz w:val="17"/>
          <w:szCs w:val="17"/>
          <w:u w:val="single" w:color="auto"/>
          <w:color w:val="auto"/>
        </w:rPr>
        <w:t>Prohibition on Repricing</w:t>
      </w:r>
      <w:r>
        <w:rPr>
          <w:rFonts w:ascii="Arial" w:cs="Arial" w:eastAsia="Arial" w:hAnsi="Arial"/>
          <w:sz w:val="17"/>
          <w:szCs w:val="17"/>
          <w:color w:val="auto"/>
        </w:rPr>
        <w:t>. Subject to Section 12.2, the Administrator shall not, without the approval of the shareholders of the Company,</w:t>
      </w:r>
    </w:p>
    <w:p>
      <w:pPr>
        <w:spacing w:after="0" w:line="23" w:lineRule="exact"/>
        <w:rPr>
          <w:sz w:val="20"/>
          <w:szCs w:val="20"/>
          <w:color w:val="auto"/>
        </w:rPr>
      </w:pPr>
    </w:p>
    <w:p>
      <w:pPr>
        <w:ind w:right="160" w:firstLine="8"/>
        <w:spacing w:after="0" w:line="244"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10.6, except in connection with a corporate transaction involving the Company (including, without limitation, any dividend in specie, sub-division of shares, extraordinary cash dividend, recapitalization, reorganization, merger, consolidation, split-up, spin-off, combination or exchange of shares), the terms of outstanding Awards may not be amended to reduce the exercise price per Share of outstanding Options or Stock Appreciation Rights or to cancel outstanding Options or Stock Appreciation Rights in exchange for cash or other Awards with an exercise price per Share that is less than the exercise price per Share of the original Options or Stock Appreciation Rights without the approval of the shareholders of the Company.</w:t>
      </w:r>
    </w:p>
    <w:p>
      <w:pPr>
        <w:spacing w:after="0" w:line="9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10.7 </w:t>
      </w:r>
      <w:r>
        <w:rPr>
          <w:rFonts w:ascii="Arial" w:cs="Arial" w:eastAsia="Arial" w:hAnsi="Arial"/>
          <w:sz w:val="17"/>
          <w:szCs w:val="17"/>
          <w:u w:val="single" w:color="auto"/>
          <w:color w:val="auto"/>
        </w:rPr>
        <w:t>Amendment of Awards</w:t>
      </w:r>
      <w:r>
        <w:rPr>
          <w:rFonts w:ascii="Arial" w:cs="Arial" w:eastAsia="Arial" w:hAnsi="Arial"/>
          <w:sz w:val="17"/>
          <w:szCs w:val="17"/>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880"/>
          </w:cols>
          <w:pgMar w:left="680" w:top="1381" w:right="339" w:bottom="1440" w:gutter="0" w:footer="0" w:header="0"/>
        </w:sectPr>
      </w:pPr>
    </w:p>
    <w:bookmarkStart w:id="21" w:name="page22"/>
    <w:bookmarkEnd w:id="21"/>
    <w:p>
      <w:pPr>
        <w:ind w:right="520"/>
        <w:spacing w:after="0" w:line="246" w:lineRule="auto"/>
        <w:rPr>
          <w:sz w:val="20"/>
          <w:szCs w:val="20"/>
          <w:color w:val="auto"/>
        </w:rPr>
      </w:pPr>
      <w:r>
        <w:rPr>
          <w:rFonts w:ascii="Arial" w:cs="Arial" w:eastAsia="Arial" w:hAnsi="Arial"/>
          <w:sz w:val="18"/>
          <w:szCs w:val="18"/>
          <w:color w:val="auto"/>
        </w:rPr>
        <w:t>Administrator determines that the action, taking into account any related action, would not materially and adversely affect the Holder, or (b) the change is otherwise permitted under the Plan (including, without limitation, under Section 12.2 or 12.9).</w:t>
      </w:r>
    </w:p>
    <w:p>
      <w:pPr>
        <w:spacing w:after="0" w:line="8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10.8 </w:t>
      </w:r>
      <w:r>
        <w:rPr>
          <w:rFonts w:ascii="Arial" w:cs="Arial" w:eastAsia="Arial" w:hAnsi="Arial"/>
          <w:sz w:val="18"/>
          <w:szCs w:val="18"/>
          <w:u w:val="single" w:color="auto"/>
          <w:color w:val="auto"/>
        </w:rPr>
        <w:t>Data Protection</w:t>
      </w:r>
      <w:r>
        <w:rPr>
          <w:rFonts w:ascii="Arial" w:cs="Arial" w:eastAsia="Arial" w:hAnsi="Arial"/>
          <w:sz w:val="18"/>
          <w:szCs w:val="18"/>
          <w:color w:val="auto"/>
        </w:rPr>
        <w:t>. The Holder acknowledges and understands that the Company or a Subsidiary (including the Holder’s employer), as applicable, shall process personal information about the Holder for the purpose of managing and administering the Plan and the Awards, as described in the relevant Award Agreement and subject to Applicable Law.</w:t>
      </w:r>
    </w:p>
    <w:p>
      <w:pPr>
        <w:spacing w:after="0" w:line="15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ARTICLE 11.</w:t>
      </w:r>
    </w:p>
    <w:p>
      <w:pPr>
        <w:spacing w:after="0" w:line="18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Administrator</w:t>
      </w:r>
      <w:r>
        <w:rPr>
          <w:rFonts w:ascii="Arial" w:cs="Arial" w:eastAsia="Arial" w:hAnsi="Arial"/>
          <w:sz w:val="17"/>
          <w:szCs w:val="17"/>
          <w:color w:val="auto"/>
        </w:rPr>
        <w:t>. The Committee shall administer the Plan (except as otherwise permitted herein). To the extent necessary to comply with Rule 16b-3 of the Exchange Act, the Committee shall take all action with respect to such Awards, and the individuals taking such action shall consist solely of two or more Non-Employee Directors, each of whom is intended to qualify as a “non-employee director” as defined by Rule 16b-3 of the Exchange Act or any successor rule. Additionally, to the extent required by Applicable Law, each of the individuals constituting the Committee shall be an “independent director” under Nasdaq Rule 5605(d)(2) or any successor rule.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(a) appointment of Committee members shall be effective upon acceptance of appointment,</w:t>
      </w:r>
    </w:p>
    <w:p>
      <w:pPr>
        <w:spacing w:after="0" w:line="117" w:lineRule="exact"/>
        <w:rPr>
          <w:sz w:val="20"/>
          <w:szCs w:val="20"/>
          <w:color w:val="auto"/>
        </w:rPr>
      </w:pPr>
    </w:p>
    <w:p>
      <w:pPr>
        <w:ind w:left="360" w:right="40"/>
        <w:spacing w:after="0" w:line="246" w:lineRule="auto"/>
        <w:rPr>
          <w:sz w:val="20"/>
          <w:szCs w:val="20"/>
          <w:color w:val="auto"/>
        </w:rPr>
      </w:pPr>
      <w:r>
        <w:rPr>
          <w:rFonts w:ascii="Arial" w:cs="Arial" w:eastAsia="Arial" w:hAnsi="Arial"/>
          <w:sz w:val="18"/>
          <w:szCs w:val="18"/>
          <w:color w:val="auto"/>
        </w:rPr>
        <w:t>(b) Committee members may resign at any time by delivering written or electronic notice to the Board and (c) vacancies in the Committee may only be filled by the Board.</w:t>
      </w:r>
    </w:p>
    <w:p>
      <w:pPr>
        <w:spacing w:after="0" w:line="11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u w:val="single" w:color="auto"/>
          <w:color w:val="auto"/>
        </w:rPr>
        <w:t>Duties and Powers of Administrator</w:t>
      </w:r>
      <w:r>
        <w:rPr>
          <w:rFonts w:ascii="Arial" w:cs="Arial" w:eastAsia="Arial" w:hAnsi="Arial"/>
          <w:sz w:val="17"/>
          <w:szCs w:val="17"/>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any Program or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Sections 10.5, 10.7 or 12.9.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Nasdaq Rule 5605(d) or any successor rule are required to be determined in the sole discretion of the Committee.</w:t>
      </w:r>
    </w:p>
    <w:p>
      <w:pPr>
        <w:spacing w:after="0" w:line="9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Action by the Administrator</w:t>
      </w:r>
      <w:r>
        <w:rPr>
          <w:rFonts w:ascii="Arial" w:cs="Arial" w:eastAsia="Arial" w:hAnsi="Arial"/>
          <w:sz w:val="17"/>
          <w:szCs w:val="17"/>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director, officer or employee of the Company or any Subsidiary, the Company’s independent certified public accountants, or any executive compensation consultant or other professional retained by the Company to assist in the administration of the Plan.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. Subject to the Organizational Documents, any specific designation in the Plan and Applicable Law,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(a) Designate Eligible Individuals to receive Awards;</w:t>
      </w:r>
    </w:p>
    <w:p>
      <w:pPr>
        <w:spacing w:after="0" w:line="117" w:lineRule="exact"/>
        <w:rPr>
          <w:sz w:val="20"/>
          <w:szCs w:val="20"/>
          <w:color w:val="auto"/>
        </w:rPr>
      </w:pPr>
    </w:p>
    <w:p>
      <w:pPr>
        <w:ind w:left="360" w:right="520"/>
        <w:spacing w:after="0" w:line="261" w:lineRule="auto"/>
        <w:rPr>
          <w:sz w:val="20"/>
          <w:szCs w:val="20"/>
          <w:color w:val="auto"/>
        </w:rPr>
      </w:pPr>
      <w:r>
        <w:rPr>
          <w:rFonts w:ascii="Arial" w:cs="Arial" w:eastAsia="Arial" w:hAnsi="Arial"/>
          <w:sz w:val="18"/>
          <w:szCs w:val="18"/>
          <w:color w:val="auto"/>
        </w:rPr>
        <w:t>(b) Determine the type or types of Awards to be granted to each Eligible Individual (including, without limitation, any Awards granted in tandem with another Award granted pursuant to the Plan);</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(c) Determine the number of Awards to be granted and the number of Shares to which an Award will relate;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860"/>
          </w:cols>
          <w:pgMar w:left="680" w:top="1367" w:right="359" w:bottom="1440" w:gutter="0" w:footer="0" w:header="0"/>
        </w:sectPr>
      </w:pPr>
    </w:p>
    <w:bookmarkStart w:id="22" w:name="page23"/>
    <w:bookmarkEnd w:id="22"/>
    <w:p>
      <w:pPr>
        <w:jc w:val="both"/>
        <w:ind w:left="360" w:right="120"/>
        <w:spacing w:after="0" w:line="278" w:lineRule="auto"/>
        <w:rPr>
          <w:sz w:val="20"/>
          <w:szCs w:val="20"/>
          <w:color w:val="auto"/>
        </w:rPr>
      </w:pPr>
      <w:r>
        <w:rPr>
          <w:rFonts w:ascii="Arial" w:cs="Arial" w:eastAsia="Arial" w:hAnsi="Arial"/>
          <w:sz w:val="16"/>
          <w:szCs w:val="16"/>
          <w:color w:val="auto"/>
        </w:rPr>
        <w:t>(d) Determine the terms and conditions of any Award granted pursuant to the Plan, including, but not limited to, the exercise price, grant price,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66" w:lineRule="exact"/>
        <w:rPr>
          <w:sz w:val="20"/>
          <w:szCs w:val="20"/>
          <w:color w:val="auto"/>
        </w:rPr>
      </w:pPr>
    </w:p>
    <w:p>
      <w:pPr>
        <w:ind w:left="360"/>
        <w:spacing w:after="0" w:line="246" w:lineRule="auto"/>
        <w:rPr>
          <w:sz w:val="20"/>
          <w:szCs w:val="20"/>
          <w:color w:val="auto"/>
        </w:rPr>
      </w:pPr>
      <w:r>
        <w:rPr>
          <w:rFonts w:ascii="Arial" w:cs="Arial" w:eastAsia="Arial" w:hAnsi="Arial"/>
          <w:sz w:val="18"/>
          <w:szCs w:val="18"/>
          <w:color w:val="auto"/>
        </w:rPr>
        <w:t>(e) Determine whether, to what extent, and under what circumstances an Award may be settled in, or the exercise price of an Award may be paid in cash, Shares, other Awards, or other property, or an Award may be canceled, forfeited, or surrendered;</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(f) Prescribe the form of each Award Agreement, which need not be identical for each Holder;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(g) Decide all other matters that must be determined in connection with an Award;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(h) Establish, adopt, or revise any Programs, rules and regulations as it may deem necessary or advisable to administer the Plan;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(i) Interpret the terms of, and any matter arising pursuant to, the Plan, any Program or any Award Agreement;</w:t>
      </w:r>
    </w:p>
    <w:p>
      <w:pPr>
        <w:spacing w:after="0" w:line="117" w:lineRule="exact"/>
        <w:rPr>
          <w:sz w:val="20"/>
          <w:szCs w:val="20"/>
          <w:color w:val="auto"/>
        </w:rPr>
      </w:pPr>
    </w:p>
    <w:p>
      <w:pPr>
        <w:ind w:left="360" w:right="100"/>
        <w:spacing w:after="0" w:line="261" w:lineRule="auto"/>
        <w:rPr>
          <w:sz w:val="20"/>
          <w:szCs w:val="20"/>
          <w:color w:val="auto"/>
        </w:rPr>
      </w:pPr>
      <w:r>
        <w:rPr>
          <w:rFonts w:ascii="Arial" w:cs="Arial" w:eastAsia="Arial" w:hAnsi="Arial"/>
          <w:sz w:val="18"/>
          <w:szCs w:val="18"/>
          <w:color w:val="auto"/>
        </w:rPr>
        <w:t>(j) Make all other decisions and determinations that may be required pursuant to the Plan or as the Administrator deems necessary or advisable to administer the Plan;</w:t>
      </w:r>
    </w:p>
    <w:p>
      <w:pPr>
        <w:spacing w:after="0" w:line="90" w:lineRule="exact"/>
        <w:rPr>
          <w:sz w:val="20"/>
          <w:szCs w:val="20"/>
          <w:color w:val="auto"/>
        </w:rPr>
      </w:pPr>
    </w:p>
    <w:p>
      <w:pPr>
        <w:ind w:left="360" w:right="80"/>
        <w:spacing w:after="0" w:line="261" w:lineRule="auto"/>
        <w:rPr>
          <w:sz w:val="20"/>
          <w:szCs w:val="20"/>
          <w:color w:val="auto"/>
        </w:rPr>
      </w:pPr>
      <w:r>
        <w:rPr>
          <w:rFonts w:ascii="Arial" w:cs="Arial" w:eastAsia="Arial" w:hAnsi="Arial"/>
          <w:sz w:val="18"/>
          <w:szCs w:val="18"/>
          <w:color w:val="auto"/>
        </w:rPr>
        <w:t>(k) Permit any Award or portion thereof to continue to vest on the date(s) set out in the applicable Program or Award Agreement in the event of a Holder’s Termination of Service due to retirement, subject to whatever terms and conditions it selects; and</w:t>
      </w:r>
    </w:p>
    <w:p>
      <w:pPr>
        <w:spacing w:after="0" w:line="90" w:lineRule="exact"/>
        <w:rPr>
          <w:sz w:val="20"/>
          <w:szCs w:val="20"/>
          <w:color w:val="auto"/>
        </w:rPr>
      </w:pPr>
    </w:p>
    <w:p>
      <w:pPr>
        <w:ind w:left="360" w:right="220"/>
        <w:spacing w:after="0" w:line="261" w:lineRule="auto"/>
        <w:rPr>
          <w:sz w:val="20"/>
          <w:szCs w:val="20"/>
          <w:color w:val="auto"/>
        </w:rPr>
      </w:pPr>
      <w:r>
        <w:rPr>
          <w:rFonts w:ascii="Arial" w:cs="Arial" w:eastAsia="Arial" w:hAnsi="Arial"/>
          <w:sz w:val="18"/>
          <w:szCs w:val="18"/>
          <w:color w:val="auto"/>
        </w:rPr>
        <w:t>(l) Accelerate wholly or partially the vesting or lapse of restrictions of any Award or portion thereof in the event of a Holder’s Termination of Service due to death or disability, subject to whatever terms and conditions it selects and Section 12.2.</w:t>
      </w:r>
    </w:p>
    <w:p>
      <w:pPr>
        <w:spacing w:after="0" w:line="90"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4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Article 11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a member of the Board or an officer of the Company be delegated the authority to grant Awards to, or amend Awards held by: (a) such individual; (b) any other individual to whom authority to grant or amend Awards has been delegated hereunder; or (c) any individual who is subject to Section 16 of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p>
    <w:p>
      <w:pPr>
        <w:spacing w:after="0" w:line="17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ARTICLE 12.</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MISCELLANEOUS PROVISIONS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131" w:lineRule="exact"/>
        <w:rPr>
          <w:sz w:val="20"/>
          <w:szCs w:val="20"/>
          <w:color w:val="auto"/>
        </w:rPr>
      </w:pPr>
    </w:p>
    <w:p>
      <w:pPr>
        <w:ind w:left="360" w:right="80"/>
        <w:spacing w:after="0" w:line="238" w:lineRule="auto"/>
        <w:rPr>
          <w:sz w:val="20"/>
          <w:szCs w:val="20"/>
          <w:color w:val="auto"/>
        </w:rPr>
      </w:pPr>
      <w:r>
        <w:rPr>
          <w:rFonts w:ascii="Arial" w:cs="Arial" w:eastAsia="Arial" w:hAnsi="Arial"/>
          <w:sz w:val="18"/>
          <w:szCs w:val="18"/>
          <w:color w:val="auto"/>
        </w:rPr>
        <w:t xml:space="preserve">(a) Except as otherwise provided in Section 12.1(b), the Plan may be wholly or partially amended or otherwise modified, suspended or terminated at any time or from time to time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Sections 10.5, 10.7 or 12.9,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880"/>
          </w:cols>
          <w:pgMar w:left="680" w:top="1367" w:right="339" w:bottom="1440" w:gutter="0" w:footer="0" w:header="0"/>
        </w:sectPr>
      </w:pPr>
    </w:p>
    <w:bookmarkStart w:id="23" w:name="page24"/>
    <w:bookmarkEnd w:id="23"/>
    <w:p>
      <w:pPr>
        <w:ind w:left="360" w:right="60"/>
        <w:spacing w:after="0" w:line="274" w:lineRule="auto"/>
        <w:rPr>
          <w:sz w:val="20"/>
          <w:szCs w:val="20"/>
          <w:color w:val="auto"/>
        </w:rPr>
      </w:pPr>
      <w:r>
        <w:rPr>
          <w:rFonts w:ascii="Arial" w:cs="Arial" w:eastAsia="Arial" w:hAnsi="Arial"/>
          <w:sz w:val="16"/>
          <w:szCs w:val="16"/>
          <w:color w:val="auto"/>
        </w:rPr>
        <w:t>(b) Notwithstanding Section 12.1(a), the Board may not, except as provided in Section 12.2, take any of the following actions without approval of the Company’s shareholders: (i) increase the limit imposed in Section 3.1 on the maximum number of Shares which may be issued under the Plan or the Award Limit, (ii) reduce the price per share of any outstanding Option or Stock Appreciation Right granted under the Plan or take any action prohibited under Section 10.6, (iii) cancel any Option or Stock Appreciation Right in exchange for cash or another Award in violation of Section 10.6, or (iv) any other action that may require approval of the Company’s shareholders under Applicable Law.</w:t>
      </w:r>
    </w:p>
    <w:p>
      <w:pPr>
        <w:spacing w:after="0" w:line="84" w:lineRule="exact"/>
        <w:rPr>
          <w:sz w:val="20"/>
          <w:szCs w:val="20"/>
          <w:color w:val="auto"/>
        </w:rPr>
      </w:pPr>
    </w:p>
    <w:p>
      <w:pPr>
        <w:ind w:left="360" w:right="300"/>
        <w:spacing w:after="0" w:line="238" w:lineRule="auto"/>
        <w:rPr>
          <w:sz w:val="20"/>
          <w:szCs w:val="20"/>
          <w:color w:val="auto"/>
        </w:rPr>
      </w:pPr>
      <w:r>
        <w:rPr>
          <w:rFonts w:ascii="Arial" w:cs="Arial" w:eastAsia="Arial" w:hAnsi="Arial"/>
          <w:sz w:val="18"/>
          <w:szCs w:val="18"/>
          <w:color w:val="auto"/>
        </w:rPr>
        <w:t>(c) No Awards may be granted or awarded during any period of suspension or after termination of the Plan, and notwithstanding anything herein to the contrary, in no event may any Award be granted under the Plan after April 20, 2032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Any Awards that are outstanding on the Expiration Date shall remain in force according to the terms of the Plan, the applicable Program and the applicable Award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Changes in Shares or Assets of the Company, Acquisition or Liquidation of the Company and Other Corporate Events</w:t>
      </w:r>
      <w:r>
        <w:rPr>
          <w:rFonts w:ascii="Arial" w:cs="Arial" w:eastAsia="Arial" w:hAnsi="Arial"/>
          <w:sz w:val="18"/>
          <w:szCs w:val="18"/>
          <w:color w:val="auto"/>
        </w:rPr>
        <w:t>.</w:t>
      </w:r>
    </w:p>
    <w:p>
      <w:pPr>
        <w:spacing w:after="0" w:line="117" w:lineRule="exact"/>
        <w:rPr>
          <w:sz w:val="20"/>
          <w:szCs w:val="20"/>
          <w:color w:val="auto"/>
        </w:rPr>
      </w:pPr>
    </w:p>
    <w:p>
      <w:pPr>
        <w:ind w:left="360" w:right="180"/>
        <w:spacing w:after="0" w:line="267" w:lineRule="auto"/>
        <w:rPr>
          <w:sz w:val="20"/>
          <w:szCs w:val="20"/>
          <w:color w:val="auto"/>
        </w:rPr>
      </w:pPr>
      <w:r>
        <w:rPr>
          <w:rFonts w:ascii="Arial" w:cs="Arial" w:eastAsia="Arial" w:hAnsi="Arial"/>
          <w:sz w:val="16"/>
          <w:szCs w:val="16"/>
          <w:color w:val="auto"/>
        </w:rPr>
        <w:t>(a) In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other than an Equity Restructuring, the Administrator will make equitable adjustments, if any, as the Administrator, in its sole discretion, may deem appropriate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w:t>
      </w:r>
    </w:p>
    <w:p>
      <w:pPr>
        <w:spacing w:after="0" w:line="77" w:lineRule="exact"/>
        <w:rPr>
          <w:sz w:val="20"/>
          <w:szCs w:val="20"/>
          <w:color w:val="auto"/>
        </w:rPr>
      </w:pPr>
    </w:p>
    <w:p>
      <w:pPr>
        <w:ind w:left="360" w:right="20"/>
        <w:spacing w:after="0" w:line="268" w:lineRule="auto"/>
        <w:rPr>
          <w:sz w:val="20"/>
          <w:szCs w:val="20"/>
          <w:color w:val="auto"/>
        </w:rPr>
      </w:pPr>
      <w:r>
        <w:rPr>
          <w:rFonts w:ascii="Arial" w:cs="Arial" w:eastAsia="Arial" w:hAnsi="Arial"/>
          <w:sz w:val="16"/>
          <w:szCs w:val="16"/>
          <w:color w:val="auto"/>
        </w:rPr>
        <w:t>(b) In the event of any transaction or event described in Section 12.2(a)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74" w:lineRule="exact"/>
        <w:rPr>
          <w:sz w:val="20"/>
          <w:szCs w:val="20"/>
          <w:color w:val="auto"/>
        </w:rPr>
      </w:pPr>
    </w:p>
    <w:p>
      <w:pPr>
        <w:ind w:left="720"/>
        <w:spacing w:after="0" w:line="234" w:lineRule="auto"/>
        <w:rPr>
          <w:sz w:val="20"/>
          <w:szCs w:val="20"/>
          <w:color w:val="auto"/>
        </w:rPr>
      </w:pPr>
      <w:r>
        <w:rPr>
          <w:rFonts w:ascii="Arial" w:cs="Arial" w:eastAsia="Arial" w:hAnsi="Arial"/>
          <w:sz w:val="18"/>
          <w:szCs w:val="18"/>
          <w:color w:val="auto"/>
        </w:rPr>
        <w:t>(i) To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spacing w:after="0" w:line="98" w:lineRule="exact"/>
        <w:rPr>
          <w:sz w:val="20"/>
          <w:szCs w:val="20"/>
          <w:color w:val="auto"/>
        </w:rPr>
      </w:pPr>
    </w:p>
    <w:p>
      <w:pPr>
        <w:ind w:left="720" w:right="420"/>
        <w:spacing w:after="0" w:line="238" w:lineRule="auto"/>
        <w:rPr>
          <w:sz w:val="20"/>
          <w:szCs w:val="20"/>
          <w:color w:val="auto"/>
        </w:rPr>
      </w:pPr>
      <w:r>
        <w:rPr>
          <w:rFonts w:ascii="Arial" w:cs="Arial" w:eastAsia="Arial" w:hAnsi="Arial"/>
          <w:sz w:val="18"/>
          <w:szCs w:val="18"/>
          <w:color w:val="auto"/>
        </w:rPr>
        <w:t>(ii) To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97" w:lineRule="exact"/>
        <w:rPr>
          <w:sz w:val="20"/>
          <w:szCs w:val="20"/>
          <w:color w:val="auto"/>
        </w:rPr>
      </w:pPr>
    </w:p>
    <w:p>
      <w:pPr>
        <w:jc w:val="both"/>
        <w:ind w:left="720" w:right="240"/>
        <w:spacing w:after="0" w:line="248" w:lineRule="auto"/>
        <w:rPr>
          <w:sz w:val="20"/>
          <w:szCs w:val="20"/>
          <w:color w:val="auto"/>
        </w:rPr>
      </w:pPr>
      <w:r>
        <w:rPr>
          <w:rFonts w:ascii="Arial" w:cs="Arial" w:eastAsia="Arial" w:hAnsi="Arial"/>
          <w:sz w:val="18"/>
          <w:szCs w:val="18"/>
          <w:color w:val="auto"/>
        </w:rPr>
        <w:t>(iii) To make adjustments in the number and type of Shares (or other securities or property) subject to outstanding Awards, and/or in the terms and conditions of (including the grant or exercise price), and the criteria included in, outstanding Awards and Awards which may be granted in the future;</w:t>
      </w:r>
    </w:p>
    <w:p>
      <w:pPr>
        <w:spacing w:after="0" w:line="87" w:lineRule="exact"/>
        <w:rPr>
          <w:sz w:val="20"/>
          <w:szCs w:val="20"/>
          <w:color w:val="auto"/>
        </w:rPr>
      </w:pPr>
    </w:p>
    <w:p>
      <w:pPr>
        <w:ind w:left="720" w:right="100"/>
        <w:spacing w:after="0" w:line="246" w:lineRule="auto"/>
        <w:rPr>
          <w:sz w:val="20"/>
          <w:szCs w:val="20"/>
          <w:color w:val="auto"/>
        </w:rPr>
      </w:pPr>
      <w:r>
        <w:rPr>
          <w:rFonts w:ascii="Arial" w:cs="Arial" w:eastAsia="Arial" w:hAnsi="Arial"/>
          <w:sz w:val="18"/>
          <w:szCs w:val="18"/>
          <w:color w:val="auto"/>
        </w:rPr>
        <w:t>(iv) To provide that such Award shall be exercisable or payable or fully vested with respect to all Shares covered thereby, notwithstanding anything to the contrary in the Plan or the applicable Program or Award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0880"/>
          </w:cols>
          <w:pgMar w:left="680" w:top="1381" w:right="339" w:bottom="1440" w:gutter="0" w:footer="0" w:header="0"/>
        </w:sectPr>
      </w:pPr>
    </w:p>
    <w:bookmarkStart w:id="24" w:name="page25"/>
    <w:bookmarkEnd w:id="24"/>
    <w:p>
      <w:pPr>
        <w:ind w:left="360"/>
        <w:spacing w:after="0"/>
        <w:rPr>
          <w:sz w:val="20"/>
          <w:szCs w:val="20"/>
          <w:color w:val="auto"/>
        </w:rPr>
      </w:pPr>
      <w:r>
        <w:rPr>
          <w:rFonts w:ascii="Arial" w:cs="Arial" w:eastAsia="Arial" w:hAnsi="Arial"/>
          <w:sz w:val="18"/>
          <w:szCs w:val="18"/>
          <w:color w:val="auto"/>
        </w:rPr>
        <w:t>(v) To replace such Award with other rights or property selected by the Administrator; and/or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(vi) To provide that the Award cannot vest, be exercised or become payable after such event.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(c) In connection with the occurrence of any Equity Restructuring, and notwithstanding anything to the contrary in Sections 12.2(a) and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12.2(b):</w:t>
      </w:r>
    </w:p>
    <w:p>
      <w:pPr>
        <w:spacing w:after="0" w:line="101" w:lineRule="exact"/>
        <w:rPr>
          <w:sz w:val="20"/>
          <w:szCs w:val="20"/>
          <w:color w:val="auto"/>
        </w:rPr>
      </w:pPr>
    </w:p>
    <w:p>
      <w:pPr>
        <w:jc w:val="both"/>
        <w:ind w:left="360" w:right="20"/>
        <w:spacing w:after="0" w:line="248" w:lineRule="auto"/>
        <w:rPr>
          <w:sz w:val="20"/>
          <w:szCs w:val="20"/>
          <w:color w:val="auto"/>
        </w:rPr>
      </w:pPr>
      <w:r>
        <w:rPr>
          <w:rFonts w:ascii="Arial" w:cs="Arial" w:eastAsia="Arial" w:hAnsi="Arial"/>
          <w:sz w:val="18"/>
          <w:szCs w:val="18"/>
          <w:color w:val="auto"/>
        </w:rPr>
        <w:t>(i) The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spacing w:after="0" w:line="141" w:lineRule="exact"/>
        <w:rPr>
          <w:sz w:val="20"/>
          <w:szCs w:val="20"/>
          <w:color w:val="auto"/>
        </w:rPr>
      </w:pPr>
    </w:p>
    <w:p>
      <w:pPr>
        <w:jc w:val="both"/>
        <w:ind w:left="360" w:right="100"/>
        <w:spacing w:after="0" w:line="238" w:lineRule="auto"/>
        <w:rPr>
          <w:sz w:val="20"/>
          <w:szCs w:val="20"/>
          <w:color w:val="auto"/>
        </w:rPr>
      </w:pPr>
      <w:r>
        <w:rPr>
          <w:rFonts w:ascii="Arial" w:cs="Arial" w:eastAsia="Arial" w:hAnsi="Arial"/>
          <w:sz w:val="18"/>
          <w:szCs w:val="18"/>
          <w:color w:val="auto"/>
        </w:rPr>
        <w:t>(ii) The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p>
    <w:p>
      <w:pPr>
        <w:spacing w:after="0" w:line="110"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(d) Notwithstanding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this Section 12.2,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86"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(e) In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11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 xml:space="preserve">(f) For the purposes of this Section 12.2, an Award shall be considered assumed if, following the Change in Control, the Award confers the right to purchase or receive, for each Share subject to the Award immediately prior to the Change in Control, the consideration (whether in shares, cash, or other securities or property) received in the Change in Control by holders of the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such consideration received in the Change in Control was not solely shares of the successor (or acquiring) corporation or its parent, the Administrator may, with the consent of the successor corporation, provide for the consideration to be received upon the exercise of the Award, for each Share subject to an Award, to be solely shares of the successor (or acquiring) corporation or its parent equal in fair market value to the per-share consideration received by holders of the Shares in the Change in Control;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an Award that vests, is earned or paid-out based upon achievement of Performance Goals will not be considered assumed if such Performance Goals are modified without the Holder’s consent in a manner that could reasonably be expected to have a material adverse impact on the Holder, although a modification to such Performance Goals only to reflect the successor corporation’s post-Change in Control corporate structure will not be deemed to invalidate an otherwise valid Award assumption.</w:t>
      </w:r>
    </w:p>
    <w:p>
      <w:pPr>
        <w:spacing w:after="0" w:line="107"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(g) The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6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(h) Unless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0520"/>
          </w:cols>
          <w:pgMar w:left="1040" w:top="1367" w:right="339" w:bottom="1440" w:gutter="0" w:footer="0" w:header="0"/>
        </w:sectPr>
      </w:pPr>
    </w:p>
    <w:bookmarkStart w:id="25" w:name="page26"/>
    <w:bookmarkEnd w:id="25"/>
    <w:p>
      <w:pPr>
        <w:ind w:left="360" w:right="160"/>
        <w:spacing w:after="0" w:line="261" w:lineRule="auto"/>
        <w:rPr>
          <w:sz w:val="20"/>
          <w:szCs w:val="20"/>
          <w:color w:val="auto"/>
        </w:rPr>
      </w:pPr>
      <w:r>
        <w:rPr>
          <w:rFonts w:ascii="Arial" w:cs="Arial" w:eastAsia="Arial" w:hAnsi="Arial"/>
          <w:sz w:val="18"/>
          <w:szCs w:val="18"/>
          <w:color w:val="auto"/>
        </w:rPr>
        <w:t>of the Exchange Act or violate the exemptive conditions of Rule 16b-3 of the Exchange Act, or (iii) cause an Award to fail to be exempt from or comply with Section 409A.</w:t>
      </w:r>
    </w:p>
    <w:p>
      <w:pPr>
        <w:spacing w:after="0" w:line="90" w:lineRule="exact"/>
        <w:rPr>
          <w:sz w:val="20"/>
          <w:szCs w:val="20"/>
          <w:color w:val="auto"/>
        </w:rPr>
      </w:pPr>
    </w:p>
    <w:p>
      <w:pPr>
        <w:ind w:left="360" w:right="60"/>
        <w:spacing w:after="0" w:line="269" w:lineRule="auto"/>
        <w:rPr>
          <w:sz w:val="20"/>
          <w:szCs w:val="20"/>
          <w:color w:val="auto"/>
        </w:rPr>
      </w:pPr>
      <w:r>
        <w:rPr>
          <w:rFonts w:ascii="Arial" w:cs="Arial" w:eastAsia="Arial" w:hAnsi="Arial"/>
          <w:sz w:val="16"/>
          <w:szCs w:val="16"/>
          <w:color w:val="auto"/>
        </w:rPr>
        <w:t>(i) The existence of the Plan, any Program, any Award Agreement and/or the Awards granted hereunder shall not affect or restrict in any way the right or power of the Company or the shareholders of the Company to make or authorize any adjustment, recapitalization, reorganization or other change in the Company’s capital structure or its business, any merger or consolidation of the Company, any issue of shares or of options, warrants or rights to purchase shares or of bonds, debentures, or preference shares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99" w:lineRule="exact"/>
        <w:rPr>
          <w:sz w:val="20"/>
          <w:szCs w:val="20"/>
          <w:color w:val="auto"/>
        </w:rPr>
      </w:pPr>
    </w:p>
    <w:p>
      <w:pPr>
        <w:jc w:val="both"/>
        <w:ind w:left="360" w:right="100"/>
        <w:spacing w:after="0" w:line="278" w:lineRule="auto"/>
        <w:rPr>
          <w:sz w:val="20"/>
          <w:szCs w:val="20"/>
          <w:color w:val="auto"/>
        </w:rPr>
      </w:pPr>
      <w:r>
        <w:rPr>
          <w:rFonts w:ascii="Arial" w:cs="Arial" w:eastAsia="Arial" w:hAnsi="Arial"/>
          <w:sz w:val="16"/>
          <w:szCs w:val="16"/>
          <w:color w:val="auto"/>
        </w:rPr>
        <w:t>(j) In the event of any pending dividend in specie, sub-division of shares, combination or exchange of shares, merger, consolidation of shares, or other distribution (other than normal cash dividends) of Company assets to shareholders, or any other change affecting the Shares or the share price of the Shares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79"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No Shareholders Rights</w:t>
      </w:r>
      <w:r>
        <w:rPr>
          <w:rFonts w:ascii="Arial" w:cs="Arial" w:eastAsia="Arial" w:hAnsi="Arial"/>
          <w:sz w:val="17"/>
          <w:szCs w:val="17"/>
          <w:color w:val="auto"/>
        </w:rPr>
        <w:t>. Except as otherwise provided herein or in an applicable Program or Award Agreement, a Holder shall have none of the rights of a shareholder with respect to Shares covered by any Award until the Holder becomes the record owner of such Shares.</w:t>
      </w:r>
    </w:p>
    <w:p>
      <w:pPr>
        <w:spacing w:after="0" w:line="66"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12.4 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9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Effect of Plan upon Other Compensation Plans</w:t>
      </w:r>
      <w:r>
        <w:rPr>
          <w:rFonts w:ascii="Arial" w:cs="Arial" w:eastAsia="Arial" w:hAnsi="Arial"/>
          <w:sz w:val="16"/>
          <w:szCs w:val="16"/>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Non-Employee Directors or Consultants of the Company or any Subsidiary, or</w:t>
      </w:r>
    </w:p>
    <w:p>
      <w:pPr>
        <w:spacing w:after="0" w:line="1" w:lineRule="exact"/>
        <w:rPr>
          <w:sz w:val="20"/>
          <w:szCs w:val="20"/>
          <w:color w:val="auto"/>
        </w:rPr>
      </w:pPr>
    </w:p>
    <w:p>
      <w:pPr>
        <w:ind w:right="80" w:firstLine="8"/>
        <w:spacing w:after="0" w:line="260"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shares or assets of any corporation, partnership, limited liability company, firm or association.</w:t>
      </w:r>
    </w:p>
    <w:p>
      <w:pPr>
        <w:spacing w:after="0" w:line="9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12.6 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96" w:lineRule="exact"/>
        <w:rPr>
          <w:sz w:val="20"/>
          <w:szCs w:val="20"/>
          <w:color w:val="auto"/>
        </w:rPr>
      </w:pPr>
    </w:p>
    <w:p>
      <w:pPr>
        <w:jc w:val="both"/>
        <w:ind w:right="360"/>
        <w:spacing w:after="0" w:line="270" w:lineRule="auto"/>
        <w:rPr>
          <w:sz w:val="20"/>
          <w:szCs w:val="20"/>
          <w:color w:val="auto"/>
        </w:rPr>
      </w:pPr>
      <w:r>
        <w:rPr>
          <w:rFonts w:ascii="Arial" w:cs="Arial" w:eastAsia="Arial" w:hAnsi="Arial"/>
          <w:sz w:val="17"/>
          <w:szCs w:val="17"/>
          <w:color w:val="auto"/>
        </w:rPr>
        <w:t>12.7 </w:t>
      </w:r>
      <w:r>
        <w:rPr>
          <w:rFonts w:ascii="Arial" w:cs="Arial" w:eastAsia="Arial" w:hAnsi="Arial"/>
          <w:sz w:val="17"/>
          <w:szCs w:val="17"/>
          <w:u w:val="single" w:color="auto"/>
          <w:color w:val="auto"/>
        </w:rPr>
        <w:t>Titles and Headings, References to Sections of Applicable Law</w:t>
      </w:r>
      <w:r>
        <w:rPr>
          <w:rFonts w:ascii="Arial" w:cs="Arial" w:eastAsia="Arial" w:hAnsi="Arial"/>
          <w:sz w:val="17"/>
          <w:szCs w:val="17"/>
          <w:color w:val="auto"/>
        </w:rPr>
        <w:t>. The titles and headings of the Sections in the Plan are for convenience of reference only and, in the event of any conflict, the text of the Plan, rather than such titles or headings, shall control. References to sections of the Code or the Exchange Act or any other Applicable Law shall include any amendment or successor thereto.</w:t>
      </w:r>
    </w:p>
    <w:p>
      <w:pPr>
        <w:spacing w:after="0" w:line="8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9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. To the extent that the Administrator determines that any Award granted under the Plan is subject to Section 409A, the Plan, the Program pursuant to which such Award is granted and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0880"/>
          </w:cols>
          <w:pgMar w:left="680" w:top="1381" w:right="339" w:bottom="1440" w:gutter="0" w:footer="0" w:header="0"/>
        </w:sectPr>
      </w:pPr>
    </w:p>
    <w:bookmarkStart w:id="26" w:name="page27"/>
    <w:bookmarkEnd w:id="26"/>
    <w:p>
      <w:pPr>
        <w:ind w:right="20"/>
        <w:spacing w:after="0" w:line="246" w:lineRule="auto"/>
        <w:rPr>
          <w:sz w:val="20"/>
          <w:szCs w:val="20"/>
          <w:color w:val="auto"/>
        </w:rPr>
      </w:pPr>
      <w:r>
        <w:rPr>
          <w:rFonts w:ascii="Arial" w:cs="Arial" w:eastAsia="Arial" w:hAnsi="Arial"/>
          <w:sz w:val="17"/>
          <w:szCs w:val="17"/>
          <w:color w:val="auto"/>
        </w:rPr>
        <w:t>Award Agreement evidencing such Award shall incorporate the terms and conditions required by Section 409A.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12.9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12.10 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08"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12.11 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9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12.12 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12.13 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880"/>
          </w:cols>
          <w:pgMar w:left="680" w:top="1381" w:right="339" w:bottom="1440" w:gutter="0" w:footer="0" w:header="0"/>
        </w:sectPr>
      </w:pPr>
    </w:p>
    <w:bookmarkStart w:id="27" w:name="page28"/>
    <w:bookmarkEnd w:id="27"/>
    <w:p>
      <w:pPr>
        <w:spacing w:after="0" w:line="3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APPENDIX A</w:t>
      </w:r>
    </w:p>
    <w:p>
      <w:pPr>
        <w:spacing w:after="0" w:line="1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Appendix of Additional Terms and Conditions for Holders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 are Canadian Holders (as defined below)</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AND APPLICATION</w:t>
      </w:r>
    </w:p>
    <w:p>
      <w:pPr>
        <w:spacing w:after="0" w:line="8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9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This Appendix (“</w:t>
      </w:r>
      <w:r>
        <w:rPr>
          <w:rFonts w:ascii="Arial" w:cs="Arial" w:eastAsia="Arial" w:hAnsi="Arial"/>
          <w:sz w:val="18"/>
          <w:szCs w:val="18"/>
          <w:u w:val="single" w:color="auto"/>
          <w:color w:val="auto"/>
        </w:rPr>
        <w:t>Appendix A</w:t>
      </w:r>
      <w:r>
        <w:rPr>
          <w:rFonts w:ascii="Arial" w:cs="Arial" w:eastAsia="Arial" w:hAnsi="Arial"/>
          <w:sz w:val="18"/>
          <w:szCs w:val="18"/>
          <w:color w:val="auto"/>
        </w:rPr>
        <w:t>”), which is part of the Plan, contains the additional “terms and conditions” of the Plan, any Program, and the Award Agreements that will apply to a Holder if:</w:t>
      </w:r>
    </w:p>
    <w:p>
      <w:pPr>
        <w:spacing w:after="0" w:line="76" w:lineRule="exact"/>
        <w:rPr>
          <w:sz w:val="20"/>
          <w:szCs w:val="20"/>
          <w:color w:val="auto"/>
        </w:rPr>
      </w:pPr>
    </w:p>
    <w:p>
      <w:pPr>
        <w:jc w:val="both"/>
        <w:ind w:left="360" w:right="160"/>
        <w:spacing w:after="0"/>
        <w:rPr>
          <w:sz w:val="20"/>
          <w:szCs w:val="20"/>
          <w:color w:val="auto"/>
        </w:rPr>
      </w:pPr>
      <w:r>
        <w:rPr>
          <w:rFonts w:ascii="Arial" w:cs="Arial" w:eastAsia="Arial" w:hAnsi="Arial"/>
          <w:sz w:val="18"/>
          <w:szCs w:val="18"/>
          <w:color w:val="auto"/>
        </w:rPr>
        <w:t>(a) at the time the Holder receives a grant of an Award under the Plan, such Holder performs some or all of the duties of the Holder’s engagement with the Company (or any Subsidiary) in Canada (other than where such performance in Canada is not significant in scope and is incidental to duties performed by the relevant Holder outside Canada); or</w:t>
      </w:r>
    </w:p>
    <w:p>
      <w:pPr>
        <w:spacing w:after="0" w:line="95" w:lineRule="exact"/>
        <w:rPr>
          <w:sz w:val="20"/>
          <w:szCs w:val="20"/>
          <w:color w:val="auto"/>
        </w:rPr>
      </w:pPr>
    </w:p>
    <w:p>
      <w:pPr>
        <w:ind w:left="360" w:right="80"/>
        <w:spacing w:after="0" w:line="278" w:lineRule="auto"/>
        <w:rPr>
          <w:sz w:val="20"/>
          <w:szCs w:val="20"/>
          <w:color w:val="auto"/>
        </w:rPr>
      </w:pPr>
      <w:r>
        <w:rPr>
          <w:rFonts w:ascii="Arial" w:cs="Arial" w:eastAsia="Arial" w:hAnsi="Arial"/>
          <w:sz w:val="16"/>
          <w:szCs w:val="16"/>
          <w:color w:val="auto"/>
        </w:rPr>
        <w:t>(b) after the receipt by the Holder of a grant of an Award under the Plan, such Holder commences performing some or all of the duties of the Holder’s engagement with the Company (or any Subsidiary) in Canada (other than where such performance in Canada is not significant in scope and is incidental to duties performed by the relevant Holder outside Canada, in which case the additional terms and conditions of this Appendix A shall be deemed to apply from the date on which the relevant Award was granted), in each case such a Holder being a “</w:t>
      </w:r>
      <w:r>
        <w:rPr>
          <w:rFonts w:ascii="Arial" w:cs="Arial" w:eastAsia="Arial" w:hAnsi="Arial"/>
          <w:sz w:val="16"/>
          <w:szCs w:val="16"/>
          <w:u w:val="single" w:color="auto"/>
          <w:color w:val="auto"/>
        </w:rPr>
        <w:t>Canadian Holder</w:t>
      </w:r>
      <w:r>
        <w:rPr>
          <w:rFonts w:ascii="Arial" w:cs="Arial" w:eastAsia="Arial" w:hAnsi="Arial"/>
          <w:sz w:val="16"/>
          <w:szCs w:val="16"/>
          <w:color w:val="auto"/>
        </w:rPr>
        <w:t>”.</w:t>
      </w:r>
    </w:p>
    <w:p>
      <w:pPr>
        <w:spacing w:after="0" w:line="66"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In the event of a conflict between the terms of the Plan, any applicable Program or an Award Agreement and the terms of this Appendix A with respect to a Canadian Holder, the terms of this Appendix A shall govern. Capitalized terms used but not defined herein shall have the same meanings assigned to them in the Plan, any applicable Program or the Award Agreements.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1. </w:t>
      </w:r>
      <w:r>
        <w:rPr>
          <w:rFonts w:ascii="Arial" w:cs="Arial" w:eastAsia="Arial" w:hAnsi="Arial"/>
          <w:sz w:val="18"/>
          <w:szCs w:val="18"/>
          <w:u w:val="single" w:color="auto"/>
          <w:color w:val="auto"/>
        </w:rPr>
        <w:t>Transferability of Awards</w:t>
      </w:r>
    </w:p>
    <w:p>
      <w:pPr>
        <w:spacing w:after="0" w:line="117"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In Section 10.3(c) of the Plan, all references to a Holder being “married” and/or the Holder’s “spouse” shall be read as including references to a Holder being in a common law or civil partnership and/or being a spouse, and all references to a Holder’s “spouse” shall be read as including references to a Holder’s civil or common law partner as well as being married.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2. </w:t>
      </w:r>
      <w:r>
        <w:rPr>
          <w:rFonts w:ascii="Arial" w:cs="Arial" w:eastAsia="Arial" w:hAnsi="Arial"/>
          <w:sz w:val="18"/>
          <w:szCs w:val="18"/>
          <w:u w:val="single" w:color="auto"/>
          <w:color w:val="auto"/>
        </w:rPr>
        <w:t>Relationship to other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supplements Section 12.12 of the Plan: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(a) The Plan shall not form part of any contract of employment between any Canadian Holder and his or her Employer.</w:t>
      </w:r>
    </w:p>
    <w:p>
      <w:pPr>
        <w:spacing w:after="0" w:line="117" w:lineRule="exact"/>
        <w:rPr>
          <w:sz w:val="20"/>
          <w:szCs w:val="20"/>
          <w:color w:val="auto"/>
        </w:rPr>
      </w:pPr>
    </w:p>
    <w:p>
      <w:pPr>
        <w:ind w:left="360" w:right="60"/>
        <w:spacing w:after="0" w:line="238" w:lineRule="auto"/>
        <w:rPr>
          <w:sz w:val="20"/>
          <w:szCs w:val="20"/>
          <w:color w:val="auto"/>
        </w:rPr>
      </w:pPr>
      <w:r>
        <w:rPr>
          <w:rFonts w:ascii="Arial" w:cs="Arial" w:eastAsia="Arial" w:hAnsi="Arial"/>
          <w:sz w:val="18"/>
          <w:szCs w:val="18"/>
          <w:color w:val="auto"/>
        </w:rPr>
        <w:t>(b) No Canadian Holder shall have any right to compensation or damages from the Company, any Subsidiary or the Administrator or any of their respective affiliates on account of any loss of any right to vest or the lapsing, cancellation or forfeiture of any Award under the Plan, where such loss arises (or is claimed to arise) in whole or in part from (i) the termination of such Canadian Holder’s employment by, or (ii) notice to terminate such Canadian Holder’s employment given by or to, the Company or any Subsidiary, subject only to the minimum entitlements under the Applicable Laws, including the applicable employment standards legislation.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3. </w:t>
      </w:r>
      <w:r>
        <w:rPr>
          <w:rFonts w:ascii="Arial" w:cs="Arial" w:eastAsia="Arial" w:hAnsi="Arial"/>
          <w:sz w:val="18"/>
          <w:szCs w:val="18"/>
          <w:u w:val="single" w:color="auto"/>
          <w:color w:val="auto"/>
        </w:rPr>
        <w:t>Miscellaneous</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The parties acknowledge having requested that the present Agreement and all related documents be drafted in English only. </w:t>
      </w:r>
      <w:r>
        <w:rPr>
          <w:rFonts w:ascii="Arial" w:cs="Arial" w:eastAsia="Arial" w:hAnsi="Arial"/>
          <w:sz w:val="18"/>
          <w:szCs w:val="18"/>
          <w:b w:val="1"/>
          <w:bCs w:val="1"/>
          <w:i w:val="1"/>
          <w:iCs w:val="1"/>
          <w:color w:val="auto"/>
        </w:rPr>
        <w:t>Les parties reconnaissent avoir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demandé que le présent contrat et les documents joints soient rédigés en anglais seulement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of Additional Terms and Conditions for Holders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are French Holders (as defined below)</w:t>
      </w:r>
    </w:p>
    <w:p>
      <w:pPr>
        <w:spacing w:after="0" w:line="11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Administrator has adopted this French sub-plan (the “</w:t>
      </w:r>
      <w:r>
        <w:rPr>
          <w:rFonts w:ascii="Arial" w:cs="Arial" w:eastAsia="Arial" w:hAnsi="Arial"/>
          <w:sz w:val="18"/>
          <w:szCs w:val="18"/>
          <w:u w:val="single" w:color="auto"/>
          <w:color w:val="auto"/>
        </w:rPr>
        <w:t>French Sub-Plan</w:t>
      </w:r>
      <w:r>
        <w:rPr>
          <w:rFonts w:ascii="Arial" w:cs="Arial" w:eastAsia="Arial" w:hAnsi="Arial"/>
          <w:sz w:val="18"/>
          <w:szCs w:val="18"/>
          <w:color w:val="auto"/>
        </w:rPr>
        <w:t>”) pursuant to the powers granted to the Administrator in Section 4.5 of the Plan (as it may be amended or restated from time to time), subject to the approval of the shareholders of the Company which was received on June 13, 2022. This French Sub-Plan provides additional definitions and conditions that will apply to the operation of the Plan with respect to Restricted Stock Units granted to a French Holder in the employ of a French Subsidiary (as defined below).</w:t>
      </w:r>
    </w:p>
    <w:p>
      <w:pPr>
        <w:spacing w:after="0" w:line="11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 xml:space="preserve">The primary purpose of the French Sub-Plan is to amend those provisions of the Plan which are required to be amended in order for Awards of Restricted Stock Units made under the Plan, to comply with French tax, social and corporate rules, applicable to shares granted for no consideration under Sections L. 225- 197-1 to L. 225-197-6 of the French Commercial Code, as amended, in order to allow the French Holder to benefit from the related favorable tax and social regime as set out in particular in 80 </w:t>
      </w:r>
      <w:r>
        <w:rPr>
          <w:rFonts w:ascii="Arial" w:cs="Arial" w:eastAsia="Arial" w:hAnsi="Arial"/>
          <w:sz w:val="17"/>
          <w:szCs w:val="17"/>
          <w:i w:val="1"/>
          <w:iCs w:val="1"/>
          <w:color w:val="auto"/>
        </w:rPr>
        <w:t>quaterdecies</w:t>
      </w:r>
      <w:r>
        <w:rPr>
          <w:rFonts w:ascii="Arial" w:cs="Arial" w:eastAsia="Arial" w:hAnsi="Arial"/>
          <w:sz w:val="17"/>
          <w:szCs w:val="17"/>
          <w:color w:val="auto"/>
        </w:rPr>
        <w:t xml:space="preserve"> of the French Tax Code and L. 242 1 of the French Social Security Code; provided, however, that, nothing in the French Sub-Plan shall be construed as a guarantee or an undertaking by the Company, or any of its French Subsidiaries that such regime will effectively apply. In particular, the Company reserves the right to take actions that may subsequently result in the disqualification of the Restricted Stock Units granted under the French Sub-Plan for French tax and/or social security purposes.</w:t>
      </w:r>
    </w:p>
    <w:p>
      <w:pPr>
        <w:spacing w:after="0" w:line="11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additional terms and conditions provided for by the French Sub-Plan are specific to the French Holders in the employ of a French Subsidiary only and do not affect the rights afforded to any other individual granted Restricted Stock Units or any other award under the Plan. The additional terms and conditions provided for by the French Sub-Plan also do not affect the terms of the Plan for purposes of compliance with US laws (including, without limitation, tax and securities laws).</w:t>
      </w:r>
    </w:p>
    <w:p>
      <w:pPr>
        <w:spacing w:after="0" w:line="12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Capitalized terms not specifically defined herein shall have the meanings specified in the Plan. In addition, the following terms shall have the meanings set forth below:</w:t>
      </w:r>
    </w:p>
    <w:p>
      <w:pPr>
        <w:spacing w:after="0" w:line="11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 shall mean, as of any given date, the opening sales price for a Share as quoted on the Nasdaq Global Select Market for such date or, if there is no opening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French Holder</w:t>
      </w:r>
      <w:r>
        <w:rPr>
          <w:rFonts w:ascii="Arial" w:cs="Arial" w:eastAsia="Arial" w:hAnsi="Arial"/>
          <w:sz w:val="16"/>
          <w:szCs w:val="16"/>
          <w:color w:val="auto"/>
        </w:rPr>
        <w:t>” shall mean an Eligible Individual who has been granted Restricted Stock Units pursuant to the Plan as amended by the French Sub-Plan.</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French Subsidiary</w:t>
      </w:r>
      <w:r>
        <w:rPr>
          <w:rFonts w:ascii="Arial" w:cs="Arial" w:eastAsia="Arial" w:hAnsi="Arial"/>
          <w:sz w:val="18"/>
          <w:szCs w:val="18"/>
          <w:color w:val="auto"/>
        </w:rPr>
        <w:t xml:space="preserve"> ” shall mean a company incorporated according to the laws of France in which the Company holds, directly or indirectly, at least 10% of the share capital or the voting rights.</w:t>
      </w:r>
    </w:p>
    <w:p>
      <w:pPr>
        <w:spacing w:after="0" w:line="11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 Date</w:t>
      </w:r>
      <w:r>
        <w:rPr>
          <w:rFonts w:ascii="Arial" w:cs="Arial" w:eastAsia="Arial" w:hAnsi="Arial"/>
          <w:sz w:val="17"/>
          <w:szCs w:val="17"/>
          <w:color w:val="auto"/>
        </w:rPr>
        <w:t>” shall mean the date on which the Administrator (i) makes the determination granting the Restricted Stock Units to an Eligible Individual, and (ii) determines the number of Restricted Stock Units granted to such Eligible Individual and (iii) determines the consideration to be paid, if any.</w:t>
      </w:r>
    </w:p>
    <w:p>
      <w:pPr>
        <w:spacing w:after="0" w:line="9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The provisions of this French Sub-Plan form an integral part of the Plan and each Restricted Stock Unit granted to an Eligible Individual in the employ of a French Subsidiary shall be governed by the provisions of this French Sub-Plan (unless provided otherwise in the Award Agreement). In the event of any inconsistency between the Plan and the French Sub-Plan, the terms of the French Sub-Plan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French Holders may not obtain rights or benefits under the French Sub-Plan if not entitled to such rights or benefits pursuant to the provisions of the Plan.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any other provisions of the Plan, only Restricted Stock Units as provided under article 8 of the Plan may be granted under the French Sub-</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Plan to Eligible Individuals resident in France as follows:</w:t>
      </w:r>
    </w:p>
    <w:p>
      <w:pPr>
        <w:spacing w:after="0" w:line="11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Eligible Individual</w:t>
      </w:r>
    </w:p>
    <w:p>
      <w:pPr>
        <w:spacing w:after="0" w:line="1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Any person employed by a French Subsidiary under the terms of a written or oral employment agreement, resident and providing services in France who might be granted Restricted Stock Units under French law and who would be subject to taxation in France with respect to income derived from such grants is an Eligible Individual for the purpose of this French Sub-Plan, provided that this person does not own, on the Grant Date and/or will not own as a result of the delivery of the Shares derived from the Restricted Stock Units, shares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20"/>
          </w:cols>
          <w:pgMar w:left="320" w:top="1440"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representing more than 10% of the issued share capital of the Company. Compliance with this 10% threshold will be analyzed on the Grant Date.</w:t>
      </w:r>
    </w:p>
    <w:p>
      <w:pPr>
        <w:spacing w:after="0" w:line="169"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Number of Restricted Stock Units</w:t>
      </w:r>
    </w:p>
    <w:p>
      <w:pPr>
        <w:spacing w:after="0" w:line="15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total number of Restricted Stock Units granted under the French Sub-Plan is subject to the Plan limits and, in no event, may exceed 10% of the Company’s stock upon the Grant Date (when added together with other Restricted Stock Units granted by the Company under the Plan, but excluding Restricted Stock Units which have not vested at the end of the Acquisition Period and Shares underlying the Restricted Stock Units which are no longer subject to a Holding Period).</w:t>
      </w:r>
    </w:p>
    <w:p>
      <w:pPr>
        <w:spacing w:after="0" w:line="12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Nature of grant</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A grant of Restricted Stock Units under this French Sub-Plan is an irrevocable commitment of the Company for the benefit of the French Holder, subject to such French Holder’s compliance with the provisions of the Plan, the French Sub-Plan and any applicable vesting conditions.</w:t>
      </w:r>
    </w:p>
    <w:p>
      <w:pPr>
        <w:spacing w:after="0" w:line="79"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Consideration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grant of Restricted Stock Units and the related delivery of Shares to a French Holder will be made for no consideration or, if consideration is required by the law governing the Plan or the company law to which the Company is subject, for a consideration that will not exceed 5% of the Fair Market Value of the Shares on the Grant Date.</w:t>
      </w:r>
    </w:p>
    <w:p>
      <w:pPr>
        <w:spacing w:after="0" w:line="135"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Vesting / Delivery of Shares</w:t>
      </w:r>
    </w:p>
    <w:p>
      <w:pPr>
        <w:spacing w:after="0" w:line="15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Restricted Stock Units may only be settled in Shares. Without prejudice to any additional vesting and/or delivery conditions that may be set by the Administrator and included in the Award Agreement, Shares delivered in settlement of the Restricted Stock Units cannot be delivered (the “</w:t>
      </w:r>
      <w:r>
        <w:rPr>
          <w:rFonts w:ascii="Arial" w:cs="Arial" w:eastAsia="Arial" w:hAnsi="Arial"/>
          <w:sz w:val="18"/>
          <w:szCs w:val="18"/>
          <w:u w:val="single" w:color="auto"/>
          <w:color w:val="auto"/>
        </w:rPr>
        <w:t>Delivery Date</w:t>
      </w:r>
      <w:r>
        <w:rPr>
          <w:rFonts w:ascii="Arial" w:cs="Arial" w:eastAsia="Arial" w:hAnsi="Arial"/>
          <w:sz w:val="18"/>
          <w:szCs w:val="18"/>
          <w:color w:val="auto"/>
        </w:rPr>
        <w:t xml:space="preserve">”) to a French Holder prior to the expiration of a one year period (the “ </w:t>
      </w:r>
      <w:r>
        <w:rPr>
          <w:rFonts w:ascii="Arial" w:cs="Arial" w:eastAsia="Arial" w:hAnsi="Arial"/>
          <w:sz w:val="18"/>
          <w:szCs w:val="18"/>
          <w:u w:val="single" w:color="auto"/>
          <w:color w:val="auto"/>
        </w:rPr>
        <w:t>Acquisition Period</w:t>
      </w:r>
      <w:r>
        <w:rPr>
          <w:rFonts w:ascii="Arial" w:cs="Arial" w:eastAsia="Arial" w:hAnsi="Arial"/>
          <w:sz w:val="18"/>
          <w:szCs w:val="18"/>
          <w:color w:val="auto"/>
        </w:rPr>
        <w:t>”) from the Grant Date. The Shares shall be definitely vested at the end of the Acquisition Period or any longer vesting period provided in the Award Agreement and shall be delivered shortly thereafter. No forfeiture of the Shares can happen between the term of the Acquisition Period, or such longer vesting period provided in the Award Agreement, and the delivery (or the maturity or payment date) of the Shares.</w:t>
      </w:r>
    </w:p>
    <w:p>
      <w:pPr>
        <w:spacing w:after="0" w:line="126"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In the event of the French Holder’s disability of the second or third category (as determined in accordance with Article L 341-4 of the French Social Security Code), the Restricted Stock Units shall immediately vest and the Administrator shall cause the accelerated delivery of the Shares promptly after such event. In addition, in the event of the French Holder’s death, the heirs may request in writing the delivery of the Shares within a six-month period following the French Holder’s death, and the Administrator shall cause such accelerated vesting and delivery promptly after the receipt of such request. Finally, the Administrator may substitute for any outstanding Restricted Stock Units an alternative award, upon the occurrence of the corporate transactions and under the conditions referred to under Article L 225-197-1, III of the French Commercial Code. Otherwise, the Restricted Stock Units may neither be assigned nor transferred in any way during the Acquisition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Shares delivered in settlement of the Restricted Stock Units will be kept in book-entry registration.</w:t>
      </w:r>
    </w:p>
    <w:p>
      <w:pPr>
        <w:spacing w:after="0" w:line="13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Transferability of Shares.</w:t>
      </w:r>
    </w:p>
    <w:p>
      <w:pPr>
        <w:spacing w:after="0" w:line="14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Shares delivered to the French Holder prior to the end of the second anniversary of the Grant Date cannot be transferred in any manner whatsoever by the French Holder for the period of time from the Delivery Date until after the expiry of the second anniversary of the Grant Date (the “</w:t>
      </w:r>
      <w:r>
        <w:rPr>
          <w:rFonts w:ascii="Arial" w:cs="Arial" w:eastAsia="Arial" w:hAnsi="Arial"/>
          <w:sz w:val="18"/>
          <w:szCs w:val="18"/>
          <w:u w:val="single" w:color="auto"/>
          <w:color w:val="auto"/>
        </w:rPr>
        <w:t>Holding Period</w:t>
      </w:r>
      <w:r>
        <w:rPr>
          <w:rFonts w:ascii="Arial" w:cs="Arial" w:eastAsia="Arial" w:hAnsi="Arial"/>
          <w:sz w:val="18"/>
          <w:szCs w:val="18"/>
          <w:color w:val="auto"/>
        </w:rPr>
        <w:t>”), except:</w:t>
      </w:r>
    </w:p>
    <w:p>
      <w:pPr>
        <w:spacing w:after="0" w:line="108" w:lineRule="exact"/>
        <w:rPr>
          <w:sz w:val="20"/>
          <w:szCs w:val="20"/>
          <w:color w:val="auto"/>
        </w:rPr>
      </w:pPr>
    </w:p>
    <w:p>
      <w:pPr>
        <w:ind w:left="360" w:right="520"/>
        <w:spacing w:after="0" w:line="261" w:lineRule="auto"/>
        <w:rPr>
          <w:sz w:val="20"/>
          <w:szCs w:val="20"/>
          <w:color w:val="auto"/>
        </w:rPr>
      </w:pPr>
      <w:r>
        <w:rPr>
          <w:rFonts w:ascii="Arial" w:cs="Arial" w:eastAsia="Arial" w:hAnsi="Arial"/>
          <w:sz w:val="18"/>
          <w:szCs w:val="18"/>
          <w:color w:val="auto"/>
        </w:rPr>
        <w:t>(a) in the case of death of the French Holder or in the event of the French Holder’s disability of the second or third category (as determined in accordance with Article L 341-4 of the French Social Security Code), or</w:t>
      </w:r>
    </w:p>
    <w:p>
      <w:pPr>
        <w:spacing w:after="0" w:line="90" w:lineRule="exact"/>
        <w:rPr>
          <w:sz w:val="20"/>
          <w:szCs w:val="20"/>
          <w:color w:val="auto"/>
        </w:rPr>
      </w:pPr>
    </w:p>
    <w:p>
      <w:pPr>
        <w:ind w:left="360" w:right="300"/>
        <w:spacing w:after="0" w:line="261" w:lineRule="auto"/>
        <w:rPr>
          <w:sz w:val="20"/>
          <w:szCs w:val="20"/>
          <w:color w:val="auto"/>
        </w:rPr>
      </w:pPr>
      <w:r>
        <w:rPr>
          <w:rFonts w:ascii="Arial" w:cs="Arial" w:eastAsia="Arial" w:hAnsi="Arial"/>
          <w:sz w:val="18"/>
          <w:szCs w:val="18"/>
          <w:color w:val="auto"/>
        </w:rPr>
        <w:t>(b) in the event of the corporate transactions and under the conditions referred to under Article L 225- 197-1, III of the French Commercial Code (</w:t>
      </w:r>
      <w:r>
        <w:rPr>
          <w:rFonts w:ascii="Arial" w:cs="Arial" w:eastAsia="Arial" w:hAnsi="Arial"/>
          <w:sz w:val="18"/>
          <w:szCs w:val="18"/>
          <w:i w:val="1"/>
          <w:iCs w:val="1"/>
          <w:color w:val="auto"/>
        </w:rPr>
        <w:t>Code de commerce</w:t>
      </w:r>
      <w:r>
        <w:rPr>
          <w:rFonts w:ascii="Arial" w:cs="Arial" w:eastAsia="Arial" w:hAnsi="Arial"/>
          <w:sz w:val="18"/>
          <w:szCs w:val="18"/>
          <w:color w:val="auto"/>
        </w:rPr>
        <w:t>), subject to complying with the rollover mechanisms set forth therein.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duration of the Holding Period, if any, shall be determined in the Award Agreement.</w:t>
      </w:r>
    </w:p>
    <w:p>
      <w:pPr>
        <w:spacing w:after="0" w:line="144"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auto"/>
        </w:rPr>
        <w:t>Even when transferability restrictions have lapsed, the Shares cannot be sold (i) during the thirty calendar day period preceding the announcement of an annual or intermediary financial report that the Company is required to publish and (iii) during the black-out periods provided under applicable law.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20"/>
          </w:cols>
          <w:pgMar w:left="320" w:top="139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In the event that a French Holder does not comply with these requirements, such French Holder shall be liable for all consequences that the French Subsidiary may suffer as a result of such breach and undertakes to indemnify the French Subsidiary in respect of any amounts that may become payable by the French Subsidiary as a result of such breach.</w:t>
      </w:r>
    </w:p>
    <w:p>
      <w:pPr>
        <w:spacing w:after="0" w:line="12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Beneficiaries will not benefit from the payment in cash provided for by Section 8.5 of the Plan nor from the payment of Dividend Equivalents provided for by Section 9.2 of the Plan.</w:t>
      </w:r>
    </w:p>
    <w:p>
      <w:pPr>
        <w:spacing w:after="0" w:line="116"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Tax Withholding</w:t>
      </w:r>
    </w:p>
    <w:p>
      <w:pPr>
        <w:spacing w:after="0" w:line="13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Section 10.2 of the Plan will apply to Awards of Restricted stock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French Holders will not satisfy their obligations by having the Company withhold from the number of Shares distributable, if any, a number of Shares having an aggregate value equal to the amount of the required withholding tax. For the avoidance of doubt, any sale of Shares to satisfy the payment of any Tax Liability shall occur only after the expiration of the Holding Period.</w:t>
      </w:r>
    </w:p>
    <w:p>
      <w:pPr>
        <w:spacing w:after="0" w:line="110"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Adjustments provisions</w:t>
      </w:r>
    </w:p>
    <w:p>
      <w:pPr>
        <w:spacing w:after="0" w:line="14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The provisions of Section 12.2 of the Plan will apply to the Restricted Stock Units granted under this French Sub-Plan;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Administrator may in its sole discretion decide not to apply all or part of the provisions of Section 12.2 of the Plan to such Restricted Stock Units or to apply to such Restricted Stock Units different measures than those applied to other Restricted Stock Units granted pursuant to the Plan, in each case, in order to comply with French law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for the avoidance of doubt, the provisions of this Section 9 shall not be construed as an undertaking of the Company or the Administrator to apply the provisions of Section 12.2 in a way that would preserve the favorable tax and social regime as set out in particular in Articles 80 </w:t>
      </w:r>
      <w:r>
        <w:rPr>
          <w:rFonts w:ascii="Arial" w:cs="Arial" w:eastAsia="Arial" w:hAnsi="Arial"/>
          <w:sz w:val="16"/>
          <w:szCs w:val="16"/>
          <w:i w:val="1"/>
          <w:iCs w:val="1"/>
          <w:color w:val="auto"/>
        </w:rPr>
        <w:t>quaterdecies</w:t>
      </w:r>
      <w:r>
        <w:rPr>
          <w:rFonts w:ascii="Arial" w:cs="Arial" w:eastAsia="Arial" w:hAnsi="Arial"/>
          <w:sz w:val="16"/>
          <w:szCs w:val="16"/>
          <w:color w:val="auto"/>
        </w:rPr>
        <w:t xml:space="preserve"> of the French Tax Code and L. 242 1 of the French Social Security Code.</w:t>
      </w:r>
    </w:p>
    <w:p>
      <w:pPr>
        <w:spacing w:after="0" w:line="86"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Amendment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Plan, the Administrator reserves the right to amend or terminate this French Sub- Plan at any time.</w:t>
      </w:r>
    </w:p>
    <w:p>
      <w:pPr>
        <w:spacing w:after="0" w:line="144"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Other Terms</w:t>
      </w:r>
    </w:p>
    <w:p>
      <w:pPr>
        <w:spacing w:after="0" w:line="13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Without prejudice to the provisions of the Plan expressly or impliedly set aside or modified by this French Sub- Plan, Article 5, Article 6, Article 7 and Article 9 of the Plan and Sections 10.3(a)(iii), 10.6, 11.6 of the Plan will not apply to French Holders. Unless provided otherwise in this French Sub-Plan, the terms and conditions of the Plan shall remain unchanged.</w:t>
      </w:r>
    </w:p>
    <w:p>
      <w:pPr>
        <w:spacing w:after="0" w:line="122"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Language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Any Eligible Individual accepting an Award of Restricted Stock Units under this French Sub-Plan acknowledges in doing so that he or she is proficient in</w:t>
      </w:r>
    </w:p>
    <w:p>
      <w:pPr>
        <w:spacing w:after="0" w:line="35"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 xml:space="preserve">English and that he or she fully understands the terms and conditions thereof, as well as those of the Plan. </w:t>
      </w:r>
      <w:r>
        <w:rPr>
          <w:rFonts w:ascii="Arial" w:cs="Arial" w:eastAsia="Arial" w:hAnsi="Arial"/>
          <w:sz w:val="18"/>
          <w:szCs w:val="18"/>
          <w:b w:val="1"/>
          <w:bCs w:val="1"/>
          <w:i w:val="1"/>
          <w:iCs w:val="1"/>
          <w:color w:val="auto"/>
        </w:rPr>
        <w:t>L’Individu Eligible qui accepte une attribution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gratuite d’actions reconnait qu’il ou elle maitrise l’anglais et qu’il ou elle comprend entièrement les termes et conditions du Sous Plan ainsi que ceux du Plan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80"/>
          </w:cols>
          <w:pgMar w:left="320" w:top="1381" w:right="399" w:bottom="1440" w:gutter="0" w:footer="0" w:header="0"/>
        </w:sectPr>
      </w:pPr>
    </w:p>
    <w:bookmarkStart w:id="31" w:name="page32"/>
    <w:bookmarkEnd w:id="31"/>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of Additional Terms and Conditions for Holders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 are German Holders (as defined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AND APPLICATION</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97"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This Appendix (“</w:t>
      </w:r>
      <w:r>
        <w:rPr>
          <w:rFonts w:ascii="Arial" w:cs="Arial" w:eastAsia="Arial" w:hAnsi="Arial"/>
          <w:sz w:val="18"/>
          <w:szCs w:val="18"/>
          <w:u w:val="single" w:color="auto"/>
          <w:color w:val="auto"/>
        </w:rPr>
        <w:t>Appendix D</w:t>
      </w:r>
      <w:r>
        <w:rPr>
          <w:rFonts w:ascii="Arial" w:cs="Arial" w:eastAsia="Arial" w:hAnsi="Arial"/>
          <w:sz w:val="18"/>
          <w:szCs w:val="18"/>
          <w:color w:val="auto"/>
        </w:rPr>
        <w:t>”), which is part of the Plan, contains the additional “terms and conditions” of the Plan, any Program, and the Award Agreements that will apply to a Holder if:</w:t>
      </w:r>
    </w:p>
    <w:p>
      <w:pPr>
        <w:spacing w:after="0" w:line="89" w:lineRule="exact"/>
        <w:rPr>
          <w:sz w:val="20"/>
          <w:szCs w:val="20"/>
          <w:color w:val="auto"/>
        </w:rPr>
      </w:pPr>
    </w:p>
    <w:p>
      <w:pPr>
        <w:ind w:left="360" w:right="160"/>
        <w:spacing w:after="0" w:line="248" w:lineRule="auto"/>
        <w:rPr>
          <w:sz w:val="20"/>
          <w:szCs w:val="20"/>
          <w:color w:val="auto"/>
        </w:rPr>
      </w:pPr>
      <w:r>
        <w:rPr>
          <w:rFonts w:ascii="Arial" w:cs="Arial" w:eastAsia="Arial" w:hAnsi="Arial"/>
          <w:sz w:val="18"/>
          <w:szCs w:val="18"/>
          <w:color w:val="auto"/>
        </w:rPr>
        <w:t>(a) at the time the Holder receives a grant of an Award under the Plan, such Holder is resident in Germany for tax purposes or performs some or all of the duties of the Holder’s engagement with the Company (or any Subsidiary) in Germany (other where such performance in Germany is not significant in scope and is incidental to duties performed by the relevant Holder outside Germany); or</w:t>
      </w:r>
    </w:p>
    <w:p>
      <w:pPr>
        <w:spacing w:after="0" w:line="87" w:lineRule="exact"/>
        <w:rPr>
          <w:sz w:val="20"/>
          <w:szCs w:val="20"/>
          <w:color w:val="auto"/>
        </w:rPr>
      </w:pPr>
    </w:p>
    <w:p>
      <w:pPr>
        <w:jc w:val="both"/>
        <w:ind w:left="360" w:right="60"/>
        <w:spacing w:after="0" w:line="251" w:lineRule="auto"/>
        <w:rPr>
          <w:sz w:val="20"/>
          <w:szCs w:val="20"/>
          <w:color w:val="auto"/>
        </w:rPr>
      </w:pPr>
      <w:r>
        <w:rPr>
          <w:rFonts w:ascii="Arial" w:cs="Arial" w:eastAsia="Arial" w:hAnsi="Arial"/>
          <w:sz w:val="17"/>
          <w:szCs w:val="17"/>
          <w:color w:val="auto"/>
        </w:rPr>
        <w:t>(b) after the receipt by the Holder of a grant of an Award under the Plan, such Holder becomes resident in Germany for tax purposes, or commences performing some or all of the duties of the Holder’s engagement with a Subsidiary in Germany (other than where such performance in Germany is not significant in scope and is incidental to duties performed by the relevant Holder outside Germany), in which case the additional terms and conditions of this Appendix D shall be deemed to apply from the date on which the relevant Award was granted); or</w:t>
      </w:r>
    </w:p>
    <w:p>
      <w:pPr>
        <w:spacing w:after="0" w:line="87" w:lineRule="exact"/>
        <w:rPr>
          <w:sz w:val="20"/>
          <w:szCs w:val="20"/>
          <w:color w:val="auto"/>
        </w:rPr>
      </w:pPr>
    </w:p>
    <w:p>
      <w:pPr>
        <w:ind w:left="360" w:right="160"/>
        <w:spacing w:after="0" w:line="261" w:lineRule="auto"/>
        <w:rPr>
          <w:sz w:val="20"/>
          <w:szCs w:val="20"/>
          <w:color w:val="auto"/>
        </w:rPr>
      </w:pPr>
      <w:r>
        <w:rPr>
          <w:rFonts w:ascii="Arial" w:cs="Arial" w:eastAsia="Arial" w:hAnsi="Arial"/>
          <w:sz w:val="18"/>
          <w:szCs w:val="18"/>
          <w:color w:val="auto"/>
        </w:rPr>
        <w:t>(c) in all other cases if a Holder is subject to tax in Germany with respect to any Award or grant, vesting, exercise or event or payment or otherwise in connection therewith, in each case such a Holder being a “</w:t>
      </w:r>
      <w:r>
        <w:rPr>
          <w:rFonts w:ascii="Arial" w:cs="Arial" w:eastAsia="Arial" w:hAnsi="Arial"/>
          <w:sz w:val="18"/>
          <w:szCs w:val="18"/>
          <w:u w:val="single" w:color="auto"/>
          <w:color w:val="auto"/>
        </w:rPr>
        <w:t>German Holder</w:t>
      </w:r>
      <w:r>
        <w:rPr>
          <w:rFonts w:ascii="Arial" w:cs="Arial" w:eastAsia="Arial" w:hAnsi="Arial"/>
          <w:sz w:val="18"/>
          <w:szCs w:val="18"/>
          <w:color w:val="auto"/>
        </w:rPr>
        <w:t>”.</w:t>
      </w:r>
    </w:p>
    <w:p>
      <w:pPr>
        <w:spacing w:after="0" w:line="76"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In the event of a conflict between the terms of the Plan, any applicable Program or an Award Agreement and the terms of this Appendix D with respect to a German Holder, the terms of this Appendix D shall govern. Capitalized terms used but not defined herein shall have the same meanings assigned to them in the Plan, any applicable Program or the Award Agreements.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w:t>
      </w:r>
      <w:r>
        <w:rPr>
          <w:rFonts w:ascii="Arial" w:cs="Arial" w:eastAsia="Arial" w:hAnsi="Arial"/>
          <w:sz w:val="18"/>
          <w:szCs w:val="18"/>
          <w:u w:val="single" w:color="auto"/>
          <w:color w:val="auto"/>
        </w:rPr>
        <w:t>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supplements, but does not limit, Section 10.2 of the Plan:</w:t>
      </w:r>
    </w:p>
    <w:p>
      <w:pPr>
        <w:spacing w:after="0" w:line="117" w:lineRule="exact"/>
        <w:rPr>
          <w:sz w:val="20"/>
          <w:szCs w:val="20"/>
          <w:color w:val="auto"/>
        </w:rPr>
      </w:pPr>
    </w:p>
    <w:p>
      <w:pPr>
        <w:ind w:left="360" w:right="20"/>
        <w:spacing w:after="0" w:line="246" w:lineRule="auto"/>
        <w:rPr>
          <w:sz w:val="20"/>
          <w:szCs w:val="20"/>
          <w:color w:val="auto"/>
        </w:rPr>
      </w:pPr>
      <w:r>
        <w:rPr>
          <w:rFonts w:ascii="Arial" w:cs="Arial" w:eastAsia="Arial" w:hAnsi="Arial"/>
          <w:sz w:val="18"/>
          <w:szCs w:val="18"/>
          <w:color w:val="auto"/>
        </w:rPr>
        <w:t>(a) The Holder irrevocably agrees to pay to the Company or (if different) the Employer the amount of any Tax Liability or enter into arrangements to the satisfaction of the Company or the Employer (as appropriate) for payment of any Tax Liability.</w:t>
      </w:r>
    </w:p>
    <w:p>
      <w:pPr>
        <w:spacing w:after="0" w:line="89" w:lineRule="exact"/>
        <w:rPr>
          <w:sz w:val="20"/>
          <w:szCs w:val="20"/>
          <w:color w:val="auto"/>
        </w:rPr>
      </w:pPr>
    </w:p>
    <w:p>
      <w:pPr>
        <w:ind w:left="360" w:right="100"/>
        <w:spacing w:after="0" w:line="237" w:lineRule="auto"/>
        <w:rPr>
          <w:sz w:val="20"/>
          <w:szCs w:val="20"/>
          <w:color w:val="auto"/>
        </w:rPr>
      </w:pPr>
      <w:r>
        <w:rPr>
          <w:rFonts w:ascii="Arial" w:cs="Arial" w:eastAsia="Arial" w:hAnsi="Arial"/>
          <w:sz w:val="18"/>
          <w:szCs w:val="18"/>
          <w:color w:val="auto"/>
        </w:rPr>
        <w:t>(b) The Holder further irrevocably agrees to fully indemnify the Company and (if different) the Employer against any and all liabilities vis-à-vis the German tax authorities in connection with the grant, vesting, exercise of or otherwise in connection with an Award, the transfer or issue of Shares to such Holder on satisfaction of an Award, any restrictions applicable to Shares held by a Holder ceasing to apply to those Shares, the disposal of any Shares, the release or assignment of an Award for consideration, or the receipt of any other benefit in connection with an Award, including any secondary liability (</w:t>
      </w:r>
      <w:r>
        <w:rPr>
          <w:rFonts w:ascii="Arial" w:cs="Arial" w:eastAsia="Arial" w:hAnsi="Arial"/>
          <w:sz w:val="18"/>
          <w:szCs w:val="18"/>
          <w:i w:val="1"/>
          <w:iCs w:val="1"/>
          <w:color w:val="auto"/>
        </w:rPr>
        <w:t>Haftung</w:t>
      </w:r>
      <w:r>
        <w:rPr>
          <w:rFonts w:ascii="Arial" w:cs="Arial" w:eastAsia="Arial" w:hAnsi="Arial"/>
          <w:sz w:val="18"/>
          <w:szCs w:val="18"/>
          <w:color w:val="auto"/>
        </w:rPr>
        <w:t>) for taxes by the Employer or the Company and including any interest and penalties as well as reasonable costs and fees thereon, if any.</w:t>
      </w:r>
    </w:p>
    <w:p>
      <w:pPr>
        <w:spacing w:after="0" w:line="97" w:lineRule="exact"/>
        <w:rPr>
          <w:sz w:val="20"/>
          <w:szCs w:val="20"/>
          <w:color w:val="auto"/>
        </w:rPr>
      </w:pPr>
    </w:p>
    <w:p>
      <w:pPr>
        <w:ind w:left="360" w:right="60"/>
        <w:spacing w:after="0" w:line="234" w:lineRule="auto"/>
        <w:rPr>
          <w:sz w:val="20"/>
          <w:szCs w:val="20"/>
          <w:color w:val="auto"/>
        </w:rPr>
      </w:pPr>
      <w:r>
        <w:rPr>
          <w:rFonts w:ascii="Arial" w:cs="Arial" w:eastAsia="Arial" w:hAnsi="Arial"/>
          <w:sz w:val="18"/>
          <w:szCs w:val="18"/>
          <w:color w:val="auto"/>
        </w:rPr>
        <w:t>(c) The Holder hereby undertakes and shall be responsible for notifying and reporting to the Company or (if different) the Employer any taxable benefits, payments or other taxable events for German tax purposes without undue delay upon the Holder becoming aware thereof, and in any event at the latest six weeks before accrual (</w:t>
      </w:r>
      <w:r>
        <w:rPr>
          <w:rFonts w:ascii="Arial" w:cs="Arial" w:eastAsia="Arial" w:hAnsi="Arial"/>
          <w:sz w:val="18"/>
          <w:szCs w:val="18"/>
          <w:i w:val="1"/>
          <w:iCs w:val="1"/>
          <w:color w:val="auto"/>
        </w:rPr>
        <w:t>Zufluss</w:t>
      </w:r>
      <w:r>
        <w:rPr>
          <w:rFonts w:ascii="Arial" w:cs="Arial" w:eastAsia="Arial" w:hAnsi="Arial"/>
          <w:sz w:val="18"/>
          <w:szCs w:val="18"/>
          <w:color w:val="auto"/>
        </w:rPr>
        <w:t>) to the Holder and moreover in any event in compliance with all applicable German tax provisions, rules, regulations and guidance issued by the German tax authorities. The Holder will obtain tax advice by own individual qualified German tax counsel to ensure compliance in connection with this undertaking also will also comply with any other reporting, notification and German tax filing obligation vis-à-vis the German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2. </w:t>
      </w:r>
      <w:r>
        <w:rPr>
          <w:rFonts w:ascii="Arial" w:cs="Arial" w:eastAsia="Arial" w:hAnsi="Arial"/>
          <w:sz w:val="18"/>
          <w:szCs w:val="18"/>
          <w:u w:val="single" w:color="auto"/>
          <w:color w:val="auto"/>
        </w:rPr>
        <w:t>Transferability of Awards</w:t>
      </w:r>
    </w:p>
    <w:p>
      <w:pPr>
        <w:spacing w:after="0" w:line="11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Section 10.3(c) of the Plan, all references to a Holder being “married” shall be read as including references to a Holder being in a civil partnership, and all references to a Holder’s “spouse” shall be read as including references to a Holder’s civil partner.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3. </w:t>
      </w:r>
      <w:r>
        <w:rPr>
          <w:rFonts w:ascii="Arial" w:cs="Arial" w:eastAsia="Arial" w:hAnsi="Arial"/>
          <w:sz w:val="18"/>
          <w:szCs w:val="18"/>
          <w:u w:val="single" w:color="auto"/>
          <w:color w:val="auto"/>
        </w:rPr>
        <w:t>Grant by the Company</w:t>
      </w:r>
    </w:p>
    <w:p>
      <w:pPr>
        <w:spacing w:after="0" w:line="117" w:lineRule="exact"/>
        <w:rPr>
          <w:sz w:val="20"/>
          <w:szCs w:val="20"/>
          <w:color w:val="auto"/>
        </w:rPr>
      </w:pPr>
    </w:p>
    <w:p>
      <w:pPr>
        <w:ind w:left="360" w:right="40"/>
        <w:spacing w:after="0" w:line="246" w:lineRule="auto"/>
        <w:rPr>
          <w:sz w:val="20"/>
          <w:szCs w:val="20"/>
          <w:color w:val="auto"/>
        </w:rPr>
      </w:pPr>
      <w:r>
        <w:rPr>
          <w:rFonts w:ascii="Arial" w:cs="Arial" w:eastAsia="Arial" w:hAnsi="Arial"/>
          <w:sz w:val="18"/>
          <w:szCs w:val="18"/>
          <w:color w:val="auto"/>
        </w:rPr>
        <w:t>(a) The Awards are granted to German Holders by the Administrator on behalf of the Company as part of a group-wide program and not on behalf of his or her Employer.</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(b) The Plan shall not form part of the employment relationship between any German Holder and his or her Employer.</w:t>
      </w:r>
    </w:p>
    <w:p>
      <w:pPr>
        <w:spacing w:after="0" w:line="117" w:lineRule="exact"/>
        <w:rPr>
          <w:sz w:val="20"/>
          <w:szCs w:val="20"/>
          <w:color w:val="auto"/>
        </w:rPr>
      </w:pPr>
    </w:p>
    <w:p>
      <w:pPr>
        <w:ind w:left="360" w:right="180"/>
        <w:spacing w:after="0" w:line="324" w:lineRule="auto"/>
        <w:rPr>
          <w:sz w:val="20"/>
          <w:szCs w:val="20"/>
          <w:color w:val="auto"/>
        </w:rPr>
      </w:pPr>
      <w:r>
        <w:rPr>
          <w:rFonts w:ascii="Arial" w:cs="Arial" w:eastAsia="Arial" w:hAnsi="Arial"/>
          <w:sz w:val="16"/>
          <w:szCs w:val="16"/>
          <w:color w:val="auto"/>
        </w:rPr>
        <w:t>(c) The Awards granted to German Holders shall not form a part of the remuneration under the German Holder’s employment relationship with his or her Employer (including, without limitation, normal or expected wages, salary or any kind of fixed or variable components of remuneration).</w:t>
      </w:r>
    </w:p>
    <w:p>
      <w:pPr>
        <w:spacing w:after="0" w:line="30" w:lineRule="exact"/>
        <w:rPr>
          <w:sz w:val="20"/>
          <w:szCs w:val="20"/>
          <w:color w:val="auto"/>
        </w:rPr>
      </w:pPr>
    </w:p>
    <w:p>
      <w:pPr>
        <w:ind w:left="360" w:right="300"/>
        <w:spacing w:after="0" w:line="261" w:lineRule="auto"/>
        <w:rPr>
          <w:sz w:val="20"/>
          <w:szCs w:val="20"/>
          <w:color w:val="auto"/>
        </w:rPr>
      </w:pPr>
      <w:r>
        <w:rPr>
          <w:rFonts w:ascii="Arial" w:cs="Arial" w:eastAsia="Arial" w:hAnsi="Arial"/>
          <w:sz w:val="18"/>
          <w:szCs w:val="18"/>
          <w:color w:val="auto"/>
        </w:rPr>
        <w:t>(d) As regards Other Stock or Cash Based Awards granted to a German Holder, the last sentence of Section 9.2 shall be deleted in its entirety and replaced with the following:</w:t>
      </w:r>
    </w:p>
    <w:p>
      <w:pPr>
        <w:spacing w:after="0" w:line="76" w:lineRule="exact"/>
        <w:rPr>
          <w:sz w:val="20"/>
          <w:szCs w:val="20"/>
          <w:color w:val="auto"/>
        </w:rPr>
      </w:pPr>
    </w:p>
    <w:p>
      <w:pPr>
        <w:ind w:left="720" w:right="180"/>
        <w:spacing w:after="0" w:line="270" w:lineRule="auto"/>
        <w:rPr>
          <w:sz w:val="20"/>
          <w:szCs w:val="20"/>
          <w:color w:val="auto"/>
        </w:rPr>
      </w:pPr>
      <w:r>
        <w:rPr>
          <w:rFonts w:ascii="Arial" w:cs="Arial" w:eastAsia="Arial" w:hAnsi="Arial"/>
          <w:sz w:val="16"/>
          <w:szCs w:val="16"/>
          <w:color w:val="auto"/>
        </w:rPr>
        <w:t>“Other Stock or Cash Based Awards may be paid in cash, Shares, or a combination of cash and Shares, as determined by the Administrator, and may be available as a form of payment in the settlement of other Awards granted under the Plan, as stand-alone payments, but not as part of the remuneration under the German Holder’s employment relationship with his or her Employer (in particular, not as: (i) a part of any kind of fixed or variable components of remuneration, any bonus, deferred bonus, deferred compensation or other arrangement; or (ii) a payment in lieu of compensation to which an German Holder is otherwise entitled under the German Holder’s employment relationship).”</w:t>
      </w:r>
    </w:p>
    <w:p>
      <w:pPr>
        <w:spacing w:after="0" w:line="72" w:lineRule="exact"/>
        <w:rPr>
          <w:sz w:val="20"/>
          <w:szCs w:val="20"/>
          <w:color w:val="auto"/>
        </w:rPr>
      </w:pPr>
    </w:p>
    <w:p>
      <w:pPr>
        <w:ind w:left="360" w:right="140"/>
        <w:spacing w:after="0" w:line="274" w:lineRule="auto"/>
        <w:rPr>
          <w:sz w:val="20"/>
          <w:szCs w:val="20"/>
          <w:color w:val="auto"/>
        </w:rPr>
      </w:pPr>
      <w:r>
        <w:rPr>
          <w:rFonts w:ascii="Arial" w:cs="Arial" w:eastAsia="Arial" w:hAnsi="Arial"/>
          <w:sz w:val="16"/>
          <w:szCs w:val="16"/>
          <w:color w:val="auto"/>
        </w:rPr>
        <w:t>(e) In addition to Section 12.12, any income recognized by the German Holder as a result of any Award will not be included in the formula for calculating benefits under the German Holder’s employment relationship or any retirement, disability or any other benefit plan or any other plan (including, but not limited to, any social plan, as well as any severance, resignation, termination, redundancy, dismissal, end of service payments, bonuses, holiday pay, long-service awards, pension or retirement benefits or similar payments, or any post-contractual non-compete compensation, if any) provided by, or otherwise applicable under the German Holder’s employment relationship with, his or her Employer.</w:t>
      </w:r>
    </w:p>
    <w:p>
      <w:pPr>
        <w:spacing w:after="0" w:line="70" w:lineRule="exact"/>
        <w:rPr>
          <w:sz w:val="20"/>
          <w:szCs w:val="20"/>
          <w:color w:val="auto"/>
        </w:rPr>
      </w:pPr>
    </w:p>
    <w:p>
      <w:pPr>
        <w:ind w:left="360" w:right="40"/>
        <w:spacing w:after="0" w:line="265" w:lineRule="auto"/>
        <w:rPr>
          <w:sz w:val="20"/>
          <w:szCs w:val="20"/>
          <w:color w:val="auto"/>
        </w:rPr>
      </w:pPr>
      <w:r>
        <w:rPr>
          <w:rFonts w:ascii="Arial" w:cs="Arial" w:eastAsia="Arial" w:hAnsi="Arial"/>
          <w:sz w:val="16"/>
          <w:szCs w:val="16"/>
          <w:color w:val="auto"/>
        </w:rPr>
        <w:t>(f) No German Holder shall have any right to compensation or damages from the Company, any Subsidiary (including his or her Employer) or the Administrator or any of their respective affiliates on account of any loss of any right to vest or the lapsing, cancellation or forfeiture of any Award under the Plan, where such loss arises (or is claimed to arise) in whole or in part from: (i) the termination of such German Holder’s employment by; or</w:t>
      </w:r>
    </w:p>
    <w:p>
      <w:pPr>
        <w:spacing w:after="0" w:line="1" w:lineRule="exact"/>
        <w:rPr>
          <w:sz w:val="20"/>
          <w:szCs w:val="20"/>
          <w:color w:val="auto"/>
        </w:rPr>
      </w:pPr>
    </w:p>
    <w:p>
      <w:pPr>
        <w:ind w:left="360" w:right="300" w:firstLine="8"/>
        <w:spacing w:after="0" w:line="233" w:lineRule="auto"/>
        <w:tabs>
          <w:tab w:leader="none" w:pos="6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notice to terminate such German Holder’s employment given by or to, his or her Employer. For the avoidance of doubt, any rights of a German Holder against his or her Employer under German law in connection with an unfair dismissal remain unaffected.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4. </w:t>
      </w:r>
      <w:r>
        <w:rPr>
          <w:rFonts w:ascii="Arial" w:cs="Arial" w:eastAsia="Arial" w:hAnsi="Arial"/>
          <w:sz w:val="18"/>
          <w:szCs w:val="18"/>
          <w:u w:val="single" w:color="auto"/>
          <w:color w:val="auto"/>
        </w:rPr>
        <w:t>Language</w:t>
      </w:r>
    </w:p>
    <w:p>
      <w:pPr>
        <w:spacing w:after="0" w:line="117" w:lineRule="exact"/>
        <w:rPr>
          <w:sz w:val="20"/>
          <w:szCs w:val="20"/>
          <w:color w:val="auto"/>
        </w:rPr>
      </w:pPr>
    </w:p>
    <w:p>
      <w:pPr>
        <w:jc w:val="both"/>
        <w:ind w:left="360" w:right="60"/>
        <w:spacing w:after="0" w:line="248" w:lineRule="auto"/>
        <w:rPr>
          <w:sz w:val="20"/>
          <w:szCs w:val="20"/>
          <w:color w:val="auto"/>
        </w:rPr>
      </w:pPr>
      <w:r>
        <w:rPr>
          <w:rFonts w:ascii="Arial" w:cs="Arial" w:eastAsia="Arial" w:hAnsi="Arial"/>
          <w:sz w:val="18"/>
          <w:szCs w:val="18"/>
          <w:color w:val="auto"/>
        </w:rPr>
        <w:t>(a) Before any Award is granted to any German Holder, the relevant German Holder, when accepting the Award, shall acknowledge in doing so that he or she is proficient in English (or thought appropriate advice) and that he or she fully understands the terms and conditions thereof, as well as those of the Plan.</w:t>
      </w:r>
    </w:p>
    <w:p>
      <w:pPr>
        <w:spacing w:after="0" w:line="87" w:lineRule="exact"/>
        <w:rPr>
          <w:sz w:val="20"/>
          <w:szCs w:val="20"/>
          <w:color w:val="auto"/>
        </w:rPr>
      </w:pPr>
    </w:p>
    <w:p>
      <w:pPr>
        <w:ind w:left="360" w:right="100"/>
        <w:spacing w:after="0" w:line="307" w:lineRule="auto"/>
        <w:rPr>
          <w:sz w:val="20"/>
          <w:szCs w:val="20"/>
          <w:color w:val="auto"/>
        </w:rPr>
      </w:pPr>
      <w:r>
        <w:rPr>
          <w:rFonts w:ascii="Arial" w:cs="Arial" w:eastAsia="Arial" w:hAnsi="Arial"/>
          <w:sz w:val="16"/>
          <w:szCs w:val="16"/>
          <w:color w:val="auto"/>
        </w:rPr>
        <w:t>(b) The German Holder shall not have any entitlement against the Company, any Subsidiary (including his or her Employer) or the Administrator or any of their respective affiliates to be provided with a version of the Award, the Plan or any other documents related thereto in the German language.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Any costs, fees or expenses incurred by a German Holder in connection with the delivery of any Award, the Plan and any other documents related thereto in the English language shall be solely borne by the German Holder. For the avoidance of doubt, any such costs, fees or expenses shall not be considered as expenses of administering the Plan; Section 12.13 shall be interpreted and construed accordingly.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40"/>
          </w:cols>
          <w:pgMar w:left="320" w:top="1381" w:right="339" w:bottom="1440" w:gutter="0" w:footer="0" w:header="0"/>
        </w:sectPr>
      </w:pPr>
    </w:p>
    <w:bookmarkStart w:id="33" w:name="page34"/>
    <w:bookmarkEnd w:id="33"/>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of Additional Terms and Conditions for Holders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 are Singapore Holders (as defined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AND APPLICATION</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11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This Appendix (“</w:t>
      </w:r>
      <w:r>
        <w:rPr>
          <w:rFonts w:ascii="Arial" w:cs="Arial" w:eastAsia="Arial" w:hAnsi="Arial"/>
          <w:sz w:val="17"/>
          <w:szCs w:val="17"/>
          <w:u w:val="single" w:color="auto"/>
          <w:color w:val="auto"/>
        </w:rPr>
        <w:t>Appendix E</w:t>
      </w:r>
      <w:r>
        <w:rPr>
          <w:rFonts w:ascii="Arial" w:cs="Arial" w:eastAsia="Arial" w:hAnsi="Arial"/>
          <w:sz w:val="17"/>
          <w:szCs w:val="17"/>
          <w:color w:val="auto"/>
        </w:rPr>
        <w:t>”), which is part of the Plan, contains the additional “terms and conditions” of the Plan, any Program, and the Award Agreements that will apply to a Holder who is resident in the Republic of Singapore, and an Employees of a company incorporated according to Singapore law, which is controlled by the Company either directly or indirectly (a “</w:t>
      </w:r>
      <w:r>
        <w:rPr>
          <w:rFonts w:ascii="Arial" w:cs="Arial" w:eastAsia="Arial" w:hAnsi="Arial"/>
          <w:sz w:val="17"/>
          <w:szCs w:val="17"/>
          <w:u w:val="single" w:color="auto"/>
          <w:color w:val="auto"/>
        </w:rPr>
        <w:t>Singapore Subsidiary</w:t>
      </w:r>
      <w:r>
        <w:rPr>
          <w:rFonts w:ascii="Arial" w:cs="Arial" w:eastAsia="Arial" w:hAnsi="Arial"/>
          <w:sz w:val="17"/>
          <w:szCs w:val="17"/>
          <w:color w:val="auto"/>
        </w:rPr>
        <w:t>”) (a “</w:t>
      </w:r>
      <w:r>
        <w:rPr>
          <w:rFonts w:ascii="Arial" w:cs="Arial" w:eastAsia="Arial" w:hAnsi="Arial"/>
          <w:sz w:val="17"/>
          <w:szCs w:val="17"/>
          <w:u w:val="single" w:color="auto"/>
          <w:color w:val="auto"/>
        </w:rPr>
        <w:t>Singapore Holder</w:t>
      </w:r>
      <w:r>
        <w:rPr>
          <w:rFonts w:ascii="Arial" w:cs="Arial" w:eastAsia="Arial" w:hAnsi="Arial"/>
          <w:sz w:val="17"/>
          <w:szCs w:val="17"/>
          <w:color w:val="auto"/>
        </w:rPr>
        <w:t>”).</w:t>
      </w:r>
    </w:p>
    <w:p>
      <w:pPr>
        <w:spacing w:after="0" w:line="105"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purpose of this Appendix is to establish certain rules and limitations applicable to the allotment, acceptance and exercise and settlement of Awards and to any Shares that may be allotted in connection with Awards under the Plan from time to time, in compliance with securities and other applicable laws currently in force. Except as otherwise provided by this Appendix, and/or by any Singaporean mandatory provision regarding employment, central provident fund matters, personal capacity/disability, succession (inheritance) applicable to the Singapore Holders, all Awards granted pursuant to this Appendix and the relevant Shares shall be governed by the terms of the Plan, save as otherwise set out in this Appendix.</w:t>
      </w:r>
    </w:p>
    <w:p>
      <w:pPr>
        <w:spacing w:after="0" w:line="9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Plan and this Appendix shall be read together. In any case of any inconsistency between the provisions of this Appendix and the Plan, the provisions of the Plan shall govern unless expressly stated otherwise in this Appendix.</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Any capitalized term not specifically defined in this Appendix shall be construed according to the definition or interpretation given to it in the Plan.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1. </w:t>
      </w:r>
      <w:r>
        <w:rPr>
          <w:rFonts w:ascii="Arial" w:cs="Arial" w:eastAsia="Arial" w:hAnsi="Arial"/>
          <w:sz w:val="18"/>
          <w:szCs w:val="18"/>
          <w:u w:val="single" w:color="auto"/>
          <w:color w:val="auto"/>
        </w:rPr>
        <w:t>Eligibility</w:t>
      </w:r>
    </w:p>
    <w:p>
      <w:pPr>
        <w:spacing w:after="0" w:line="131"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All Singapore Holders are eligible to be awarded Awards under the Plan, if they are employed by a Singapore Subsidiary and meet the conditions set out in the Plan. The personal capacity to be an Eligible Employee shall be constructed and determined in accordance with Singapore law.</w:t>
      </w:r>
    </w:p>
    <w:p>
      <w:pPr>
        <w:spacing w:after="0" w:line="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Any Eligible Employee resident in the Republic of Singapore must qualify as a “Qualifying Person” in accordance with Section 273(1)(i) and 273(4) of the Securities and Futures Act 2001 of Singapore.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2. </w:t>
      </w:r>
      <w:r>
        <w:rPr>
          <w:rFonts w:ascii="Arial" w:cs="Arial" w:eastAsia="Arial" w:hAnsi="Arial"/>
          <w:sz w:val="18"/>
          <w:szCs w:val="18"/>
          <w:u w:val="single" w:color="auto"/>
          <w:color w:val="auto"/>
        </w:rPr>
        <w:t>Events related to the Employment Relationship</w:t>
      </w:r>
    </w:p>
    <w:p>
      <w:pPr>
        <w:spacing w:after="0" w:line="13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provisions applicable in case of Termination of Service, disability, inability to work and inheritance rights shall be constructed and regulated in accordance with Singapore law.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3. </w:t>
      </w:r>
      <w:r>
        <w:rPr>
          <w:rFonts w:ascii="Arial" w:cs="Arial" w:eastAsia="Arial" w:hAnsi="Arial"/>
          <w:sz w:val="18"/>
          <w:szCs w:val="18"/>
          <w:u w:val="single" w:color="auto"/>
          <w:color w:val="auto"/>
        </w:rPr>
        <w:t>Restrictions on Transfer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Eligible Employees resident in the Republic of Singapore are not permitted to transfer: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(a) any Awards until a period of at least 6 months has elapsed from the Grant Date; or</w:t>
      </w:r>
    </w:p>
    <w:p>
      <w:pPr>
        <w:spacing w:after="0" w:line="13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(b) any Shares received upon the exercise or settlement of any Award until a period of at least 6 months has elapsed from the date the Shares are issued or transferred to them.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40"/>
          </w:cols>
          <w:pgMar w:left="320" w:top="1440" w:right="339" w:bottom="1440" w:gutter="0" w:footer="0" w:header="0"/>
        </w:sectPr>
      </w:pPr>
    </w:p>
    <w:bookmarkStart w:id="34" w:name="page35"/>
    <w:bookmarkEnd w:id="34"/>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of Additional Terms and Conditions for Holders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 are United Kingdom Holders (as defined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AND APPLICATION</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97"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This Appendix (“</w:t>
      </w:r>
      <w:r>
        <w:rPr>
          <w:rFonts w:ascii="Arial" w:cs="Arial" w:eastAsia="Arial" w:hAnsi="Arial"/>
          <w:sz w:val="18"/>
          <w:szCs w:val="18"/>
          <w:u w:val="single" w:color="auto"/>
          <w:color w:val="auto"/>
        </w:rPr>
        <w:t>Appendix F</w:t>
      </w:r>
      <w:r>
        <w:rPr>
          <w:rFonts w:ascii="Arial" w:cs="Arial" w:eastAsia="Arial" w:hAnsi="Arial"/>
          <w:sz w:val="18"/>
          <w:szCs w:val="18"/>
          <w:color w:val="auto"/>
        </w:rPr>
        <w:t>”), which is part of the Plan, contains the additional “terms and conditions” of the Plan, any Program, and the Award Agreements that will apply to a Holder if:</w:t>
      </w:r>
    </w:p>
    <w:p>
      <w:pPr>
        <w:spacing w:after="0" w:line="89" w:lineRule="exact"/>
        <w:rPr>
          <w:sz w:val="20"/>
          <w:szCs w:val="20"/>
          <w:color w:val="auto"/>
        </w:rPr>
      </w:pPr>
    </w:p>
    <w:p>
      <w:pPr>
        <w:jc w:val="both"/>
        <w:ind w:left="360" w:right="100"/>
        <w:spacing w:after="0" w:line="294" w:lineRule="auto"/>
        <w:rPr>
          <w:sz w:val="20"/>
          <w:szCs w:val="20"/>
          <w:color w:val="auto"/>
        </w:rPr>
      </w:pPr>
      <w:r>
        <w:rPr>
          <w:rFonts w:ascii="Arial" w:cs="Arial" w:eastAsia="Arial" w:hAnsi="Arial"/>
          <w:sz w:val="16"/>
          <w:szCs w:val="16"/>
          <w:color w:val="auto"/>
        </w:rPr>
        <w:t>(a) at the time the Holder receives a grant of an Award under the Plan, such Holder is resident in the United Kingdom for tax purposes or performs some or all of the duties of the Holder’s engagement with the Company (or any Subsidiary) in the United Kingdom (other where such performance in the United Kingdom is not significant in scope and is incidental to duties performed by the relevant Holder outside the United Kingdom); or</w:t>
      </w:r>
    </w:p>
    <w:p>
      <w:pPr>
        <w:spacing w:after="0" w:line="53" w:lineRule="exact"/>
        <w:rPr>
          <w:sz w:val="20"/>
          <w:szCs w:val="20"/>
          <w:color w:val="auto"/>
        </w:rPr>
      </w:pPr>
    </w:p>
    <w:p>
      <w:pPr>
        <w:ind w:left="360" w:right="180"/>
        <w:spacing w:after="0" w:line="234" w:lineRule="auto"/>
        <w:rPr>
          <w:sz w:val="20"/>
          <w:szCs w:val="20"/>
          <w:color w:val="auto"/>
        </w:rPr>
      </w:pPr>
      <w:r>
        <w:rPr>
          <w:rFonts w:ascii="Arial" w:cs="Arial" w:eastAsia="Arial" w:hAnsi="Arial"/>
          <w:sz w:val="18"/>
          <w:szCs w:val="18"/>
          <w:color w:val="auto"/>
        </w:rPr>
        <w:t>(b) after the receipt by the Holder of a grant of an Award under the Plan, such Holder becomes resident in the United Kingdom for tax purposes, or commences performing some or all of the duties of the Holder’s engagement with the Company (or any Subsidiary) in the United Kingdom (other than where such performance in the United Kingdom is not significant in scope and is incidental to duties performed by the relevant Holder outside the United Kingdom), in which case the additional terms and conditions of this Appendix F shall be deemed to apply from the date on which the relevant Award was granted),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such a Holder being a “</w:t>
      </w:r>
      <w:r>
        <w:rPr>
          <w:rFonts w:ascii="Arial" w:cs="Arial" w:eastAsia="Arial" w:hAnsi="Arial"/>
          <w:sz w:val="18"/>
          <w:szCs w:val="18"/>
          <w:u w:val="single" w:color="auto"/>
          <w:color w:val="auto"/>
        </w:rPr>
        <w:t>United Kingdom Holder</w:t>
      </w:r>
      <w:r>
        <w:rPr>
          <w:rFonts w:ascii="Arial" w:cs="Arial" w:eastAsia="Arial" w:hAnsi="Arial"/>
          <w:sz w:val="18"/>
          <w:szCs w:val="18"/>
          <w:color w:val="auto"/>
        </w:rPr>
        <w:t>”.</w:t>
      </w:r>
    </w:p>
    <w:p>
      <w:pPr>
        <w:spacing w:after="0" w:line="11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the event of a conflict between the terms of the Plan, any applicable Program or an Award Agreement and the terms of this Appendix F with respect to a United Kingdom Holder, the terms of this Appendix F shall govern. Capitalized terms used but not defined herein shall have the same meanings assigned to them in the Plan, any applicable Program or the Award Agreements.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w:t>
      </w:r>
      <w:r>
        <w:rPr>
          <w:rFonts w:ascii="Arial" w:cs="Arial" w:eastAsia="Arial" w:hAnsi="Arial"/>
          <w:sz w:val="18"/>
          <w:szCs w:val="18"/>
          <w:u w:val="single" w:color="auto"/>
          <w:color w:val="auto"/>
        </w:rPr>
        <w:t>Taxation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supplements Section 10.2 of the Plan:</w:t>
      </w:r>
    </w:p>
    <w:p>
      <w:pPr>
        <w:spacing w:after="0" w:line="131" w:lineRule="exact"/>
        <w:rPr>
          <w:sz w:val="20"/>
          <w:szCs w:val="20"/>
          <w:color w:val="auto"/>
        </w:rPr>
      </w:pPr>
    </w:p>
    <w:p>
      <w:pPr>
        <w:ind w:left="360" w:right="20"/>
        <w:spacing w:after="0" w:line="274" w:lineRule="auto"/>
        <w:rPr>
          <w:sz w:val="20"/>
          <w:szCs w:val="20"/>
          <w:color w:val="auto"/>
        </w:rPr>
      </w:pPr>
      <w:r>
        <w:rPr>
          <w:rFonts w:ascii="Arial" w:cs="Arial" w:eastAsia="Arial" w:hAnsi="Arial"/>
          <w:sz w:val="16"/>
          <w:szCs w:val="16"/>
          <w:color w:val="auto"/>
        </w:rPr>
        <w:t>(a) The Holder irrevocably agrees to pay to the Company or (if different) the Employer the amount of any Tax Liability or enter into arrangements to the satisfaction of the Company or the Employer (as appropriate) for payment of any Tax Liability. This paragraph and the following paragraphs</w:t>
      </w:r>
    </w:p>
    <w:p>
      <w:pPr>
        <w:spacing w:after="0" w:line="1" w:lineRule="exact"/>
        <w:rPr>
          <w:sz w:val="20"/>
          <w:szCs w:val="20"/>
          <w:color w:val="auto"/>
        </w:rPr>
      </w:pPr>
    </w:p>
    <w:p>
      <w:pPr>
        <w:ind w:left="360" w:right="320" w:firstLine="8"/>
        <w:spacing w:after="0" w:line="286" w:lineRule="auto"/>
        <w:tabs>
          <w:tab w:leader="none" w:pos="6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and (c) shall apply to any Tax Liability to the extent that the Company, any Subsidiary or the Employer is required or authorized, or reasonably believes it is required or authorized, to withhold, pay or account for such Tax Liability, and paragraphs (b) and (c) shall be read accordingly.</w:t>
      </w:r>
    </w:p>
    <w:p>
      <w:pPr>
        <w:spacing w:after="0" w:line="86" w:lineRule="exact"/>
        <w:rPr>
          <w:sz w:val="20"/>
          <w:szCs w:val="20"/>
          <w:color w:val="auto"/>
        </w:rPr>
      </w:pPr>
    </w:p>
    <w:p>
      <w:pPr>
        <w:ind w:left="360"/>
        <w:spacing w:after="0" w:line="246" w:lineRule="auto"/>
        <w:rPr>
          <w:sz w:val="20"/>
          <w:szCs w:val="20"/>
          <w:color w:val="auto"/>
        </w:rPr>
      </w:pPr>
      <w:r>
        <w:rPr>
          <w:rFonts w:ascii="Arial" w:cs="Arial" w:eastAsia="Arial" w:hAnsi="Arial"/>
          <w:sz w:val="17"/>
          <w:szCs w:val="17"/>
          <w:color w:val="auto"/>
        </w:rPr>
        <w:t>(b) The Holder further irrevocably agrees that if the Holder does not pay or the Employer or the Company does not withhold from the Holder the full amount of any Tax Liability that the Holder owes in connection with the grant or exercise of an Award, the transfer or issue of Shares to such Holder on satisfaction of an Award, any restrictions applicable to Shares held by a Holder ceasing to apply to those Shares, the disposal of any Shares, the release or assignment of an Award for consideration, or the receipt of any other benefit in connection with an Award (the “</w:t>
      </w:r>
      <w:r>
        <w:rPr>
          <w:rFonts w:ascii="Arial" w:cs="Arial" w:eastAsia="Arial" w:hAnsi="Arial"/>
          <w:sz w:val="17"/>
          <w:szCs w:val="17"/>
          <w:u w:val="single" w:color="auto"/>
          <w:color w:val="auto"/>
        </w:rPr>
        <w:t>Taxable Event</w:t>
      </w:r>
      <w:r>
        <w:rPr>
          <w:rFonts w:ascii="Arial" w:cs="Arial" w:eastAsia="Arial" w:hAnsi="Arial"/>
          <w:sz w:val="17"/>
          <w:szCs w:val="17"/>
          <w:color w:val="auto"/>
        </w:rPr>
        <w:t>”) within ninety (90) days of the end of the UK tax year in which the Taxable Event occurs, or such other period specified in Section 222(1)(c) of the UK Income Tax (Earnings and Pensions) Act 2003 (“</w:t>
      </w:r>
      <w:r>
        <w:rPr>
          <w:rFonts w:ascii="Arial" w:cs="Arial" w:eastAsia="Arial" w:hAnsi="Arial"/>
          <w:sz w:val="17"/>
          <w:szCs w:val="17"/>
          <w:u w:val="single" w:color="auto"/>
          <w:color w:val="auto"/>
        </w:rPr>
        <w:t>ITEPA 2003</w:t>
      </w:r>
      <w:r>
        <w:rPr>
          <w:rFonts w:ascii="Arial" w:cs="Arial" w:eastAsia="Arial" w:hAnsi="Arial"/>
          <w:sz w:val="17"/>
          <w:szCs w:val="17"/>
          <w:color w:val="auto"/>
        </w:rPr>
        <w:t>”) (the “</w:t>
      </w:r>
      <w:r>
        <w:rPr>
          <w:rFonts w:ascii="Arial" w:cs="Arial" w:eastAsia="Arial" w:hAnsi="Arial"/>
          <w:sz w:val="17"/>
          <w:szCs w:val="17"/>
          <w:u w:val="single" w:color="auto"/>
          <w:color w:val="auto"/>
        </w:rPr>
        <w:t>Due Date</w:t>
      </w:r>
      <w:r>
        <w:rPr>
          <w:rFonts w:ascii="Arial" w:cs="Arial" w:eastAsia="Arial" w:hAnsi="Arial"/>
          <w:sz w:val="17"/>
          <w:szCs w:val="17"/>
          <w:color w:val="auto"/>
        </w:rPr>
        <w:t>”), then the amount of any uncollected Tax Liability shall (unless the Company or (if different) the Employer determines otherwise at its discretion) constitute a loan owed by the Holder to the Company or (if different) the Employer, effective on the Due Date. The Holder agrees that the loan will bear interest at the then-current official rate of Her Majesty’s Revenue and Customs (“</w:t>
      </w:r>
      <w:r>
        <w:rPr>
          <w:rFonts w:ascii="Arial" w:cs="Arial" w:eastAsia="Arial" w:hAnsi="Arial"/>
          <w:sz w:val="17"/>
          <w:szCs w:val="17"/>
          <w:u w:val="single" w:color="auto"/>
          <w:color w:val="auto"/>
        </w:rPr>
        <w:t>HMRC</w:t>
      </w:r>
      <w:r>
        <w:rPr>
          <w:rFonts w:ascii="Arial" w:cs="Arial" w:eastAsia="Arial" w:hAnsi="Arial"/>
          <w:sz w:val="17"/>
          <w:szCs w:val="17"/>
          <w:color w:val="auto"/>
        </w:rPr>
        <w:t>”) and will be immediately due and repayable by the Holder, and the Company or the Employer (as appropriate) may recover it at any time thereafter by any of the means referred to in Section 10.2(c) of the Plan. The Holder also authorizes the Company to withhold the transfer of any Shares unless and until the loan is repaid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40"/>
          </w:cols>
          <w:pgMar w:left="320" w:top="1440" w:right="339" w:bottom="1440" w:gutter="0" w:footer="0" w:header="0"/>
        </w:sectPr>
      </w:pPr>
    </w:p>
    <w:bookmarkStart w:id="35" w:name="page36"/>
    <w:bookmarkEnd w:id="35"/>
    <w:p>
      <w:pPr>
        <w:ind w:left="360"/>
        <w:spacing w:after="0" w:line="247" w:lineRule="auto"/>
        <w:rPr>
          <w:sz w:val="20"/>
          <w:szCs w:val="20"/>
          <w:color w:val="auto"/>
        </w:rPr>
      </w:pPr>
      <w:r>
        <w:rPr>
          <w:rFonts w:ascii="Arial" w:cs="Arial" w:eastAsia="Arial" w:hAnsi="Arial"/>
          <w:sz w:val="17"/>
          <w:szCs w:val="17"/>
          <w:color w:val="auto"/>
        </w:rPr>
        <w:t xml:space="preserve">(c) Notwithstanding the foregoing, if the Holder is a director or other officer of the Company or the Employer (including an executive officer of the Company), the Holder will not be eligible for such a loan to cover any relevant uncollected Tax Liability. In that case, or in any other case where the Company or the Employer determines not to treat the amount of any uncollected Tax Liability as a loan in </w:t>
      </w:r>
      <w:r>
        <w:rPr>
          <w:rFonts w:ascii="Arial" w:cs="Arial" w:eastAsia="Arial" w:hAnsi="Arial"/>
          <w:sz w:val="17"/>
          <w:szCs w:val="17"/>
          <w:u w:val="single" w:color="auto"/>
          <w:color w:val="auto"/>
        </w:rPr>
        <w:t>accordance</w:t>
      </w:r>
      <w:r>
        <w:rPr>
          <w:rFonts w:ascii="Arial" w:cs="Arial" w:eastAsia="Arial" w:hAnsi="Arial"/>
          <w:sz w:val="17"/>
          <w:szCs w:val="17"/>
          <w:color w:val="auto"/>
        </w:rPr>
        <w:t xml:space="preserve"> with the preceding paragraph, the amount of any uncollected Tax Liability that are not collected from or paid by the Holder by the Due Date will constitute a benefit to the Holder on which additional income tax and National Insurance contributions (“NICs”) will be payable. The Holder shall be responsible for reporting and paying any income tax due on this additional benefit directly to HMRC under the self-assessment regime (unless the Company or the Employer has confirmed that such income tax has been accounted for through payroll) and for reimbursing the Company or the Employer (as applicable) for the value of any employee NICs due on this additional benefit which the Company and/or the Employer may recover from the Holder at any time thereafter by any of the means referred to in Section 10.2(c) of the Plan.</w:t>
      </w:r>
    </w:p>
    <w:p>
      <w:pPr>
        <w:spacing w:after="0" w:line="120" w:lineRule="exact"/>
        <w:rPr>
          <w:sz w:val="20"/>
          <w:szCs w:val="20"/>
          <w:color w:val="auto"/>
        </w:rPr>
      </w:pPr>
    </w:p>
    <w:p>
      <w:pPr>
        <w:ind w:left="360" w:right="280"/>
        <w:spacing w:after="0" w:line="246" w:lineRule="auto"/>
        <w:rPr>
          <w:sz w:val="20"/>
          <w:szCs w:val="20"/>
          <w:color w:val="auto"/>
        </w:rPr>
      </w:pPr>
      <w:r>
        <w:rPr>
          <w:rFonts w:ascii="Arial" w:cs="Arial" w:eastAsia="Arial" w:hAnsi="Arial"/>
          <w:sz w:val="18"/>
          <w:szCs w:val="18"/>
          <w:color w:val="auto"/>
        </w:rPr>
        <w:t xml:space="preserve">(d) To the extent required by the Administrator or the Company (or, if different, the Employer), and subject to this </w:t>
      </w:r>
      <w:r>
        <w:rPr>
          <w:rFonts w:ascii="Arial" w:cs="Arial" w:eastAsia="Arial" w:hAnsi="Arial"/>
          <w:sz w:val="18"/>
          <w:szCs w:val="18"/>
          <w:u w:val="single" w:color="auto"/>
          <w:color w:val="auto"/>
        </w:rPr>
        <w:t>being</w:t>
      </w:r>
      <w:r>
        <w:rPr>
          <w:rFonts w:ascii="Arial" w:cs="Arial" w:eastAsia="Arial" w:hAnsi="Arial"/>
          <w:sz w:val="18"/>
          <w:szCs w:val="18"/>
          <w:color w:val="auto"/>
        </w:rPr>
        <w:t xml:space="preserve"> permitted by Applicable Law, the grant, vesting and/or exercise of an Award granted to any Holder shall be conditional on:</w:t>
      </w:r>
    </w:p>
    <w:p>
      <w:pPr>
        <w:spacing w:after="0" w:line="116" w:lineRule="exact"/>
        <w:rPr>
          <w:sz w:val="20"/>
          <w:szCs w:val="20"/>
          <w:color w:val="auto"/>
        </w:rPr>
      </w:pPr>
    </w:p>
    <w:p>
      <w:pPr>
        <w:jc w:val="both"/>
        <w:ind w:left="360" w:right="80"/>
        <w:spacing w:after="0"/>
        <w:rPr>
          <w:sz w:val="20"/>
          <w:szCs w:val="20"/>
          <w:color w:val="auto"/>
        </w:rPr>
      </w:pPr>
      <w:r>
        <w:rPr>
          <w:rFonts w:ascii="Arial" w:cs="Arial" w:eastAsia="Arial" w:hAnsi="Arial"/>
          <w:sz w:val="18"/>
          <w:szCs w:val="18"/>
          <w:color w:val="auto"/>
        </w:rPr>
        <w:t>(e) the Holder entering into a joint election with the Company or (if different) the Employer (as appropriate) pursuant to section 431(1) or 431(2) of ITEPA 2003 (or such other election as the Company or (if different) the Employer may direct for the same purpose) in respect of any Shares acquired (or to be acquired) on the grant, vesting or exercise of the relevant Award; and</w:t>
      </w:r>
    </w:p>
    <w:p>
      <w:pPr>
        <w:spacing w:after="0" w:line="108" w:lineRule="exact"/>
        <w:rPr>
          <w:sz w:val="20"/>
          <w:szCs w:val="20"/>
          <w:color w:val="auto"/>
        </w:rPr>
      </w:pPr>
    </w:p>
    <w:p>
      <w:pPr>
        <w:ind w:left="360" w:right="300"/>
        <w:spacing w:after="0" w:line="238" w:lineRule="auto"/>
        <w:rPr>
          <w:sz w:val="20"/>
          <w:szCs w:val="20"/>
          <w:color w:val="auto"/>
        </w:rPr>
      </w:pPr>
      <w:r>
        <w:rPr>
          <w:rFonts w:ascii="Arial" w:cs="Arial" w:eastAsia="Arial" w:hAnsi="Arial"/>
          <w:sz w:val="18"/>
          <w:szCs w:val="18"/>
          <w:color w:val="auto"/>
        </w:rPr>
        <w:t>(f) the Holder entering into a joint election with the Company or (if different) the Employer (as appropriate), made in accordance with paragraph 3B(1) of Schedule 1 of the UK Social Security Contributions and Benefits Act 1992, to transfer to Holder the liability for and secondary Class 1 (employer) NICs arising in respect of “relevant employment income” as defined in paragraph 3B(1A) of Schedule 1 of the Social Security Contributions and Benefits Act 1992.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2. </w:t>
      </w:r>
      <w:r>
        <w:rPr>
          <w:rFonts w:ascii="Arial" w:cs="Arial" w:eastAsia="Arial" w:hAnsi="Arial"/>
          <w:sz w:val="18"/>
          <w:szCs w:val="18"/>
          <w:u w:val="single" w:color="auto"/>
          <w:color w:val="auto"/>
        </w:rPr>
        <w:t>Transferability of Awards</w:t>
      </w:r>
    </w:p>
    <w:p>
      <w:pPr>
        <w:spacing w:after="0" w:line="14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 Section 10.3(c) of the Plan, all references to a Holder being “married” shall be read as including references to a Holder being in a civil partnership, and all references to a Holder’s “spouse” shall be read as including references to a Holder’s civil partner.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3. </w:t>
      </w:r>
      <w:r>
        <w:rPr>
          <w:rFonts w:ascii="Arial" w:cs="Arial" w:eastAsia="Arial" w:hAnsi="Arial"/>
          <w:sz w:val="18"/>
          <w:szCs w:val="18"/>
          <w:u w:val="single" w:color="auto"/>
          <w:color w:val="auto"/>
        </w:rPr>
        <w:t>Relationship to other Benefits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supplements Section 12.12 of the Plan:</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(a) The Plan shall not form part of any contract of employment between any United Kingdom Holder and his or her Employer.</w:t>
      </w:r>
    </w:p>
    <w:p>
      <w:pPr>
        <w:spacing w:after="0" w:line="144" w:lineRule="exact"/>
        <w:rPr>
          <w:sz w:val="20"/>
          <w:szCs w:val="20"/>
          <w:color w:val="auto"/>
        </w:rPr>
      </w:pPr>
    </w:p>
    <w:p>
      <w:pPr>
        <w:ind w:left="360" w:right="80"/>
        <w:spacing w:after="0" w:line="251" w:lineRule="auto"/>
        <w:rPr>
          <w:sz w:val="20"/>
          <w:szCs w:val="20"/>
          <w:color w:val="auto"/>
        </w:rPr>
      </w:pPr>
      <w:r>
        <w:rPr>
          <w:rFonts w:ascii="Arial" w:cs="Arial" w:eastAsia="Arial" w:hAnsi="Arial"/>
          <w:sz w:val="17"/>
          <w:szCs w:val="17"/>
          <w:color w:val="auto"/>
        </w:rPr>
        <w:t xml:space="preserve">(b) No United Kingdom Holder shall have any right to compensation or damages from the Company, any Subsidiary or the Administrator or any of their respective affiliates on account of any loss of any right to vest or the lapsing, cancellation or forfeiture of any Award under the </w:t>
      </w:r>
      <w:r>
        <w:rPr>
          <w:rFonts w:ascii="Arial" w:cs="Arial" w:eastAsia="Arial" w:hAnsi="Arial"/>
          <w:sz w:val="17"/>
          <w:szCs w:val="17"/>
          <w:u w:val="single" w:color="auto"/>
          <w:color w:val="auto"/>
        </w:rPr>
        <w:t>Plan</w:t>
      </w:r>
      <w:r>
        <w:rPr>
          <w:rFonts w:ascii="Arial" w:cs="Arial" w:eastAsia="Arial" w:hAnsi="Arial"/>
          <w:sz w:val="17"/>
          <w:szCs w:val="17"/>
          <w:color w:val="auto"/>
        </w:rPr>
        <w:t>, where such loss arises (or is claimed to arise) in whole or in part from: (i) the termination of such United Kingdom Holder’s employment by; or (ii) notice to terminate such United Kingdom Holder’s employment given by or to, the Company or any Subsidiary. This exclusion of liability shall apply however the termination of employment, or the giving of notice, is caused, and however compensation or damages may be claimed.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sectPr>
      <w:pgSz w:w="11900" w:h="16838" w:orient="portrait"/>
      <w:cols w:equalWidth="0" w:num="1">
        <w:col w:w="11220"/>
      </w:cols>
      <w:pgMar w:left="320" w:top="13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3"/>
    </w:lvl>
  </w:abstractNum>
  <w:abstractNum w:abstractNumId="2">
    <w:nsid w:val="3F2DBA31"/>
    <w:multiLevelType w:val="hybridMultilevel"/>
    <w:lvl w:ilvl="0">
      <w:lvlJc w:val="left"/>
      <w:lvlText w:val="%1."/>
      <w:numFmt w:val="decimal"/>
      <w:start w:val="5"/>
    </w:lvl>
  </w:abstractNum>
  <w:abstractNum w:abstractNumId="3">
    <w:nsid w:val="7C83E458"/>
    <w:multiLevelType w:val="hybridMultilevel"/>
    <w:lvl w:ilvl="0">
      <w:lvlJc w:val="left"/>
      <w:lvlText w:val="(%1)"/>
      <w:numFmt w:val="upperLetter"/>
      <w:start w:val="1"/>
    </w:lvl>
  </w:abstractNum>
  <w:abstractNum w:abstractNumId="4">
    <w:nsid w:val="257130A3"/>
    <w:multiLevelType w:val="hybridMultilevel"/>
    <w:lvl w:ilvl="0">
      <w:lvlJc w:val="left"/>
      <w:lvlText w:val="%1."/>
      <w:numFmt w:val="decimal"/>
      <w:start w:val="6"/>
    </w:lvl>
  </w:abstractNum>
  <w:abstractNum w:abstractNumId="5">
    <w:nsid w:val="62BBD95A"/>
    <w:multiLevelType w:val="hybridMultilevel"/>
    <w:lvl w:ilvl="0">
      <w:lvlJc w:val="left"/>
      <w:lvlText w:val="(%1)"/>
      <w:numFmt w:val="upperLetter"/>
      <w:start w:val="1"/>
    </w:lvl>
  </w:abstractNum>
  <w:abstractNum w:abstractNumId="6">
    <w:nsid w:val="436C6125"/>
    <w:multiLevelType w:val="hybridMultilevel"/>
    <w:lvl w:ilvl="0">
      <w:lvlJc w:val="left"/>
      <w:lvlText w:val="(%1)"/>
      <w:numFmt w:val="upperLetter"/>
      <w:start w:val="2"/>
    </w:lvl>
  </w:abstractNum>
  <w:abstractNum w:abstractNumId="7">
    <w:nsid w:val="628C895D"/>
    <w:multiLevelType w:val="hybridMultilevel"/>
    <w:lvl w:ilvl="0">
      <w:lvlJc w:val="left"/>
      <w:lvlText w:val="%1."/>
      <w:numFmt w:val="decimal"/>
      <w:start w:val="7"/>
    </w:lvl>
  </w:abstractNum>
  <w:abstractNum w:abstractNumId="8">
    <w:nsid w:val="333AB105"/>
    <w:multiLevelType w:val="hybridMultilevel"/>
    <w:lvl w:ilvl="0">
      <w:lvlJc w:val="left"/>
      <w:lvlText w:val="%1."/>
      <w:numFmt w:val="decimal"/>
      <w:start w:val="8"/>
    </w:lvl>
  </w:abstractNum>
  <w:abstractNum w:abstractNumId="9">
    <w:nsid w:val="721DA317"/>
    <w:multiLevelType w:val="hybridMultilevel"/>
    <w:lvl w:ilvl="0">
      <w:lvlJc w:val="left"/>
      <w:lvlText w:val="%1."/>
      <w:numFmt w:val="decimal"/>
      <w:start w:val="9"/>
    </w:lvl>
  </w:abstractNum>
  <w:abstractNum w:abstractNumId="10">
    <w:nsid w:val="2443A858"/>
    <w:multiLevelType w:val="hybridMultilevel"/>
    <w:lvl w:ilvl="0">
      <w:lvlJc w:val="left"/>
      <w:lvlText w:val="%1."/>
      <w:numFmt w:val="decimal"/>
      <w:start w:val="10"/>
    </w:lvl>
  </w:abstractNum>
  <w:abstractNum w:abstractNumId="11">
    <w:nsid w:val="2D1D5AE9"/>
    <w:multiLevelType w:val="hybridMultilevel"/>
    <w:lvl w:ilvl="0">
      <w:lvlJc w:val="left"/>
      <w:lvlText w:val="(%1)"/>
      <w:numFmt w:val="lowerLetter"/>
      <w:start w:val="4"/>
    </w:lvl>
  </w:abstractNum>
  <w:abstractNum w:abstractNumId="12">
    <w:nsid w:val="6763845E"/>
    <w:multiLevelType w:val="hybridMultilevel"/>
    <w:lvl w:ilvl="0">
      <w:lvlJc w:val="left"/>
      <w:lvlText w:val="%1"/>
      <w:numFmt w:val="decimal"/>
      <w:start w:val="104"/>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Roman"/>
      <w:start w:val="25"/>
    </w:lvl>
  </w:abstractNum>
  <w:abstractNum w:abstractNumId="15">
    <w:nsid w:val="79838CB2"/>
    <w:multiLevelType w:val="hybridMultilevel"/>
    <w:lvl w:ilvl="0">
      <w:lvlJc w:val="left"/>
      <w:lvlText w:val="(%1)"/>
      <w:numFmt w:val="lowerRoman"/>
      <w:start w:val="39"/>
    </w:lvl>
  </w:abstractNum>
  <w:abstractNum w:abstractNumId="16">
    <w:nsid w:val="4353D0CD"/>
    <w:multiLevelType w:val="hybridMultilevel"/>
    <w:lvl w:ilvl="0">
      <w:lvlJc w:val="left"/>
      <w:lvlText w:val="(%1)"/>
      <w:numFmt w:val="lowerRoman"/>
      <w:start w:val="21"/>
    </w:lvl>
  </w:abstractNum>
  <w:abstractNum w:abstractNumId="17">
    <w:nsid w:val="B03E0C6"/>
    <w:multiLevelType w:val="hybridMultilevel"/>
    <w:lvl w:ilvl="0">
      <w:lvlJc w:val="left"/>
      <w:lvlText w:val="(%1)"/>
      <w:numFmt w:val="lowerLetter"/>
      <w:start w:val="2"/>
    </w:lvl>
  </w:abstractNum>
  <w:abstractNum w:abstractNumId="18">
    <w:nsid w:val="189A769B"/>
    <w:multiLevelType w:val="hybridMultilevel"/>
    <w:lvl w:ilvl="0">
      <w:lvlJc w:val="left"/>
      <w:lvlText w:val="(%1)"/>
      <w:numFmt w:val="lowerRoman"/>
      <w:start w:val="3"/>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2"/>
    </w:lvl>
  </w:abstractNum>
  <w:abstractNum w:abstractNumId="23">
    <w:nsid w:val="2901D82"/>
    <w:multiLevelType w:val="hybridMultilevel"/>
    <w:lvl w:ilvl="0">
      <w:lvlJc w:val="left"/>
      <w:lvlText w:val="%1."/>
      <w:numFmt w:val="decimal"/>
      <w:start w:val="3"/>
    </w:lvl>
  </w:abstractNum>
  <w:abstractNum w:abstractNumId="24">
    <w:nsid w:val="3A95F874"/>
    <w:multiLevelType w:val="hybridMultilevel"/>
    <w:lvl w:ilvl="0">
      <w:lvlJc w:val="left"/>
      <w:lvlText w:val="%1."/>
      <w:numFmt w:val="decimal"/>
      <w:start w:val="4"/>
    </w:lvl>
  </w:abstractNum>
  <w:abstractNum w:abstractNumId="25">
    <w:nsid w:val="8138641"/>
    <w:multiLevelType w:val="hybridMultilevel"/>
    <w:lvl w:ilvl="0">
      <w:lvlJc w:val="left"/>
      <w:lvlText w:val="%1."/>
      <w:numFmt w:val="decimal"/>
      <w:start w:val="5"/>
    </w:lvl>
  </w:abstractNum>
  <w:abstractNum w:abstractNumId="26">
    <w:nsid w:val="1E7FF521"/>
    <w:multiLevelType w:val="hybridMultilevel"/>
    <w:lvl w:ilvl="0">
      <w:lvlJc w:val="left"/>
      <w:lvlText w:val="%1."/>
      <w:numFmt w:val="decimal"/>
      <w:start w:val="6"/>
    </w:lvl>
  </w:abstractNum>
  <w:abstractNum w:abstractNumId="27">
    <w:nsid w:val="7C3DBD3D"/>
    <w:multiLevelType w:val="hybridMultilevel"/>
    <w:lvl w:ilvl="0">
      <w:lvlJc w:val="left"/>
      <w:lvlText w:val="%1."/>
      <w:numFmt w:val="decimal"/>
      <w:start w:val="7"/>
    </w:lvl>
  </w:abstractNum>
  <w:abstractNum w:abstractNumId="28">
    <w:nsid w:val="737B8DDC"/>
    <w:multiLevelType w:val="hybridMultilevel"/>
    <w:lvl w:ilvl="0">
      <w:lvlJc w:val="left"/>
      <w:lvlText w:val="%1."/>
      <w:numFmt w:val="decimal"/>
      <w:start w:val="8"/>
    </w:lvl>
  </w:abstractNum>
  <w:abstractNum w:abstractNumId="29">
    <w:nsid w:val="6CEAF087"/>
    <w:multiLevelType w:val="hybridMultilevel"/>
    <w:lvl w:ilvl="0">
      <w:lvlJc w:val="left"/>
      <w:lvlText w:val="%1."/>
      <w:numFmt w:val="decimal"/>
      <w:start w:val="9"/>
    </w:lvl>
  </w:abstractNum>
  <w:abstractNum w:abstractNumId="30">
    <w:nsid w:val="22221A70"/>
    <w:multiLevelType w:val="hybridMultilevel"/>
    <w:lvl w:ilvl="0">
      <w:lvlJc w:val="left"/>
      <w:lvlText w:val="%1."/>
      <w:numFmt w:val="decimal"/>
      <w:start w:val="10"/>
    </w:lvl>
  </w:abstractNum>
  <w:abstractNum w:abstractNumId="31">
    <w:nsid w:val="4516DDE9"/>
    <w:multiLevelType w:val="hybridMultilevel"/>
    <w:lvl w:ilvl="0">
      <w:lvlJc w:val="left"/>
      <w:lvlText w:val="%1."/>
      <w:numFmt w:val="decimal"/>
      <w:start w:val="11"/>
    </w:lvl>
  </w:abstractNum>
  <w:abstractNum w:abstractNumId="32">
    <w:nsid w:val="3006C83E"/>
    <w:multiLevelType w:val="hybridMultilevel"/>
    <w:lvl w:ilvl="0">
      <w:lvlJc w:val="left"/>
      <w:lvlText w:val="(%1)"/>
      <w:numFmt w:val="lowerRoman"/>
      <w:start w:val="2"/>
    </w:lvl>
  </w:abstractNum>
  <w:abstractNum w:abstractNumId="33">
    <w:nsid w:val="614FD4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2023-06-16T07:42:43Z</dcterms:created>
  <dcterms:modified xsi:type="dcterms:W3CDTF">2023-06-16T07:42:43Z</dcterms:modified>
</cp:coreProperties>
</file>