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hanging="452"/>
        <w:spacing w:after="0" w:line="277" w:lineRule="auto"/>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-3509010</wp:posOffset>
            </wp:positionV>
            <wp:extent cx="7178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-3175000</wp:posOffset>
            </wp:positionV>
            <wp:extent cx="7178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-2703195</wp:posOffset>
            </wp:positionV>
            <wp:extent cx="7178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-2368550</wp:posOffset>
            </wp:positionV>
            <wp:extent cx="7178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-2033905</wp:posOffset>
            </wp:positionV>
            <wp:extent cx="7178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-824865</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-490220</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-156210</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252095</wp:posOffset>
            </wp:positionV>
            <wp:extent cx="7178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205740</wp:posOffset>
            </wp:positionV>
            <wp:extent cx="219519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public limited company having its registered office at 5 Merchant Square, London W2 1AY, United Kingdom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incorporated in England and Wales with company number 09451374)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 l ] May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2016 Annual General Meeting of Shareholders of LivaNova PLC (“LivaNova” or the “Company”)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You are invited to attend the 2016 Annual General Meeting of Shareholders of LivaNova, the first since the merger of Sorin S.p.A. and Cyberonics, Inc., to be held at 1:00 p.m. (British Summer Time) on Wednesday 15 June 2016 at the offices of Latham &amp; Watkins (London) LLP, 99 Bishopsgate, London EC2M 3XF, United Kingdom. The accompanying notice of annual general meeting and proxy statement describes the meeting, the resolutions you will be asked to consider and vote upon and related matters.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Your vote is important, regardless of the number of shares that you own. Whether or not you intend to attend the Annual General Meeting, please vote as soon as possible to make sure that your shares are represented. You may vote via the internet, by telephone or by mail by signing, dating and returning your proxy card in the envelope provided. Instructions for holders of domestic depositary interests as to how to direct the depositary to vote the shares underlying such interests are set out in the accompanying proxy statement.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Company’s board of directors considers that all of the resolutions to be put to the Annual General Meeting are in the best interests of the Company and its shareholders as a whole and are most likely to promote the success of the Company. The Company’s board of directors unanimously recommends that you vote “for” each of the proposed resolutions, as the board of directors intends to do in respect of their beneficial holdings, currently amounting to [ l ]% of the issued share capital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support of LivaNova.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Daniel J. Moore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NOTICE OF ANNUAL GENERAL MEETING IS IMPORTANT AND REQUIRES YOUR IMMEDIATE ATTENTION. IF YOU ARE IN ANY DOUBT AS TO ANY ASPECT OF THE PROPOSALS REFERRED TO IN THIS DOCUMENT, OR AS TO THE ACTION YOU SHOULD TAKE, YOU SHOULD IMMEDIATELY CONSULT YOUR STOCKBROKER, BANK MANAGER, SOLICITOR, ACCOUNTANT OR OTHER INDEPENDENT FINANCIAL ADVISER AUTHORISED UNDER THE UK FINANCIAL SERVICES AND MARKETS ACT 2000, OR AN APPROPRIATELY QUALIFIED FINANCIAL ADVISER IF YOU ARE RESIDENT IN ANOTHER JURISDICTION.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HAVE SOLD OR OTHERWISE TRANSFERRED ALL YOUR SHARES IN LIVANOVA PLC, PLEASE FORWARD THIS NOTICE AND THE ACCOMPANYING DOCUMENTS TO THE PURCHASER AND TRANSFEREE OR TO THE 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466725</wp:posOffset>
            </wp:positionV>
            <wp:extent cx="2066925"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6692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public limited company having its registered office at 5 Merchant Square, London W2 1AY, United Kingdom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incorporated in England and Wales with company number 09451374)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2016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To the holders of Ordinary Shares of LivaNova PLC </w:t>
      </w:r>
      <w:r>
        <w:rPr>
          <w:rFonts w:ascii="Arial" w:cs="Arial" w:eastAsia="Arial" w:hAnsi="Arial"/>
          <w:sz w:val="20"/>
          <w:szCs w:val="20"/>
          <w:color w:val="auto"/>
        </w:rPr>
        <w:t>(“</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 is hereby given that the 2016 Annual General Meeting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of Shareholders of LivaNova will be held on Wednesday 15 June 2016 at 1:00 p.m. (British Summer Time)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At the Annual General Meeting, you will be asked to vote on the resolutions contained in Proposals 1 to 10 below. The resolutions included in Proposals 1 to 9 will be proposed as ordinary resolutions and the resolution included in Proposal 10 will be proposed as a special resolution.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Certain of the proposals that shareholders of the Company will be asked to consider may not be familiar to them because, unlike many companies with shares traded on the NASDAQ Global Market, the Company is incorporated under the laws of England and Wales and subject to the UK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The Companies Act obligates the Company to propose certain matters to shareholders for approval that would generally not be subject to periodic approval by shareholders of companies incorporated in the United States, but would be considered routine items for approval by shareholders of companies incorporated in England and Wales.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 – Ordinary resolution regarding the Company’s annual report and accounts</w:t>
      </w:r>
    </w:p>
    <w:p>
      <w:pPr>
        <w:spacing w:after="0" w:line="249" w:lineRule="exact"/>
        <w:rPr>
          <w:sz w:val="20"/>
          <w:szCs w:val="20"/>
          <w:color w:val="auto"/>
        </w:rPr>
      </w:pPr>
    </w:p>
    <w:p>
      <w:pPr>
        <w:ind w:left="460" w:hanging="452"/>
        <w:spacing w:after="0" w:line="260" w:lineRule="auto"/>
        <w:tabs>
          <w:tab w:leader="none" w:pos="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receive and adopt the Company’s audited UK statutory accounts for the period ended 31 December 2015,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49" w:lineRule="exact"/>
        <w:rPr>
          <w:sz w:val="20"/>
          <w:szCs w:val="20"/>
          <w:color w:val="auto"/>
        </w:rPr>
      </w:pPr>
    </w:p>
    <w:p>
      <w:pPr>
        <w:ind w:left="460" w:right="20" w:hanging="452"/>
        <w:spacing w:after="0" w:line="31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directors’ remuneration report (excluding the directors’ remuneration policy, set out at pages 63 to 75 of the directors’ remuneration report) in the form set out in the Company’s UK annual report and accounts for the period ended 31 December 2015.</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regarding the directors’ remuneration policy</w:t>
      </w:r>
    </w:p>
    <w:p>
      <w:pPr>
        <w:spacing w:after="0" w:line="249" w:lineRule="exact"/>
        <w:rPr>
          <w:sz w:val="20"/>
          <w:szCs w:val="20"/>
          <w:color w:val="auto"/>
        </w:rPr>
      </w:pPr>
    </w:p>
    <w:p>
      <w:pPr>
        <w:jc w:val="both"/>
        <w:ind w:left="460" w:hanging="452"/>
        <w:spacing w:after="0" w:line="250" w:lineRule="auto"/>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approve the directors’ remuneration policy set out on pages 63 to 75 of the directors’ remuneration report in the form set out in the Company’s UK annual report and accounts for the period ended 31 December 2015, such policy to take effect immediately after the conclusion of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Ordinary resolution to re-appoint PricewaterhouseCoopers LLP as the company’s UK statutory auditor</w:t>
      </w:r>
    </w:p>
    <w:p>
      <w:pPr>
        <w:spacing w:after="0" w:line="249" w:lineRule="exact"/>
        <w:rPr>
          <w:sz w:val="20"/>
          <w:szCs w:val="20"/>
          <w:color w:val="auto"/>
        </w:rPr>
      </w:pPr>
    </w:p>
    <w:p>
      <w:pPr>
        <w:jc w:val="both"/>
        <w:ind w:left="460" w:hanging="452"/>
        <w:spacing w:after="0" w:line="250" w:lineRule="auto"/>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re-appoint PricewaterhouseCoopers LLP as the Company’s UK statutory auditor under the Companies Act to hold office from the conclusion of the Annual General Meeting until the conclusion of the next general meeting at which the annual report and accounts are laid.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 Ordinary resolution to ratify independent registered public accountancy firm</w:t>
      </w:r>
    </w:p>
    <w:p>
      <w:pPr>
        <w:spacing w:after="0" w:line="249" w:lineRule="exact"/>
        <w:rPr>
          <w:sz w:val="20"/>
          <w:szCs w:val="20"/>
          <w:color w:val="auto"/>
        </w:rPr>
      </w:pPr>
    </w:p>
    <w:p>
      <w:pPr>
        <w:ind w:left="460" w:right="20" w:hanging="452"/>
        <w:spacing w:after="0" w:line="260" w:lineRule="auto"/>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ratify the appointment of PricewaterhouseCoopers S.p.A. as the Company’s independent registered public accounting firm for the year ending 31 December 2016.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 – Ordinary resolution regarding the UK statutory auditor’s remuneration</w:t>
      </w:r>
    </w:p>
    <w:p>
      <w:pPr>
        <w:spacing w:after="0" w:line="249" w:lineRule="exact"/>
        <w:rPr>
          <w:sz w:val="20"/>
          <w:szCs w:val="20"/>
          <w:color w:val="auto"/>
        </w:rPr>
      </w:pPr>
    </w:p>
    <w:p>
      <w:pPr>
        <w:ind w:left="460" w:hanging="452"/>
        <w:spacing w:after="0" w:line="260" w:lineRule="auto"/>
        <w:tabs>
          <w:tab w:leader="none" w:pos="4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To authorise the directors and/or the Audit &amp; Compliance Committee of the Company to determine the remuneration of PricewaterhouseCoopers LLP, in its capacity as the Company’s UK statutory auditor under the Companies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7 – Ordinary resolution regarding the form of share repurchase contract and repurchase counterparties</w:t>
      </w:r>
    </w:p>
    <w:p>
      <w:pPr>
        <w:spacing w:after="0" w:line="24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approve:</w:t>
      </w:r>
    </w:p>
    <w:p>
      <w:pPr>
        <w:spacing w:after="0" w:line="236" w:lineRule="exact"/>
        <w:rPr>
          <w:rFonts w:ascii="Arial" w:cs="Arial" w:eastAsia="Arial" w:hAnsi="Arial"/>
          <w:sz w:val="20"/>
          <w:szCs w:val="20"/>
          <w:color w:val="auto"/>
        </w:rPr>
      </w:pPr>
    </w:p>
    <w:p>
      <w:pPr>
        <w:jc w:val="both"/>
        <w:ind w:left="1600" w:hanging="566"/>
        <w:spacing w:after="0" w:line="262" w:lineRule="auto"/>
        <w:tabs>
          <w:tab w:leader="none" w:pos="16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forms of share repurchase contracts (the “</w:t>
      </w:r>
      <w:r>
        <w:rPr>
          <w:rFonts w:ascii="Arial" w:cs="Arial" w:eastAsia="Arial" w:hAnsi="Arial"/>
          <w:sz w:val="19"/>
          <w:szCs w:val="19"/>
          <w:b w:val="1"/>
          <w:bCs w:val="1"/>
          <w:color w:val="auto"/>
        </w:rPr>
        <w:t>Share Repurchase Contracts</w:t>
      </w:r>
      <w:r>
        <w:rPr>
          <w:rFonts w:ascii="Arial" w:cs="Arial" w:eastAsia="Arial" w:hAnsi="Arial"/>
          <w:sz w:val="19"/>
          <w:szCs w:val="19"/>
          <w:color w:val="auto"/>
        </w:rPr>
        <w:t>”), copies of which are appended to the proxy statement accompanying this notice of Annual General Meeting, for the purchase by the Company of such number of its ordinary shares of £1.00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xml:space="preserve">”) at such prices as may be agreed pursuant to the terms of a Share Repurchase Contract, and the directors of the Company be and are hereby authorised to enter into any Share Repurchase Contract negotiated and agreed with a Bank (as defined in subsection </w:t>
      </w:r>
      <w:r>
        <w:rPr>
          <w:rFonts w:ascii="Arial" w:cs="Arial" w:eastAsia="Arial" w:hAnsi="Arial"/>
          <w:sz w:val="19"/>
          <w:szCs w:val="19"/>
          <w:i w:val="1"/>
          <w:iCs w:val="1"/>
          <w:color w:val="auto"/>
        </w:rPr>
        <w:t>b</w:t>
      </w:r>
      <w:r>
        <w:rPr>
          <w:rFonts w:ascii="Arial" w:cs="Arial" w:eastAsia="Arial" w:hAnsi="Arial"/>
          <w:sz w:val="19"/>
          <w:szCs w:val="19"/>
          <w:color w:val="auto"/>
        </w:rPr>
        <w:t xml:space="preserve"> below); and</w:t>
      </w:r>
    </w:p>
    <w:p>
      <w:pPr>
        <w:spacing w:after="0" w:line="204" w:lineRule="exact"/>
        <w:rPr>
          <w:rFonts w:ascii="Arial" w:cs="Arial" w:eastAsia="Arial" w:hAnsi="Arial"/>
          <w:sz w:val="19"/>
          <w:szCs w:val="19"/>
          <w:color w:val="auto"/>
        </w:rPr>
      </w:pPr>
    </w:p>
    <w:p>
      <w:pPr>
        <w:jc w:val="both"/>
        <w:ind w:left="1600" w:hanging="566"/>
        <w:spacing w:after="0" w:line="250" w:lineRule="auto"/>
        <w:tabs>
          <w:tab w:leader="none" w:pos="16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counterparties with whom the Company may enter into a Share Repurchase Contract, being the counterparties (or their subsidiaries or affiliates from time to time) set out in the proxy statement accompanying this notice of Annual General Meeting (the “</w:t>
      </w:r>
      <w:r>
        <w:rPr>
          <w:rFonts w:ascii="Arial" w:cs="Arial" w:eastAsia="Arial" w:hAnsi="Arial"/>
          <w:sz w:val="20"/>
          <w:szCs w:val="20"/>
          <w:b w:val="1"/>
          <w:bCs w:val="1"/>
          <w:color w:val="auto"/>
        </w:rPr>
        <w:t>Banks</w:t>
      </w:r>
      <w:r>
        <w:rPr>
          <w:rFonts w:ascii="Arial" w:cs="Arial" w:eastAsia="Arial" w:hAnsi="Arial"/>
          <w:sz w:val="20"/>
          <w:szCs w:val="20"/>
          <w:color w:val="auto"/>
        </w:rPr>
        <w:t>”),</w:t>
      </w:r>
    </w:p>
    <w:p>
      <w:pPr>
        <w:spacing w:after="0" w:line="186" w:lineRule="exact"/>
        <w:rPr>
          <w:sz w:val="20"/>
          <w:szCs w:val="20"/>
          <w:color w:val="auto"/>
        </w:rPr>
      </w:pPr>
    </w:p>
    <w:p>
      <w:pPr>
        <w:ind w:left="460" w:right="20"/>
        <w:spacing w:after="0" w:line="260" w:lineRule="auto"/>
        <w:rPr>
          <w:sz w:val="20"/>
          <w:szCs w:val="20"/>
          <w:color w:val="auto"/>
        </w:rPr>
      </w:pPr>
      <w:r>
        <w:rPr>
          <w:rFonts w:ascii="Arial" w:cs="Arial" w:eastAsia="Arial" w:hAnsi="Arial"/>
          <w:sz w:val="20"/>
          <w:szCs w:val="20"/>
          <w:color w:val="auto"/>
        </w:rPr>
        <w:t>provided that, unless previously renewed, varied or revoked by the Company at a general meeting, this authority shall expire on the fifth anniversary of the Annual General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8 – Ordinary resolution regarding on-market purchases of shares</w:t>
      </w:r>
    </w:p>
    <w:p>
      <w:pPr>
        <w:spacing w:after="0" w:line="249" w:lineRule="exact"/>
        <w:rPr>
          <w:sz w:val="20"/>
          <w:szCs w:val="20"/>
          <w:color w:val="auto"/>
        </w:rPr>
      </w:pPr>
    </w:p>
    <w:p>
      <w:pPr>
        <w:jc w:val="both"/>
        <w:ind w:left="460" w:hanging="452"/>
        <w:spacing w:after="0" w:line="263"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Pursuant to and in accordance with section 701 of the Companies Act, to generally and unconditionally authorise the Company to make market purchases (within the meaning of section 693(4) of the Companies Act) of Ordinary Shares on such terms and in such manner as the directors of the Company shall determine from time to time, and, where such Ordinary Shares are held as treasury shares, the Company may use them for the purposes of its employee share plans, provided that:</w:t>
      </w:r>
    </w:p>
    <w:p>
      <w:pPr>
        <w:spacing w:after="0" w:line="203" w:lineRule="exact"/>
        <w:rPr>
          <w:rFonts w:ascii="Arial" w:cs="Arial" w:eastAsia="Arial" w:hAnsi="Arial"/>
          <w:sz w:val="19"/>
          <w:szCs w:val="19"/>
          <w:color w:val="auto"/>
        </w:rPr>
      </w:pPr>
    </w:p>
    <w:p>
      <w:pPr>
        <w:ind w:left="1600" w:hanging="566"/>
        <w:spacing w:after="0"/>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maximum aggregate number of Ordinary Shares hereby authorised to be purchased is [ l ];</w:t>
      </w:r>
    </w:p>
    <w:p>
      <w:pPr>
        <w:spacing w:after="0" w:line="242" w:lineRule="exact"/>
        <w:rPr>
          <w:rFonts w:ascii="Arial" w:cs="Arial" w:eastAsia="Arial" w:hAnsi="Arial"/>
          <w:sz w:val="20"/>
          <w:szCs w:val="20"/>
          <w:color w:val="auto"/>
        </w:rPr>
      </w:pPr>
    </w:p>
    <w:p>
      <w:pPr>
        <w:ind w:left="1600" w:hanging="566"/>
        <w:spacing w:after="0"/>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minimum price (exclusive of all expenses) which may be paid for an Ordinary Share is £1.00;</w:t>
      </w:r>
    </w:p>
    <w:p>
      <w:pPr>
        <w:spacing w:after="0" w:line="242" w:lineRule="exact"/>
        <w:rPr>
          <w:rFonts w:ascii="Arial" w:cs="Arial" w:eastAsia="Arial" w:hAnsi="Arial"/>
          <w:sz w:val="20"/>
          <w:szCs w:val="20"/>
          <w:color w:val="auto"/>
        </w:rPr>
      </w:pPr>
    </w:p>
    <w:p>
      <w:pPr>
        <w:ind w:left="1600" w:hanging="566"/>
        <w:spacing w:after="0"/>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maximum price (exclusive of all expenses) which may be paid for an Ordinary Share is the higher of:</w:t>
      </w:r>
    </w:p>
    <w:p>
      <w:pPr>
        <w:spacing w:after="0" w:line="242" w:lineRule="exact"/>
        <w:rPr>
          <w:rFonts w:ascii="Arial" w:cs="Arial" w:eastAsia="Arial" w:hAnsi="Arial"/>
          <w:sz w:val="20"/>
          <w:szCs w:val="20"/>
          <w:color w:val="auto"/>
        </w:rPr>
      </w:pPr>
    </w:p>
    <w:p>
      <w:pPr>
        <w:ind w:left="2400" w:hanging="569"/>
        <w:spacing w:after="0" w:line="316" w:lineRule="auto"/>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105% of the average of the middle market quotations of an Ordinary Share as derived from the Daily Official List of the London Stock Exchange for the five business days prior to the day the purchase is made; and</w:t>
      </w:r>
    </w:p>
    <w:p>
      <w:pPr>
        <w:spacing w:after="0" w:line="157" w:lineRule="exact"/>
        <w:rPr>
          <w:rFonts w:ascii="Arial" w:cs="Arial" w:eastAsia="Arial" w:hAnsi="Arial"/>
          <w:sz w:val="18"/>
          <w:szCs w:val="18"/>
          <w:color w:val="auto"/>
        </w:rPr>
      </w:pPr>
    </w:p>
    <w:p>
      <w:pPr>
        <w:ind w:left="2400" w:hanging="569"/>
        <w:spacing w:after="0" w:line="260" w:lineRule="auto"/>
        <w:tabs>
          <w:tab w:leader="none" w:pos="2400" w:val="left"/>
        </w:tabs>
        <w:numPr>
          <w:ilvl w:val="2"/>
          <w:numId w:val="12"/>
        </w:numPr>
        <w:rPr>
          <w:rFonts w:ascii="Arial" w:cs="Arial" w:eastAsia="Arial" w:hAnsi="Arial"/>
          <w:sz w:val="20"/>
          <w:szCs w:val="20"/>
          <w:color w:val="auto"/>
        </w:rPr>
      </w:pPr>
      <w:r>
        <w:rPr>
          <w:rFonts w:ascii="Arial" w:cs="Arial" w:eastAsia="Arial" w:hAnsi="Arial"/>
          <w:sz w:val="20"/>
          <w:szCs w:val="20"/>
          <w:color w:val="auto"/>
        </w:rPr>
        <w:t>that stipulated by article 5.1 of the Buy-back and Stabilisation Regulation (EC 2273/2003), which will be replaced by article 5 of the EU Market Abuse Regulation with effect from 3 July 2016;</w:t>
      </w:r>
    </w:p>
    <w:p>
      <w:pPr>
        <w:spacing w:after="0" w:line="203" w:lineRule="exact"/>
        <w:rPr>
          <w:rFonts w:ascii="Arial" w:cs="Arial" w:eastAsia="Arial" w:hAnsi="Arial"/>
          <w:sz w:val="20"/>
          <w:szCs w:val="20"/>
          <w:color w:val="auto"/>
        </w:rPr>
      </w:pPr>
    </w:p>
    <w:p>
      <w:pPr>
        <w:ind w:left="1600" w:hanging="566"/>
        <w:spacing w:after="0" w:line="260" w:lineRule="auto"/>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unless previously renewed, varied or revoked by the Company at a general meeting, this authority shall expire on 30 June 2017 or, if earlier, at the conclusion of the Company’s next annual general meeting; and</w:t>
      </w:r>
    </w:p>
    <w:p>
      <w:pPr>
        <w:spacing w:after="0" w:line="203" w:lineRule="exact"/>
        <w:rPr>
          <w:rFonts w:ascii="Arial" w:cs="Arial" w:eastAsia="Arial" w:hAnsi="Arial"/>
          <w:sz w:val="20"/>
          <w:szCs w:val="20"/>
          <w:color w:val="auto"/>
        </w:rPr>
      </w:pPr>
    </w:p>
    <w:p>
      <w:pPr>
        <w:jc w:val="both"/>
        <w:ind w:left="1600" w:hanging="566"/>
        <w:spacing w:after="0" w:line="250" w:lineRule="auto"/>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Company may, before this authority expires, make a contract to purchase Ordinary Shares that would or might be executed wholly or partly after the expiry of this authority, and may make purchases of Ordinary Shares pursuant to it as if this authority had not expired.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9 – Ordinary resolution regarding electronic communications with shareholders</w:t>
      </w:r>
    </w:p>
    <w:p>
      <w:pPr>
        <w:spacing w:after="0" w:line="249" w:lineRule="exact"/>
        <w:rPr>
          <w:sz w:val="20"/>
          <w:szCs w:val="20"/>
          <w:color w:val="auto"/>
        </w:rPr>
      </w:pPr>
    </w:p>
    <w:p>
      <w:pPr>
        <w:jc w:val="both"/>
        <w:ind w:left="460" w:hanging="452"/>
        <w:spacing w:after="0" w:line="250" w:lineRule="auto"/>
        <w:tabs>
          <w:tab w:leader="none" w:pos="4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To authorise the Company, subject to and in accordance with the provisions of the Companies Act, to send, convey or supply all types of notices, documents or information to shareholders by electronic means, including by making such notices, documents or information available on a website.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10 – Special resolution regarding length of notice for general meetings</w:t>
      </w:r>
    </w:p>
    <w:p>
      <w:pPr>
        <w:spacing w:after="0" w:line="24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authorise the Company to call general meetings, other than an annual general meeting, on not less than 14 clear days’ notice.</w:t>
      </w:r>
    </w:p>
    <w:p>
      <w:pPr>
        <w:spacing w:after="0" w:line="162"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11 – Other business</w:t>
      </w:r>
    </w:p>
    <w:p>
      <w:pPr>
        <w:spacing w:after="0" w:line="249" w:lineRule="exact"/>
        <w:rPr>
          <w:sz w:val="20"/>
          <w:szCs w:val="20"/>
          <w:color w:val="auto"/>
        </w:rPr>
      </w:pPr>
    </w:p>
    <w:p>
      <w:pPr>
        <w:ind w:firstLine="8"/>
        <w:spacing w:after="0" w:line="465" w:lineRule="auto"/>
        <w:tabs>
          <w:tab w:leader="none" w:pos="446" w:val="left"/>
        </w:tabs>
        <w:numPr>
          <w:ilvl w:val="0"/>
          <w:numId w:val="1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General Meeting, or any adjournment or postponement thereof. By order of the Board of Directors,</w:t>
      </w:r>
    </w:p>
    <w:p>
      <w:pPr>
        <w:spacing w:after="0"/>
        <w:rPr>
          <w:sz w:val="20"/>
          <w:szCs w:val="20"/>
          <w:color w:val="auto"/>
        </w:rPr>
      </w:pPr>
      <w:r>
        <w:rPr>
          <w:rFonts w:ascii="Arial" w:cs="Arial" w:eastAsia="Arial" w:hAnsi="Arial"/>
          <w:sz w:val="20"/>
          <w:szCs w:val="20"/>
          <w:color w:val="auto"/>
        </w:rPr>
        <w:t>Brian Sheridan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l ] May 2016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registered office is at 5 Merchant Square, London W2 1AY, United Kingdom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49" w:lineRule="exact"/>
        <w:rPr>
          <w:sz w:val="20"/>
          <w:szCs w:val="20"/>
          <w:color w:val="auto"/>
        </w:rPr>
      </w:pPr>
    </w:p>
    <w:p>
      <w:pPr>
        <w:jc w:val="both"/>
        <w:ind w:left="1020" w:hanging="566"/>
        <w:spacing w:after="0" w:line="32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Proposals 1, 2, 3, 4, 6, 7, 8, 9 and 10 are items that are required to be approved by shareholders periodically under the Companies Act and generally do not have an analogous requirement under United States laws and regulations. As such, while these proposals may be familiar and routine to shareholders accustomed to being shareholders of companies incorporated in England and Wales, other shareholders may be less familiar with these routine proposals and should review and consider each proposal carefully.</w:t>
      </w:r>
    </w:p>
    <w:p>
      <w:pPr>
        <w:spacing w:after="0" w:line="149" w:lineRule="exact"/>
        <w:rPr>
          <w:rFonts w:ascii="Arial" w:cs="Arial" w:eastAsia="Arial" w:hAnsi="Arial"/>
          <w:sz w:val="16"/>
          <w:szCs w:val="16"/>
          <w:color w:val="auto"/>
        </w:rPr>
      </w:pPr>
    </w:p>
    <w:p>
      <w:pPr>
        <w:ind w:left="1020" w:hanging="566"/>
        <w:spacing w:after="0" w:line="267" w:lineRule="auto"/>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accordance with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all resolutions will be taken on a poll. Voting on a poll will mean that each Ordinary Share represented in person or by proxy will be counted in the vote.</w:t>
      </w:r>
    </w:p>
    <w:p>
      <w:pPr>
        <w:spacing w:after="0" w:line="196" w:lineRule="exact"/>
        <w:rPr>
          <w:rFonts w:ascii="Arial" w:cs="Arial" w:eastAsia="Arial" w:hAnsi="Arial"/>
          <w:sz w:val="20"/>
          <w:szCs w:val="20"/>
          <w:color w:val="auto"/>
        </w:rPr>
      </w:pPr>
    </w:p>
    <w:p>
      <w:pPr>
        <w:jc w:val="both"/>
        <w:ind w:left="1020" w:hanging="566"/>
        <w:spacing w:after="0" w:line="27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resolutions included in Proposals 1 to 9 will be proposed as ordinary resolutions, which means that such resolutions must be passed by a simple majority of the total voting rights of shareholders who vote on such resolution, whether in person or by proxy. The results of the shareholder vote on the ordinary resolutions in Proposals 1 and 2 regarding receipt and approval of the UK annual report and accounts and approval of the directors’ remuneration report will not require the board of directors or any committee thereof to take (or refrain from taking) any action. The board of directors values the opinion of shareholders as expressed through such resolutions and will carefully consider the outcome of the resolutions on Proposals 1 and 2. The resolution included in Proposal 10 will be proposed as a special resolution, which means that such resolution must be passed by at least 75% of the total voting rights of shareholders who vote on such resolution, whether in person or by proxy.</w:t>
      </w:r>
    </w:p>
    <w:p>
      <w:pPr>
        <w:spacing w:after="0" w:line="196" w:lineRule="exact"/>
        <w:rPr>
          <w:rFonts w:ascii="Arial" w:cs="Arial" w:eastAsia="Arial" w:hAnsi="Arial"/>
          <w:sz w:val="18"/>
          <w:szCs w:val="18"/>
          <w:color w:val="auto"/>
        </w:rPr>
      </w:pPr>
    </w:p>
    <w:p>
      <w:pPr>
        <w:ind w:left="1020" w:hanging="566"/>
        <w:spacing w:after="0" w:line="260" w:lineRule="auto"/>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Explanatory notes regarding each of the proposals (and related resolutions) are set out in the relevant sections of the accompanying proxy statement.</w:t>
      </w:r>
    </w:p>
    <w:p>
      <w:pPr>
        <w:spacing w:after="0" w:line="197" w:lineRule="exact"/>
        <w:rPr>
          <w:rFonts w:ascii="Arial" w:cs="Arial" w:eastAsia="Arial" w:hAnsi="Arial"/>
          <w:sz w:val="20"/>
          <w:szCs w:val="20"/>
          <w:color w:val="auto"/>
        </w:rPr>
      </w:pPr>
    </w:p>
    <w:p>
      <w:pPr>
        <w:jc w:val="both"/>
        <w:ind w:left="1020" w:hanging="566"/>
        <w:spacing w:after="0" w:line="29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explained in more detail in the accompanying proxy statement, “</w:t>
      </w:r>
      <w:r>
        <w:rPr>
          <w:rFonts w:ascii="Arial" w:cs="Arial" w:eastAsia="Arial" w:hAnsi="Arial"/>
          <w:sz w:val="18"/>
          <w:szCs w:val="18"/>
          <w:b w:val="1"/>
          <w:bCs w:val="1"/>
          <w:color w:val="auto"/>
        </w:rPr>
        <w:t>shareholders of record</w:t>
      </w:r>
      <w:r>
        <w:rPr>
          <w:rFonts w:ascii="Arial" w:cs="Arial" w:eastAsia="Arial" w:hAnsi="Arial"/>
          <w:sz w:val="18"/>
          <w:szCs w:val="18"/>
          <w:color w:val="auto"/>
        </w:rPr>
        <w:t>” are those persons registered in the register of members of the Company in respect of Ordinary Shares. If, however, Ordinary Shares are held for you in a stock brokerage account or by a broker, bank or other nominee, you are considered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those Ordinary Shares.</w:t>
      </w:r>
    </w:p>
    <w:p>
      <w:pPr>
        <w:spacing w:after="0" w:line="177" w:lineRule="exact"/>
        <w:rPr>
          <w:rFonts w:ascii="Arial" w:cs="Arial" w:eastAsia="Arial" w:hAnsi="Arial"/>
          <w:sz w:val="18"/>
          <w:szCs w:val="18"/>
          <w:color w:val="auto"/>
        </w:rPr>
      </w:pPr>
    </w:p>
    <w:p>
      <w:pPr>
        <w:jc w:val="both"/>
        <w:ind w:left="1020" w:hanging="566"/>
        <w:spacing w:after="0" w:line="246" w:lineRule="auto"/>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Beneficial owners of Ordinary Shares as of 26 April 2016 have the right to direct their broker or other agent on how to vote the Ordinary Shares in their account and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w:t>
      </w:r>
    </w:p>
    <w:p>
      <w:pPr>
        <w:spacing w:after="0" w:line="218" w:lineRule="exact"/>
        <w:rPr>
          <w:rFonts w:ascii="Arial" w:cs="Arial" w:eastAsia="Arial" w:hAnsi="Arial"/>
          <w:sz w:val="20"/>
          <w:szCs w:val="20"/>
          <w:color w:val="auto"/>
        </w:rPr>
      </w:pPr>
    </w:p>
    <w:p>
      <w:pPr>
        <w:jc w:val="both"/>
        <w:ind w:left="1020" w:hanging="566"/>
        <w:spacing w:after="0" w:line="27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the provisions of the Companies Act, and in accordance with the Articles, only those persons entered on the register of members of the Company as at 6:00 p.m. (British Summer Time) on 13 June 2016 (or, if the Annual General Meeting is adjourned, 48 hours, excluding non-working days, prior to the adjourned meeting) will be entitled to attend and vote at the Annual General Meeting (or adjourned meeting) and they may only vote in respect of the number of Ordinary Shares registered in their name at that time. Changes to entries on the register of members of the Company after this time will be disregarded in determining the rights of any member to attend or vote at the Annual General Meeting (or adjourned meeting).</w:t>
      </w:r>
    </w:p>
    <w:p>
      <w:pPr>
        <w:spacing w:after="0" w:line="192" w:lineRule="exact"/>
        <w:rPr>
          <w:rFonts w:ascii="Arial" w:cs="Arial" w:eastAsia="Arial" w:hAnsi="Arial"/>
          <w:sz w:val="18"/>
          <w:szCs w:val="18"/>
          <w:color w:val="auto"/>
        </w:rPr>
      </w:pPr>
    </w:p>
    <w:p>
      <w:pPr>
        <w:jc w:val="both"/>
        <w:ind w:left="1020" w:hanging="566"/>
        <w:spacing w:after="0" w:line="250" w:lineRule="auto"/>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Instructions for holders of domestic depositary interests as to how to direct the depositary to vote the Ordinary Shares underlying such interests and obtain a letter of representation from the depositary to enable them to attend, speak at and vote in respect of such underlying Ordinary Shares are set out in the accompanying proxy statement.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020" w:hanging="56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you wish to attend the Annual General Meeting, please follow the procedures set out in the accompanying proxy statement.</w:t>
      </w:r>
    </w:p>
    <w:p>
      <w:pPr>
        <w:spacing w:after="0" w:line="265" w:lineRule="exact"/>
        <w:rPr>
          <w:rFonts w:ascii="Arial" w:cs="Arial" w:eastAsia="Arial" w:hAnsi="Arial"/>
          <w:sz w:val="18"/>
          <w:szCs w:val="18"/>
          <w:color w:val="auto"/>
        </w:rPr>
      </w:pPr>
    </w:p>
    <w:p>
      <w:pPr>
        <w:jc w:val="both"/>
        <w:ind w:left="1020" w:hanging="566"/>
        <w:spacing w:after="0" w:line="244"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shareholder of record attending the Annual General Meeting has the right to ask questions. The Company must cause to be answered any questions put by a shareholder of record attending the meeting relating to the business being dealt with at the Annual General Meeting unless to do so would interfere unduly with the business of the meeting, be undesirable in the interests of the Company or the good order of the meeting, involve the disclosure of confidential information, or if the information has already been given on the Company’s website.</w:t>
      </w:r>
    </w:p>
    <w:p>
      <w:pPr>
        <w:spacing w:after="0" w:line="221" w:lineRule="exact"/>
        <w:rPr>
          <w:rFonts w:ascii="Arial" w:cs="Arial" w:eastAsia="Arial" w:hAnsi="Arial"/>
          <w:sz w:val="20"/>
          <w:szCs w:val="20"/>
          <w:color w:val="auto"/>
        </w:rPr>
      </w:pPr>
    </w:p>
    <w:p>
      <w:pPr>
        <w:jc w:val="both"/>
        <w:ind w:left="1020" w:hanging="566"/>
        <w:spacing w:after="0" w:line="258" w:lineRule="auto"/>
        <w:tabs>
          <w:tab w:leader="none" w:pos="10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accordance with the provisions of the Companies Act, and in accordance with the Articles, a shareholder of record who is entitled to attend and vote at the Annual General Meeting is entitled to appoint another person as his or her proxy to exercise all or any of his or her rights to attend and to speak and vote at the Annual General Meeting and to appoint more than one proxy in relation to the Annual General Meeting (provided that each proxy is appointed to exercise the rights attached to a different Ordinary Share(s)). Such proxy need not be a shareholder of record, but must attend the Annual General Meeting and vote as the shareholder of record instructs for such vote to be counted. Further details regarding the process to appoint a proxy, and the deadlines therefore, are set out in the attached accompanying proxy statement.</w:t>
      </w:r>
    </w:p>
    <w:p>
      <w:pPr>
        <w:spacing w:after="0" w:line="206" w:lineRule="exact"/>
        <w:rPr>
          <w:rFonts w:ascii="Arial" w:cs="Arial" w:eastAsia="Arial" w:hAnsi="Arial"/>
          <w:sz w:val="19"/>
          <w:szCs w:val="19"/>
          <w:color w:val="auto"/>
        </w:rPr>
      </w:pPr>
    </w:p>
    <w:p>
      <w:pPr>
        <w:jc w:val="both"/>
        <w:ind w:left="1020" w:hanging="566"/>
        <w:spacing w:after="0" w:line="250"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results of the polls taken on the resolutions at the Annual General Meeting and any other information required by the Companies Act will be made available on the Company’s website as soon as reasonably practicable following the Annual General Meeting and for a period of two years thereafter.</w:t>
      </w:r>
    </w:p>
    <w:p>
      <w:pPr>
        <w:spacing w:after="0" w:line="213" w:lineRule="exact"/>
        <w:rPr>
          <w:rFonts w:ascii="Arial" w:cs="Arial" w:eastAsia="Arial" w:hAnsi="Arial"/>
          <w:sz w:val="20"/>
          <w:szCs w:val="20"/>
          <w:color w:val="auto"/>
        </w:rPr>
      </w:pPr>
    </w:p>
    <w:p>
      <w:pPr>
        <w:ind w:left="1020" w:right="20" w:hanging="566"/>
        <w:spacing w:after="0" w:line="260"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Information regarding the Annual General Meeting, including the information required by section 311A of the Companies Act, can be found at </w:t>
      </w:r>
      <w:r>
        <w:rPr>
          <w:rFonts w:ascii="Arial" w:cs="Arial" w:eastAsia="Arial" w:hAnsi="Arial"/>
          <w:sz w:val="20"/>
          <w:szCs w:val="20"/>
          <w:i w:val="1"/>
          <w:iCs w:val="1"/>
          <w:color w:val="auto"/>
        </w:rPr>
        <w:t>www.livanova.com.</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Recipients of this notice and the accompanying materials may not use any electronic address provided in this notice or such materials to communicate with the Company for any purposes other than those expressly stated.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of FRS 101 for 2016 and onwards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The Company is proposing that Financial Reporting Standard 101 ‘Reduced Disclosure Framework’ (“ </w:t>
      </w:r>
      <w:r>
        <w:rPr>
          <w:rFonts w:ascii="Arial" w:cs="Arial" w:eastAsia="Arial" w:hAnsi="Arial"/>
          <w:sz w:val="19"/>
          <w:szCs w:val="19"/>
          <w:b w:val="1"/>
          <w:bCs w:val="1"/>
          <w:color w:val="auto"/>
        </w:rPr>
        <w:t>FRS 101</w:t>
      </w:r>
      <w:r>
        <w:rPr>
          <w:rFonts w:ascii="Arial" w:cs="Arial" w:eastAsia="Arial" w:hAnsi="Arial"/>
          <w:sz w:val="19"/>
          <w:szCs w:val="19"/>
          <w:color w:val="auto"/>
        </w:rPr>
        <w:t>”) be adopted for its individual financial statements for the year ending 31 December 2016, and on an ongoing basis until such time as it notifies shareholders of any change to its chosen accounting framework for its parent company financial statements. This will enable the Company to follow the same accounting recognition and measurement principles as for its consolidated group accounts, but present a reduced level of disclosure for individual accounts. After applying FRS 101, the results, financial position and disclosures are expected to be the same as, or follow closely, those reported under the current requirements. The Company’s individual financial statements will still be prepared to meet the requirements of the Companies Act, including giving a true and fair view of the Company’s assets, liabilities and financial position. The Company’s consolidated financial statements will continue to be prepared in accordance with European Union adopted International Financial Reporting Standards and applicable laws.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Before the Company can apply the reduced disclosure framework, it is required to inform its shareholders and provide a reasonable opportunity for its shareholders to object. A shareholder or shareholders holding in aggregate 5% or more of the total allotted shares in the Company may serve objections to the use of the disclosure exemptions by notifying the Company Secretary in writing at 5 Merchant Square, London W2 1AY, United Kingdom by 30 June 2016.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Whether or not you plan to attend the Annual General Meeting, please complete, sign, date and return the accompanying proxy card in the enclosed postage-paid envelope or submit a proxy online at </w:t>
      </w:r>
      <w:r>
        <w:rPr>
          <w:rFonts w:ascii="Arial" w:cs="Arial" w:eastAsia="Arial" w:hAnsi="Arial"/>
          <w:sz w:val="20"/>
          <w:szCs w:val="20"/>
          <w:i w:val="1"/>
          <w:iCs w:val="1"/>
          <w:u w:val="single" w:color="auto"/>
          <w:color w:val="auto"/>
        </w:rPr>
        <w:t>www.proxyvote.com</w:t>
      </w:r>
      <w:r>
        <w:rPr>
          <w:rFonts w:ascii="Arial" w:cs="Arial" w:eastAsia="Arial" w:hAnsi="Arial"/>
          <w:sz w:val="20"/>
          <w:szCs w:val="20"/>
          <w:color w:val="auto"/>
        </w:rPr>
        <w:t xml:space="preserve"> or over the telephone. Please see the paragraph titled “</w:t>
      </w:r>
      <w:r>
        <w:rPr>
          <w:rFonts w:ascii="Arial" w:cs="Arial" w:eastAsia="Arial" w:hAnsi="Arial"/>
          <w:sz w:val="20"/>
          <w:szCs w:val="20"/>
          <w:b w:val="1"/>
          <w:bCs w:val="1"/>
          <w:i w:val="1"/>
          <w:iCs w:val="1"/>
          <w:color w:val="auto"/>
        </w:rPr>
        <w:t>How do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 vote?</w:t>
      </w:r>
      <w:r>
        <w:rPr>
          <w:rFonts w:ascii="Arial" w:cs="Arial" w:eastAsia="Arial" w:hAnsi="Arial"/>
          <w:sz w:val="20"/>
          <w:szCs w:val="20"/>
          <w:color w:val="auto"/>
        </w:rPr>
        <w:t>” in the accompanying proxy statement for details of the deadline by which your proxy must be submitted. Instructions for holders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domestic depositary interests as to how to direct the depositary to vote the Ordinary Shares underlying such interests are also set out in the accompanying proxy statement. Returning the completed proxy card or submitting a proxy online or over the telephone does not deprive you of your right to attend the Annual General Meeting and to vote your Ordinary Shares in person. Please read the accompanying proxy statement carefully.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426"/>
        </w:trPr>
        <w:tc>
          <w:tcPr>
            <w:tcW w:w="8600" w:type="dxa"/>
            <w:vAlign w:val="bottom"/>
            <w:tcBorders>
              <w:bottom w:val="single" w:sz="8" w:color="0000EE"/>
            </w:tcBorders>
            <w:gridSpan w:val="14"/>
          </w:tcPr>
          <w:p>
            <w:pPr>
              <w:spacing w:after="0"/>
              <w:rPr>
                <w:rFonts w:ascii="Arial" w:cs="Arial" w:eastAsia="Arial" w:hAnsi="Arial"/>
                <w:sz w:val="20"/>
                <w:szCs w:val="20"/>
                <w:b w:val="1"/>
                <w:bCs w:val="1"/>
                <w:color w:val="0000EE"/>
                <w:w w:val="98"/>
              </w:rPr>
            </w:pPr>
            <w:hyperlink w:anchor="page13">
              <w:r>
                <w:rPr>
                  <w:rFonts w:ascii="Arial" w:cs="Arial" w:eastAsia="Arial" w:hAnsi="Arial"/>
                  <w:sz w:val="20"/>
                  <w:szCs w:val="20"/>
                  <w:b w:val="1"/>
                  <w:bCs w:val="1"/>
                  <w:color w:val="0000EE"/>
                  <w:w w:val="98"/>
                </w:rPr>
                <w:t>QUESTIONS AND ANSWERS ABOUT THE 2016 ANNUAL GENERAL MEETING AND VOTING</w:t>
              </w:r>
            </w:hyperlink>
          </w:p>
        </w:tc>
        <w:tc>
          <w:tcPr>
            <w:tcW w:w="238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77"/>
        </w:trPr>
        <w:tc>
          <w:tcPr>
            <w:tcW w:w="7820" w:type="dxa"/>
            <w:vAlign w:val="bottom"/>
            <w:tcBorders>
              <w:bottom w:val="single" w:sz="8" w:color="0000EE"/>
            </w:tcBorders>
            <w:gridSpan w:val="12"/>
          </w:tcPr>
          <w:p>
            <w:pPr>
              <w:spacing w:after="0"/>
              <w:rPr>
                <w:rFonts w:ascii="Arial" w:cs="Arial" w:eastAsia="Arial" w:hAnsi="Arial"/>
                <w:sz w:val="20"/>
                <w:szCs w:val="20"/>
                <w:b w:val="1"/>
                <w:bCs w:val="1"/>
                <w:color w:val="0000EE"/>
              </w:rPr>
            </w:pPr>
            <w:hyperlink w:anchor="page24">
              <w:r>
                <w:rPr>
                  <w:rFonts w:ascii="Arial" w:cs="Arial" w:eastAsia="Arial" w:hAnsi="Arial"/>
                  <w:sz w:val="20"/>
                  <w:szCs w:val="20"/>
                  <w:b w:val="1"/>
                  <w:bCs w:val="1"/>
                  <w:color w:val="0000EE"/>
                </w:rPr>
                <w:t>SECURITY OWNERSHIP OF CERTAIN BENEFICIAL OWNERS AND MANAGEMENT</w:t>
              </w:r>
            </w:hyperlink>
          </w:p>
        </w:tc>
        <w:tc>
          <w:tcPr>
            <w:tcW w:w="316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28">
              <w:r>
                <w:rPr>
                  <w:rFonts w:ascii="Arial" w:cs="Arial" w:eastAsia="Arial" w:hAnsi="Arial"/>
                  <w:sz w:val="20"/>
                  <w:szCs w:val="20"/>
                  <w:b w:val="1"/>
                  <w:bCs w:val="1"/>
                  <w:color w:val="0000EE"/>
                </w:rPr>
                <w:t>PROPOSAL 1 – ORDINARY RESOLUTION TO RECEIVE AND ADOPT THE COMPANY’S UK ANNUAL REPORT</w:t>
              </w:r>
            </w:hyperlink>
          </w:p>
        </w:tc>
        <w:tc>
          <w:tcPr>
            <w:tcW w:w="340" w:type="dxa"/>
            <w:vAlign w:val="bottom"/>
          </w:tcPr>
          <w:p>
            <w:pPr>
              <w:spacing w:after="0"/>
              <w:rPr>
                <w:sz w:val="24"/>
                <w:szCs w:val="24"/>
                <w:color w:val="auto"/>
              </w:rPr>
            </w:pPr>
          </w:p>
        </w:tc>
      </w:tr>
      <w:tr>
        <w:trPr>
          <w:trHeight w:val="210"/>
        </w:trPr>
        <w:tc>
          <w:tcPr>
            <w:tcW w:w="1600" w:type="dxa"/>
            <w:vAlign w:val="bottom"/>
            <w:tcBorders>
              <w:top w:val="single" w:sz="8" w:color="0000EE"/>
              <w:bottom w:val="single" w:sz="8" w:color="0000EE"/>
            </w:tcBorders>
          </w:tcPr>
          <w:p>
            <w:pPr>
              <w:spacing w:after="0" w:line="209" w:lineRule="exact"/>
              <w:rPr>
                <w:rFonts w:ascii="Arial" w:cs="Arial" w:eastAsia="Arial" w:hAnsi="Arial"/>
                <w:sz w:val="20"/>
                <w:szCs w:val="20"/>
                <w:b w:val="1"/>
                <w:bCs w:val="1"/>
                <w:color w:val="0000EE"/>
                <w:w w:val="97"/>
              </w:rPr>
            </w:pPr>
            <w:hyperlink w:anchor="page28">
              <w:r>
                <w:rPr>
                  <w:rFonts w:ascii="Arial" w:cs="Arial" w:eastAsia="Arial" w:hAnsi="Arial"/>
                  <w:sz w:val="20"/>
                  <w:szCs w:val="20"/>
                  <w:b w:val="1"/>
                  <w:bCs w:val="1"/>
                  <w:color w:val="0000EE"/>
                  <w:w w:val="97"/>
                </w:rPr>
                <w:t>AND ACCOUNTS</w:t>
              </w:r>
            </w:hyperlink>
          </w:p>
        </w:tc>
        <w:tc>
          <w:tcPr>
            <w:tcW w:w="8600" w:type="dxa"/>
            <w:vAlign w:val="bottom"/>
            <w:tcBorders>
              <w:top w:val="single" w:sz="8" w:color="0000EE"/>
            </w:tcBorders>
            <w:gridSpan w:val="20"/>
          </w:tcPr>
          <w:p>
            <w:pPr>
              <w:spacing w:after="0"/>
              <w:rPr>
                <w:sz w:val="18"/>
                <w:szCs w:val="18"/>
                <w:color w:val="auto"/>
              </w:rPr>
            </w:pPr>
          </w:p>
        </w:tc>
        <w:tc>
          <w:tcPr>
            <w:tcW w:w="780" w:type="dxa"/>
            <w:vAlign w:val="bottom"/>
            <w:gridSpan w:val="4"/>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7"/>
        </w:trPr>
        <w:tc>
          <w:tcPr>
            <w:tcW w:w="8560" w:type="dxa"/>
            <w:vAlign w:val="bottom"/>
            <w:tcBorders>
              <w:bottom w:val="single" w:sz="8" w:color="0000EE"/>
            </w:tcBorders>
            <w:gridSpan w:val="13"/>
          </w:tcPr>
          <w:p>
            <w:pPr>
              <w:spacing w:after="0"/>
              <w:rPr>
                <w:rFonts w:ascii="Arial" w:cs="Arial" w:eastAsia="Arial" w:hAnsi="Arial"/>
                <w:sz w:val="20"/>
                <w:szCs w:val="20"/>
                <w:b w:val="1"/>
                <w:bCs w:val="1"/>
                <w:color w:val="0000EE"/>
                <w:w w:val="99"/>
              </w:rPr>
            </w:pPr>
            <w:hyperlink w:anchor="page29">
              <w:r>
                <w:rPr>
                  <w:rFonts w:ascii="Arial" w:cs="Arial" w:eastAsia="Arial" w:hAnsi="Arial"/>
                  <w:sz w:val="20"/>
                  <w:szCs w:val="20"/>
                  <w:b w:val="1"/>
                  <w:bCs w:val="1"/>
                  <w:color w:val="0000EE"/>
                  <w:w w:val="99"/>
                </w:rPr>
                <w:t>PROPOSAL 2 – ORDINARY RESOLUTION ON THE DIRECTORS’ REMUNERATION REPORT</w:t>
              </w:r>
            </w:hyperlink>
          </w:p>
        </w:tc>
        <w:tc>
          <w:tcPr>
            <w:tcW w:w="242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PROPOSAL 3 – ORDINARY RESOLUTION REGARDING THE DIRECTORS’ REMUNERATION POLICY</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PROPOSAL 4 – ORDINARY RESOLUTION TO RE-APPOINT PRICEWATERHOUSECOOPERS LLP AS THE</w:t>
              </w:r>
            </w:hyperlink>
          </w:p>
        </w:tc>
        <w:tc>
          <w:tcPr>
            <w:tcW w:w="340" w:type="dxa"/>
            <w:vAlign w:val="bottom"/>
          </w:tcPr>
          <w:p>
            <w:pPr>
              <w:spacing w:after="0"/>
              <w:rPr>
                <w:sz w:val="24"/>
                <w:szCs w:val="24"/>
                <w:color w:val="auto"/>
              </w:rPr>
            </w:pPr>
          </w:p>
        </w:tc>
      </w:tr>
      <w:tr>
        <w:trPr>
          <w:trHeight w:val="210"/>
        </w:trPr>
        <w:tc>
          <w:tcPr>
            <w:tcW w:w="3780" w:type="dxa"/>
            <w:vAlign w:val="bottom"/>
            <w:tcBorders>
              <w:top w:val="single" w:sz="8" w:color="0000EE"/>
              <w:bottom w:val="single" w:sz="8" w:color="0000EE"/>
            </w:tcBorders>
            <w:gridSpan w:val="6"/>
          </w:tcPr>
          <w:p>
            <w:pPr>
              <w:spacing w:after="0" w:line="209" w:lineRule="exact"/>
              <w:rPr>
                <w:rFonts w:ascii="Arial" w:cs="Arial" w:eastAsia="Arial" w:hAnsi="Arial"/>
                <w:sz w:val="20"/>
                <w:szCs w:val="20"/>
                <w:b w:val="1"/>
                <w:bCs w:val="1"/>
                <w:color w:val="0000EE"/>
                <w:w w:val="98"/>
              </w:rPr>
            </w:pPr>
            <w:hyperlink w:anchor="page31">
              <w:r>
                <w:rPr>
                  <w:rFonts w:ascii="Arial" w:cs="Arial" w:eastAsia="Arial" w:hAnsi="Arial"/>
                  <w:sz w:val="20"/>
                  <w:szCs w:val="20"/>
                  <w:b w:val="1"/>
                  <w:bCs w:val="1"/>
                  <w:color w:val="0000EE"/>
                  <w:w w:val="98"/>
                </w:rPr>
                <w:t>COMPANY’S UK STATUTORY AUDITOR</w:t>
              </w:r>
            </w:hyperlink>
          </w:p>
        </w:tc>
        <w:tc>
          <w:tcPr>
            <w:tcW w:w="5940" w:type="dxa"/>
            <w:vAlign w:val="bottom"/>
            <w:tcBorders>
              <w:top w:val="single" w:sz="8" w:color="0000EE"/>
            </w:tcBorders>
            <w:gridSpan w:val="13"/>
          </w:tcPr>
          <w:p>
            <w:pPr>
              <w:spacing w:after="0"/>
              <w:rPr>
                <w:sz w:val="18"/>
                <w:szCs w:val="18"/>
                <w:color w:val="auto"/>
              </w:rPr>
            </w:pPr>
          </w:p>
        </w:tc>
        <w:tc>
          <w:tcPr>
            <w:tcW w:w="1260" w:type="dxa"/>
            <w:vAlign w:val="bottom"/>
            <w:gridSpan w:val="6"/>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PROPOSAL 5 – ORDINARY RESOLUTION TO RATIFY APPOINTMENT OF INDEPENDENT REGISTERED PUBLIC</w:t>
              </w:r>
            </w:hyperlink>
          </w:p>
        </w:tc>
        <w:tc>
          <w:tcPr>
            <w:tcW w:w="340" w:type="dxa"/>
            <w:vAlign w:val="bottom"/>
          </w:tcPr>
          <w:p>
            <w:pPr>
              <w:spacing w:after="0"/>
              <w:rPr>
                <w:sz w:val="24"/>
                <w:szCs w:val="24"/>
                <w:color w:val="auto"/>
              </w:rPr>
            </w:pPr>
          </w:p>
        </w:tc>
      </w:tr>
      <w:tr>
        <w:trPr>
          <w:trHeight w:val="210"/>
        </w:trPr>
        <w:tc>
          <w:tcPr>
            <w:tcW w:w="196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ACCOUNTING FIRM</w:t>
              </w:r>
            </w:hyperlink>
          </w:p>
        </w:tc>
        <w:tc>
          <w:tcPr>
            <w:tcW w:w="8540" w:type="dxa"/>
            <w:vAlign w:val="bottom"/>
            <w:tcBorders>
              <w:top w:val="single" w:sz="8" w:color="0000EE"/>
            </w:tcBorders>
            <w:gridSpan w:val="20"/>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7"/>
        </w:trPr>
        <w:tc>
          <w:tcPr>
            <w:tcW w:w="10440" w:type="dxa"/>
            <w:vAlign w:val="bottom"/>
            <w:tcBorders>
              <w:bottom w:val="single" w:sz="8" w:color="0000EE"/>
            </w:tcBorders>
            <w:gridSpan w:val="22"/>
          </w:tcPr>
          <w:p>
            <w:pPr>
              <w:spacing w:after="0"/>
              <w:rPr>
                <w:rFonts w:ascii="Arial" w:cs="Arial" w:eastAsia="Arial" w:hAnsi="Arial"/>
                <w:sz w:val="20"/>
                <w:szCs w:val="20"/>
                <w:b w:val="1"/>
                <w:bCs w:val="1"/>
                <w:color w:val="0000EE"/>
                <w:w w:val="99"/>
              </w:rPr>
            </w:pPr>
            <w:hyperlink w:anchor="page33">
              <w:r>
                <w:rPr>
                  <w:rFonts w:ascii="Arial" w:cs="Arial" w:eastAsia="Arial" w:hAnsi="Arial"/>
                  <w:sz w:val="20"/>
                  <w:szCs w:val="20"/>
                  <w:b w:val="1"/>
                  <w:bCs w:val="1"/>
                  <w:color w:val="0000EE"/>
                  <w:w w:val="99"/>
                </w:rPr>
                <w:t>PROPOSAL 6 – ORDINARY RESOLUTION TO AUTHORISE THE BOARD OF DIRECTORS AND/OR THE AUDIT &amp;</w:t>
              </w:r>
            </w:hyperlink>
          </w:p>
        </w:tc>
        <w:tc>
          <w:tcPr>
            <w:tcW w:w="54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0480" w:type="dxa"/>
            <w:vAlign w:val="bottom"/>
            <w:tcBorders>
              <w:bottom w:val="single" w:sz="8" w:color="0000EE"/>
            </w:tcBorders>
            <w:gridSpan w:val="23"/>
          </w:tcPr>
          <w:p>
            <w:pPr>
              <w:spacing w:after="0" w:line="209" w:lineRule="exact"/>
              <w:rPr>
                <w:rFonts w:ascii="Arial" w:cs="Arial" w:eastAsia="Arial" w:hAnsi="Arial"/>
                <w:sz w:val="20"/>
                <w:szCs w:val="20"/>
                <w:b w:val="1"/>
                <w:bCs w:val="1"/>
                <w:color w:val="0000EE"/>
              </w:rPr>
            </w:pPr>
            <w:hyperlink w:anchor="page33">
              <w:r>
                <w:rPr>
                  <w:rFonts w:ascii="Arial" w:cs="Arial" w:eastAsia="Arial" w:hAnsi="Arial"/>
                  <w:sz w:val="20"/>
                  <w:szCs w:val="20"/>
                  <w:b w:val="1"/>
                  <w:bCs w:val="1"/>
                  <w:color w:val="0000EE"/>
                </w:rPr>
                <w:t>COMPLIANCE COMMITTEE TO DETERMINE THE COMPANY’S UK STATUTORY AUDITOR’S REMUNERATION</w:t>
              </w:r>
            </w:hyperlink>
          </w:p>
        </w:tc>
        <w:tc>
          <w:tcPr>
            <w:tcW w:w="5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7"/>
        </w:trPr>
        <w:tc>
          <w:tcPr>
            <w:tcW w:w="10120" w:type="dxa"/>
            <w:vAlign w:val="bottom"/>
            <w:tcBorders>
              <w:bottom w:val="single" w:sz="8" w:color="0000EE"/>
            </w:tcBorders>
            <w:gridSpan w:val="20"/>
          </w:tcPr>
          <w:p>
            <w:pPr>
              <w:spacing w:after="0"/>
              <w:rPr>
                <w:rFonts w:ascii="Arial" w:cs="Arial" w:eastAsia="Arial" w:hAnsi="Arial"/>
                <w:sz w:val="20"/>
                <w:szCs w:val="20"/>
                <w:b w:val="1"/>
                <w:bCs w:val="1"/>
                <w:color w:val="0000EE"/>
                <w:w w:val="98"/>
              </w:rPr>
            </w:pPr>
            <w:hyperlink w:anchor="page34">
              <w:r>
                <w:rPr>
                  <w:rFonts w:ascii="Arial" w:cs="Arial" w:eastAsia="Arial" w:hAnsi="Arial"/>
                  <w:sz w:val="20"/>
                  <w:szCs w:val="20"/>
                  <w:b w:val="1"/>
                  <w:bCs w:val="1"/>
                  <w:color w:val="0000EE"/>
                  <w:w w:val="98"/>
                </w:rPr>
                <w:t>PROPOSAL 7 – ORDINARY RESOLUTION TO APPROVE FORM OF SHARE REPURCHASE CONTRACTS AND</w:t>
              </w:r>
            </w:hyperlink>
          </w:p>
        </w:tc>
        <w:tc>
          <w:tcPr>
            <w:tcW w:w="86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0980" w:type="dxa"/>
            <w:vAlign w:val="bottom"/>
            <w:gridSpan w:val="25"/>
          </w:tcPr>
          <w:p>
            <w:pPr>
              <w:spacing w:after="0" w:line="209" w:lineRule="exact"/>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REPURCHASE COUNTERPARTIES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6">
              <w:r>
                <w:rPr>
                  <w:rFonts w:ascii="Arial" w:cs="Arial" w:eastAsia="Arial" w:hAnsi="Arial"/>
                  <w:sz w:val="20"/>
                  <w:szCs w:val="20"/>
                  <w:b w:val="1"/>
                  <w:bCs w:val="1"/>
                  <w:color w:val="0000EE"/>
                </w:rPr>
                <w:t>PROPOSAL 8 – ORDINARY RESOLUTION REGARDING ON-MARKET SHARE REPURCHASES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7">
              <w:r>
                <w:rPr>
                  <w:rFonts w:ascii="Arial" w:cs="Arial" w:eastAsia="Arial" w:hAnsi="Arial"/>
                  <w:sz w:val="20"/>
                  <w:szCs w:val="20"/>
                  <w:b w:val="1"/>
                  <w:bCs w:val="1"/>
                  <w:color w:val="0000EE"/>
                </w:rPr>
                <w:t>PROPOSAL 9 – ORDINARY RESOLUTION REGARDING ELECTRONIC COMMUNICATIONS WITH</w:t>
              </w:r>
            </w:hyperlink>
          </w:p>
        </w:tc>
        <w:tc>
          <w:tcPr>
            <w:tcW w:w="340" w:type="dxa"/>
            <w:vAlign w:val="bottom"/>
          </w:tcPr>
          <w:p>
            <w:pPr>
              <w:spacing w:after="0"/>
              <w:rPr>
                <w:sz w:val="24"/>
                <w:szCs w:val="24"/>
                <w:color w:val="auto"/>
              </w:rPr>
            </w:pPr>
          </w:p>
        </w:tc>
      </w:tr>
      <w:tr>
        <w:trPr>
          <w:trHeight w:val="210"/>
        </w:trPr>
        <w:tc>
          <w:tcPr>
            <w:tcW w:w="16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b w:val="1"/>
                <w:bCs w:val="1"/>
                <w:color w:val="0000EE"/>
                <w:w w:val="97"/>
              </w:rPr>
            </w:pPr>
            <w:hyperlink w:anchor="page37">
              <w:r>
                <w:rPr>
                  <w:rFonts w:ascii="Arial" w:cs="Arial" w:eastAsia="Arial" w:hAnsi="Arial"/>
                  <w:sz w:val="20"/>
                  <w:szCs w:val="20"/>
                  <w:b w:val="1"/>
                  <w:bCs w:val="1"/>
                  <w:color w:val="0000EE"/>
                  <w:w w:val="97"/>
                </w:rPr>
                <w:t>SHAREHOLDERS</w:t>
              </w:r>
            </w:hyperlink>
          </w:p>
        </w:tc>
        <w:tc>
          <w:tcPr>
            <w:tcW w:w="7460" w:type="dxa"/>
            <w:vAlign w:val="bottom"/>
            <w:tcBorders>
              <w:top w:val="single" w:sz="8" w:color="0000EE"/>
            </w:tcBorders>
            <w:gridSpan w:val="14"/>
          </w:tcPr>
          <w:p>
            <w:pPr>
              <w:spacing w:after="0"/>
              <w:rPr>
                <w:sz w:val="18"/>
                <w:szCs w:val="18"/>
                <w:color w:val="auto"/>
              </w:rPr>
            </w:pPr>
          </w:p>
        </w:tc>
        <w:tc>
          <w:tcPr>
            <w:tcW w:w="1860" w:type="dxa"/>
            <w:vAlign w:val="bottom"/>
            <w:gridSpan w:val="9"/>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8">
              <w:r>
                <w:rPr>
                  <w:rFonts w:ascii="Arial" w:cs="Arial" w:eastAsia="Arial" w:hAnsi="Arial"/>
                  <w:sz w:val="20"/>
                  <w:szCs w:val="20"/>
                  <w:b w:val="1"/>
                  <w:bCs w:val="1"/>
                  <w:color w:val="0000EE"/>
                </w:rPr>
                <w:t>PROPOSAL 10 – SPECIAL RESOLUTION REGARDING LENGTH OF NOTICE FOR GENERAL MEETINGS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7"/>
        </w:trPr>
        <w:tc>
          <w:tcPr>
            <w:tcW w:w="7380" w:type="dxa"/>
            <w:vAlign w:val="bottom"/>
            <w:tcBorders>
              <w:top w:val="single" w:sz="8" w:color="0000EE"/>
              <w:bottom w:val="single" w:sz="8" w:color="0000EE"/>
            </w:tcBorders>
            <w:gridSpan w:val="11"/>
          </w:tcPr>
          <w:p>
            <w:pPr>
              <w:spacing w:after="0"/>
              <w:rPr>
                <w:rFonts w:ascii="Arial" w:cs="Arial" w:eastAsia="Arial" w:hAnsi="Arial"/>
                <w:sz w:val="20"/>
                <w:szCs w:val="20"/>
                <w:b w:val="1"/>
                <w:bCs w:val="1"/>
                <w:color w:val="0000EE"/>
                <w:w w:val="97"/>
              </w:rPr>
            </w:pPr>
            <w:hyperlink w:anchor="page39">
              <w:r>
                <w:rPr>
                  <w:rFonts w:ascii="Arial" w:cs="Arial" w:eastAsia="Arial" w:hAnsi="Arial"/>
                  <w:sz w:val="20"/>
                  <w:szCs w:val="20"/>
                  <w:b w:val="1"/>
                  <w:bCs w:val="1"/>
                  <w:color w:val="0000EE"/>
                  <w:w w:val="97"/>
                </w:rPr>
                <w:t>SHAREHOLDERS’ REQUESTS UNDER SECTION 527 OF THE COMPANIES ACT</w:t>
              </w:r>
            </w:hyperlink>
          </w:p>
        </w:tc>
        <w:tc>
          <w:tcPr>
            <w:tcW w:w="2320" w:type="dxa"/>
            <w:vAlign w:val="bottom"/>
            <w:tcBorders>
              <w:top w:val="single" w:sz="8" w:color="0000EE"/>
            </w:tcBorders>
            <w:gridSpan w:val="7"/>
          </w:tcPr>
          <w:p>
            <w:pPr>
              <w:spacing w:after="0"/>
              <w:rPr>
                <w:sz w:val="24"/>
                <w:szCs w:val="24"/>
                <w:color w:val="auto"/>
              </w:rPr>
            </w:pPr>
          </w:p>
        </w:tc>
        <w:tc>
          <w:tcPr>
            <w:tcW w:w="12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SHAREHOLDER PROPOSALS FOR 2017 ANNUAL GENERAL MEETING</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7"/>
        </w:trPr>
        <w:tc>
          <w:tcPr>
            <w:tcW w:w="4220" w:type="dxa"/>
            <w:vAlign w:val="bottom"/>
            <w:tcBorders>
              <w:top w:val="single" w:sz="8" w:color="0000EE"/>
              <w:bottom w:val="single" w:sz="8" w:color="0000EE"/>
            </w:tcBorders>
            <w:gridSpan w:val="7"/>
          </w:tcPr>
          <w:p>
            <w:pPr>
              <w:spacing w:after="0"/>
              <w:rPr>
                <w:rFonts w:ascii="Arial" w:cs="Arial" w:eastAsia="Arial" w:hAnsi="Arial"/>
                <w:sz w:val="20"/>
                <w:szCs w:val="20"/>
                <w:b w:val="1"/>
                <w:bCs w:val="1"/>
                <w:color w:val="0000EE"/>
                <w:w w:val="98"/>
              </w:rPr>
            </w:pPr>
            <w:hyperlink w:anchor="page40">
              <w:r>
                <w:rPr>
                  <w:rFonts w:ascii="Arial" w:cs="Arial" w:eastAsia="Arial" w:hAnsi="Arial"/>
                  <w:sz w:val="20"/>
                  <w:szCs w:val="20"/>
                  <w:b w:val="1"/>
                  <w:bCs w:val="1"/>
                  <w:color w:val="0000EE"/>
                  <w:w w:val="98"/>
                </w:rPr>
                <w:t>DOCUMENTS AVAILABLE FOR INSPECTION</w:t>
              </w:r>
            </w:hyperlink>
          </w:p>
        </w:tc>
        <w:tc>
          <w:tcPr>
            <w:tcW w:w="2400" w:type="dxa"/>
            <w:vAlign w:val="bottom"/>
            <w:tcBorders>
              <w:top w:val="single" w:sz="8" w:color="0000EE"/>
            </w:tcBorders>
            <w:gridSpan w:val="3"/>
          </w:tcPr>
          <w:p>
            <w:pPr>
              <w:spacing w:after="0"/>
              <w:rPr>
                <w:sz w:val="24"/>
                <w:szCs w:val="24"/>
                <w:color w:val="auto"/>
              </w:rPr>
            </w:pPr>
          </w:p>
        </w:tc>
        <w:tc>
          <w:tcPr>
            <w:tcW w:w="436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7"/>
        </w:trPr>
        <w:tc>
          <w:tcPr>
            <w:tcW w:w="1740" w:type="dxa"/>
            <w:vAlign w:val="bottom"/>
            <w:tcBorders>
              <w:bottom w:val="single" w:sz="8" w:color="0000EE"/>
            </w:tcBorders>
            <w:gridSpan w:val="3"/>
          </w:tcPr>
          <w:p>
            <w:pPr>
              <w:spacing w:after="0"/>
              <w:rPr>
                <w:rFonts w:ascii="Arial" w:cs="Arial" w:eastAsia="Arial" w:hAnsi="Arial"/>
                <w:sz w:val="20"/>
                <w:szCs w:val="20"/>
                <w:b w:val="1"/>
                <w:bCs w:val="1"/>
                <w:color w:val="0000EE"/>
                <w:w w:val="99"/>
              </w:rPr>
            </w:pPr>
            <w:hyperlink w:anchor="page40">
              <w:r>
                <w:rPr>
                  <w:rFonts w:ascii="Arial" w:cs="Arial" w:eastAsia="Arial" w:hAnsi="Arial"/>
                  <w:sz w:val="20"/>
                  <w:szCs w:val="20"/>
                  <w:b w:val="1"/>
                  <w:bCs w:val="1"/>
                  <w:color w:val="0000EE"/>
                  <w:w w:val="99"/>
                </w:rPr>
                <w:t>OTHER MATTERS</w:t>
              </w:r>
            </w:hyperlink>
          </w:p>
        </w:tc>
        <w:tc>
          <w:tcPr>
            <w:tcW w:w="924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APPENDIX A FORM OF SHARE REPURCHASE CONTRACT</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7"/>
        </w:trPr>
        <w:tc>
          <w:tcPr>
            <w:tcW w:w="4460" w:type="dxa"/>
            <w:vAlign w:val="bottom"/>
            <w:tcBorders>
              <w:top w:val="single" w:sz="8" w:color="0000EE"/>
              <w:bottom w:val="single" w:sz="8" w:color="0000EE"/>
            </w:tcBorders>
            <w:gridSpan w:val="8"/>
          </w:tcPr>
          <w:p>
            <w:pPr>
              <w:spacing w:after="0"/>
              <w:rPr>
                <w:rFonts w:ascii="Arial" w:cs="Arial" w:eastAsia="Arial" w:hAnsi="Arial"/>
                <w:sz w:val="20"/>
                <w:szCs w:val="20"/>
                <w:b w:val="1"/>
                <w:bCs w:val="1"/>
                <w:color w:val="0000EE"/>
                <w:w w:val="96"/>
              </w:rPr>
            </w:pPr>
            <w:hyperlink w:anchor="page44">
              <w:r>
                <w:rPr>
                  <w:rFonts w:ascii="Arial" w:cs="Arial" w:eastAsia="Arial" w:hAnsi="Arial"/>
                  <w:sz w:val="20"/>
                  <w:szCs w:val="20"/>
                  <w:b w:val="1"/>
                  <w:bCs w:val="1"/>
                  <w:color w:val="0000EE"/>
                  <w:w w:val="96"/>
                </w:rPr>
                <w:t>APPENDIX B RULE 10B5-1 REPURCHASE PLAN</w:t>
              </w:r>
            </w:hyperlink>
          </w:p>
        </w:tc>
        <w:tc>
          <w:tcPr>
            <w:tcW w:w="1060" w:type="dxa"/>
            <w:vAlign w:val="bottom"/>
            <w:tcBorders>
              <w:top w:val="single" w:sz="8" w:color="0000EE"/>
            </w:tcBorders>
          </w:tcPr>
          <w:p>
            <w:pPr>
              <w:spacing w:after="0"/>
              <w:rPr>
                <w:sz w:val="24"/>
                <w:szCs w:val="24"/>
                <w:color w:val="auto"/>
              </w:rPr>
            </w:pPr>
          </w:p>
        </w:tc>
        <w:tc>
          <w:tcPr>
            <w:tcW w:w="546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205740</wp:posOffset>
            </wp:positionV>
            <wp:extent cx="2066925" cy="626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6692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 Merchant Square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London W2 1AY</w:t>
      </w: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number: 09451374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THE 2016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ANNUAL GENERAL MEETING OF SHAREHOLDERS – WEDNESDAY 15 JUNE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THIS PROXY STATEMENT AND THE 2016 ANNUAL GENERAL MEETING</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of directors of LivaNova PLC (“</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is soliciting your proxy to vote at the 2016 Annual General Meeting of Shareholders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to be held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 at 1:00 p.m. (British Summer Time) on Wednesday 15 June 2016, and at any adjournment or postponement thereof.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On [</w:t>
      </w:r>
      <w:r>
        <w:rPr>
          <w:rFonts w:ascii="Arial" w:cs="Arial" w:eastAsia="Arial" w:hAnsi="Arial"/>
          <w:sz w:val="18"/>
          <w:szCs w:val="18"/>
          <w:color w:val="auto"/>
        </w:rPr>
        <w:t>l</w:t>
      </w:r>
      <w:r>
        <w:rPr>
          <w:rFonts w:ascii="Arial" w:cs="Arial" w:eastAsia="Arial" w:hAnsi="Arial"/>
          <w:sz w:val="18"/>
          <w:szCs w:val="18"/>
          <w:b w:val="1"/>
          <w:bCs w:val="1"/>
          <w:color w:val="auto"/>
        </w:rPr>
        <w:t>] May 2016, we began mailing this proxy statement, the accompanying proxy card and our 2015 UK annual report and accounts. Copies of these materials, along with our Transition Report on Form 10-K/T, as amended (“US Transition Report”), filed with the United States (“US”) Securities and Exchange Commission (“SEC”), may be accessed free of charge through our website (</w:t>
      </w:r>
      <w:r>
        <w:rPr>
          <w:rFonts w:ascii="Arial" w:cs="Arial" w:eastAsia="Arial" w:hAnsi="Arial"/>
          <w:sz w:val="18"/>
          <w:szCs w:val="18"/>
          <w:b w:val="1"/>
          <w:bCs w:val="1"/>
          <w:i w:val="1"/>
          <w:iCs w:val="1"/>
          <w:color w:val="auto"/>
        </w:rPr>
        <w:t>www.livanova.com</w:t>
      </w:r>
      <w:r>
        <w:rPr>
          <w:rFonts w:ascii="Arial" w:cs="Arial" w:eastAsia="Arial" w:hAnsi="Arial"/>
          <w:sz w:val="18"/>
          <w:szCs w:val="18"/>
          <w:b w:val="1"/>
          <w:bCs w:val="1"/>
          <w:color w:val="auto"/>
        </w:rPr>
        <w:t>). Requests for mailed copies of the US Transition Report may also be submitted to the Office of the Company Secretary of LivaNova at 5 Merchant Square, London W2 1AY, United Kingdom (exhibits will be furnished upon payment of a nominal fee, which fee will be limited to the expenses we incur in providing you with the requested exhibits).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LivaNova was formed, along with its wholly owned subsidiary, Cypher Merger Sub, Inc., a Delaware corporation (“</w:t>
      </w:r>
      <w:r>
        <w:rPr>
          <w:rFonts w:ascii="Arial" w:cs="Arial" w:eastAsia="Arial" w:hAnsi="Arial"/>
          <w:sz w:val="19"/>
          <w:szCs w:val="19"/>
          <w:b w:val="1"/>
          <w:bCs w:val="1"/>
          <w:color w:val="auto"/>
        </w:rPr>
        <w:t>Merger Sub</w:t>
      </w:r>
      <w:r>
        <w:rPr>
          <w:rFonts w:ascii="Arial" w:cs="Arial" w:eastAsia="Arial" w:hAnsi="Arial"/>
          <w:sz w:val="19"/>
          <w:szCs w:val="19"/>
          <w:color w:val="auto"/>
        </w:rPr>
        <w:t>”), on 20 February 2015 for the purpose of facilitating the business combination of Cyberonics, Inc., a Delaware corporation (“</w:t>
      </w:r>
      <w:r>
        <w:rPr>
          <w:rFonts w:ascii="Arial" w:cs="Arial" w:eastAsia="Arial" w:hAnsi="Arial"/>
          <w:sz w:val="19"/>
          <w:szCs w:val="19"/>
          <w:b w:val="1"/>
          <w:bCs w:val="1"/>
          <w:color w:val="auto"/>
        </w:rPr>
        <w:t>Cyberonics</w:t>
      </w:r>
      <w:r>
        <w:rPr>
          <w:rFonts w:ascii="Arial" w:cs="Arial" w:eastAsia="Arial" w:hAnsi="Arial"/>
          <w:sz w:val="19"/>
          <w:szCs w:val="19"/>
          <w:color w:val="auto"/>
        </w:rPr>
        <w:t>”), and Sorin S.p.A., a joint stock company organised under the laws of Italy and, prior the combination, the parent company to LivaNova (“</w:t>
      </w:r>
      <w:r>
        <w:rPr>
          <w:rFonts w:ascii="Arial" w:cs="Arial" w:eastAsia="Arial" w:hAnsi="Arial"/>
          <w:sz w:val="19"/>
          <w:szCs w:val="19"/>
          <w:b w:val="1"/>
          <w:bCs w:val="1"/>
          <w:color w:val="auto"/>
        </w:rPr>
        <w:t>Sorin</w:t>
      </w:r>
      <w:r>
        <w:rPr>
          <w:rFonts w:ascii="Arial" w:cs="Arial" w:eastAsia="Arial" w:hAnsi="Arial"/>
          <w:sz w:val="19"/>
          <w:szCs w:val="19"/>
          <w:color w:val="auto"/>
        </w:rPr>
        <w:t>”). On 19 October 2015, pursuant to the terms of a definitive transaction agreement entered into by LivaNova, Cyberonics, Sorin and Merger Sub, dated 23 March 2015, Sorin merged with and into LivaNova, with LivaNova continuing as the surviving company, immediately followed by the merger of Merger Sub with and into Cyberonics, with Cyberonics continuing as the surviving company and as a wholly owned subsidiary of LivaNova (together, the “</w:t>
      </w:r>
      <w:r>
        <w:rPr>
          <w:rFonts w:ascii="Arial" w:cs="Arial" w:eastAsia="Arial" w:hAnsi="Arial"/>
          <w:sz w:val="19"/>
          <w:szCs w:val="19"/>
          <w:b w:val="1"/>
          <w:bCs w:val="1"/>
          <w:color w:val="auto"/>
        </w:rPr>
        <w:t>Mergers</w:t>
      </w:r>
      <w:r>
        <w:rPr>
          <w:rFonts w:ascii="Arial" w:cs="Arial" w:eastAsia="Arial" w:hAnsi="Arial"/>
          <w:sz w:val="19"/>
          <w:szCs w:val="19"/>
          <w:color w:val="auto"/>
        </w:rPr>
        <w:t>”). In connection with the Mergers, each ordinary share of Sorin was converted into the right to receive 0.0472 ordinary shares, nominal value £1.00 per share, of LivaNova (“</w:t>
      </w:r>
      <w:r>
        <w:rPr>
          <w:rFonts w:ascii="Arial" w:cs="Arial" w:eastAsia="Arial" w:hAnsi="Arial"/>
          <w:sz w:val="19"/>
          <w:szCs w:val="19"/>
          <w:b w:val="1"/>
          <w:bCs w:val="1"/>
          <w:color w:val="auto"/>
        </w:rPr>
        <w:t>Ordinary Shares</w:t>
      </w:r>
      <w:r>
        <w:rPr>
          <w:rFonts w:ascii="Arial" w:cs="Arial" w:eastAsia="Arial" w:hAnsi="Arial"/>
          <w:sz w:val="19"/>
          <w:szCs w:val="19"/>
          <w:color w:val="auto"/>
        </w:rPr>
        <w:t>”), and each share of common stock of Cyberonics was converted into the right to receive one Ordinary Share of LivaNova. Based on the number of outstanding shares of Sorin and Cyberonics as of 19 October 2015, former Sorin and Cyberonics shareholders held approximately 46% and 54%, respectively, of LivaNova’s Ordinary Shares immediately after giving effect to the Mergers.</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LivaNova now operates as the holding company of the combined businesses of Cyberonics and Sorin. Our Ordinary Shares are listed for trading on the NASDAQ Global Market (“</w:t>
      </w:r>
      <w:r>
        <w:rPr>
          <w:rFonts w:ascii="Arial" w:cs="Arial" w:eastAsia="Arial" w:hAnsi="Arial"/>
          <w:sz w:val="20"/>
          <w:szCs w:val="20"/>
          <w:b w:val="1"/>
          <w:bCs w:val="1"/>
          <w:color w:val="auto"/>
        </w:rPr>
        <w:t>NASDAQ</w:t>
      </w:r>
      <w:r>
        <w:rPr>
          <w:rFonts w:ascii="Arial" w:cs="Arial" w:eastAsia="Arial" w:hAnsi="Arial"/>
          <w:sz w:val="20"/>
          <w:szCs w:val="20"/>
          <w:color w:val="auto"/>
        </w:rPr>
        <w:t>”) and admitted to listing on the standard segment of the United Kingdom Financial Conduct Authority’s Official List and to trading on the Main Market of the London Stock Exchange plc (the “</w:t>
      </w:r>
      <w:r>
        <w:rPr>
          <w:rFonts w:ascii="Arial" w:cs="Arial" w:eastAsia="Arial" w:hAnsi="Arial"/>
          <w:sz w:val="20"/>
          <w:szCs w:val="20"/>
          <w:b w:val="1"/>
          <w:bCs w:val="1"/>
          <w:color w:val="auto"/>
        </w:rPr>
        <w:t>London Stock Exchange</w:t>
      </w:r>
      <w:r>
        <w:rPr>
          <w:rFonts w:ascii="Arial" w:cs="Arial" w:eastAsia="Arial" w:hAnsi="Arial"/>
          <w:sz w:val="20"/>
          <w:szCs w:val="20"/>
          <w:color w:val="auto"/>
        </w:rPr>
        <w:t>”) under the trading symbol “LIVN.”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QUESTIONS AND ANSWERS ABOUT THE 2016 ANNUAL GENERAL MEETING AND VOTING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proxy statement and what is a proxy?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proxy statement is a document that the rules and regulations of the United States including the SEC require the Company to give to you when it asks you to sign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Why did I receive these proxy materials?</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Company has delivered printed versions of the notice of Annual General Meeting, this proxy statement, proxy cards and the 2015 UK annual report and accounts of LivaNova (the “</w:t>
      </w:r>
      <w:r>
        <w:rPr>
          <w:rFonts w:ascii="Arial" w:cs="Arial" w:eastAsia="Arial" w:hAnsi="Arial"/>
          <w:sz w:val="18"/>
          <w:szCs w:val="18"/>
          <w:b w:val="1"/>
          <w:bCs w:val="1"/>
          <w:color w:val="auto"/>
        </w:rPr>
        <w:t>proxy materials</w:t>
      </w:r>
      <w:r>
        <w:rPr>
          <w:rFonts w:ascii="Arial" w:cs="Arial" w:eastAsia="Arial" w:hAnsi="Arial"/>
          <w:sz w:val="18"/>
          <w:szCs w:val="18"/>
          <w:color w:val="auto"/>
        </w:rPr>
        <w:t>”) to the Company’s shareholders of record as of 26 April 2016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in connection with the solicitation of proxies for use at the Annual General Meeting, or at any adjournment or postponement thereof.</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Company has provided brokers, dealers, bankers, voting trustees and their nominees, at the Company’s expense, with additional copies of the proxy materials so that the Company’s shareholders of record can, as needed, supply these materials to the beneficial owners of shares as of the Record Date.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Copies of the proxy materials have also been supplied, at the Company’s expense, to the Depositary as issuer of the Domestic Depositary Interests (each as defined below under the heading “</w:t>
      </w:r>
      <w:r>
        <w:rPr>
          <w:rFonts w:ascii="Arial" w:cs="Arial" w:eastAsia="Arial" w:hAnsi="Arial"/>
          <w:sz w:val="18"/>
          <w:szCs w:val="18"/>
          <w:b w:val="1"/>
          <w:bCs w:val="1"/>
          <w:i w:val="1"/>
          <w:iCs w:val="1"/>
          <w:color w:val="auto"/>
        </w:rPr>
        <w:t>What is the difference between holding Ordinary Shares as a shareholder of record, as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beneficial owner and through Domestic Depositary Interests?</w:t>
      </w:r>
      <w:r>
        <w:rPr>
          <w:rFonts w:ascii="Arial" w:cs="Arial" w:eastAsia="Arial" w:hAnsi="Arial"/>
          <w:sz w:val="18"/>
          <w:szCs w:val="18"/>
          <w:color w:val="auto"/>
        </w:rPr>
        <w:t>”) to be supplied to the holders of Domestic Depositary Interests.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matters will be presented for consideration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Action will be taken at the Annual General Meeting with respect to the following proposals, each of which is described more fully below:</w:t>
      </w:r>
    </w:p>
    <w:p>
      <w:pPr>
        <w:spacing w:after="0" w:line="254" w:lineRule="exact"/>
        <w:rPr>
          <w:sz w:val="20"/>
          <w:szCs w:val="20"/>
          <w:color w:val="auto"/>
        </w:rPr>
      </w:pPr>
    </w:p>
    <w:p>
      <w:pPr>
        <w:ind w:left="800" w:hanging="792"/>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receipt and adoption of the Company’s audited UK statutory accounts for the period ended 31 December 2015,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approval of the directors’ remuneration report (excluding the directors’ remuneration policy) in the form set out in the Company’s UK annual report and accounts.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00" w:hanging="792"/>
        <w:spacing w:after="0" w:line="31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the directors’ remuneration policy set out in the directors’ remuneration report in the form set out in the Company’s UK annual report and accounts, which shall take effect immediately after the conclusion of the Annual General Meeting.</w:t>
      </w:r>
    </w:p>
    <w:p>
      <w:pPr>
        <w:spacing w:after="0" w:line="157" w:lineRule="exact"/>
        <w:rPr>
          <w:rFonts w:ascii="Arial" w:cs="Arial" w:eastAsia="Arial" w:hAnsi="Arial"/>
          <w:sz w:val="18"/>
          <w:szCs w:val="18"/>
          <w:color w:val="auto"/>
        </w:rPr>
      </w:pPr>
    </w:p>
    <w:p>
      <w:pPr>
        <w:jc w:val="both"/>
        <w:ind w:left="800" w:hanging="792"/>
        <w:spacing w:after="0" w:line="25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re-appointment of PricewaterhouseCoopers LLP as the Company’s UK statutory auditor under the Companies Act 2006 (the “</w:t>
      </w:r>
      <w:r>
        <w:rPr>
          <w:rFonts w:ascii="Arial" w:cs="Arial" w:eastAsia="Arial" w:hAnsi="Arial"/>
          <w:sz w:val="20"/>
          <w:szCs w:val="20"/>
          <w:b w:val="1"/>
          <w:bCs w:val="1"/>
          <w:color w:val="auto"/>
        </w:rPr>
        <w:t>Companies Act</w:t>
      </w:r>
      <w:r>
        <w:rPr>
          <w:rFonts w:ascii="Arial" w:cs="Arial" w:eastAsia="Arial" w:hAnsi="Arial"/>
          <w:sz w:val="20"/>
          <w:szCs w:val="20"/>
          <w:color w:val="auto"/>
        </w:rPr>
        <w:t>”) to hold office from the conclusion of the Annual General Meeting until the conclusion of the next general meeting at which the annual report and accounts are laid.</w:t>
      </w:r>
    </w:p>
    <w:p>
      <w:pPr>
        <w:spacing w:after="0" w:line="213"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ratification of the appointment of PricewaterhouseCoopers S.p.A. as the Company’s independent registered public accounting firm for the year ending 31 December 2016.</w:t>
      </w:r>
    </w:p>
    <w:p>
      <w:pPr>
        <w:spacing w:after="0" w:line="203" w:lineRule="exact"/>
        <w:rPr>
          <w:rFonts w:ascii="Arial" w:cs="Arial" w:eastAsia="Arial" w:hAnsi="Arial"/>
          <w:sz w:val="20"/>
          <w:szCs w:val="20"/>
          <w:color w:val="auto"/>
        </w:rPr>
      </w:pPr>
    </w:p>
    <w:p>
      <w:pPr>
        <w:ind w:left="800" w:right="20" w:hanging="792"/>
        <w:spacing w:after="0" w:line="287" w:lineRule="auto"/>
        <w:tabs>
          <w:tab w:leader="none" w:pos="8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authorisation of the directors and/or the Audit &amp; Compliance Committee of the Company to determine the remuneration of PricewaterhouseCoopers LLP, in its capacity as the Company’s UK statutory auditors under the Companies Act.</w:t>
      </w:r>
    </w:p>
    <w:p>
      <w:pPr>
        <w:spacing w:after="0" w:line="179" w:lineRule="exact"/>
        <w:rPr>
          <w:rFonts w:ascii="Arial" w:cs="Arial" w:eastAsia="Arial" w:hAnsi="Arial"/>
          <w:sz w:val="19"/>
          <w:szCs w:val="19"/>
          <w:color w:val="auto"/>
        </w:rPr>
      </w:pPr>
    </w:p>
    <w:p>
      <w:pPr>
        <w:ind w:left="800" w:hanging="792"/>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approval of the form of certain share repurchase contracts to be used for repurchases on NASDAQ and the counterparties with whom the Company may conduct such repurchase transactions.</w:t>
      </w:r>
    </w:p>
    <w:p>
      <w:pPr>
        <w:spacing w:after="0" w:line="203" w:lineRule="exact"/>
        <w:rPr>
          <w:rFonts w:ascii="Arial" w:cs="Arial" w:eastAsia="Arial" w:hAnsi="Arial"/>
          <w:sz w:val="20"/>
          <w:szCs w:val="20"/>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authorisation of the Company to make market purchases of the Company’s ordinary shares on the London Stock Exchange.</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authorisation of the Company to send notices, documents or information to shareholders by electronic means.</w:t>
      </w:r>
    </w:p>
    <w:p>
      <w:pPr>
        <w:spacing w:after="0" w:line="242"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authorisation of the Company to call general meetings, other than the annual general meeting, on not less than 14 clear days’ notice.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Proposals 1, 2, 3, 4, 6, 7, 8, 9 and 10 are items that are required to be approved by shareholders periodically under the Companies Act and may not have an analogous requirement under United States laws or regulations. As such, while these proposals may be familiar to shareholders accustomed to being shareholders of companies incorporated in England and Wales, other shareholders may be less familiar with these common proposals and should review and consider each proposal carefully.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any other matters be decided at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the date of this proxy statement, the Company does not know of any other matters to be raised at the Annual General Meeting other than those described in this proxy statement. If any other matters are, in accordance with the Companies Act, other applicable law or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properly presented for consideration at the Annual General Meeting, such matters will, subject to the Companies Act, the Articles and applicable law, be considered at the Annual General Meeting and the individuals named in the proxy card will vote on such matters in their discretion.</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What is the difference between holding Ordinary Shares as a shareholder of record, as a beneficial owner and through Domestic Depositary Interests?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a shareholder is registered on the register of members of the Company in respect of Ordinary Shares, nominal value £1.00 per share, they are considered, with respect to those Ordinary Shares, the </w:t>
      </w:r>
      <w:r>
        <w:rPr>
          <w:rFonts w:ascii="Arial" w:cs="Arial" w:eastAsia="Arial" w:hAnsi="Arial"/>
          <w:sz w:val="20"/>
          <w:szCs w:val="20"/>
          <w:b w:val="1"/>
          <w:bCs w:val="1"/>
          <w:color w:val="auto"/>
        </w:rPr>
        <w:t>shareholder of record</w:t>
      </w:r>
      <w:r>
        <w:rPr>
          <w:rFonts w:ascii="Arial" w:cs="Arial" w:eastAsia="Arial" w:hAnsi="Arial"/>
          <w:sz w:val="20"/>
          <w:szCs w:val="20"/>
          <w:color w:val="auto"/>
        </w:rPr>
        <w:t>. As of [ l ] 2016, being the latest practicable date prior to publication of this proxy statement, the Company’s shareholders of record were Cede &amp; Co., the nominee for the Depositary Trust Company (“</w:t>
      </w:r>
      <w:r>
        <w:rPr>
          <w:rFonts w:ascii="Arial" w:cs="Arial" w:eastAsia="Arial" w:hAnsi="Arial"/>
          <w:sz w:val="20"/>
          <w:szCs w:val="20"/>
          <w:b w:val="1"/>
          <w:bCs w:val="1"/>
          <w:color w:val="auto"/>
        </w:rPr>
        <w:t>DTC</w:t>
      </w:r>
      <w:r>
        <w:rPr>
          <w:rFonts w:ascii="Arial" w:cs="Arial" w:eastAsia="Arial" w:hAnsi="Arial"/>
          <w:sz w:val="20"/>
          <w:szCs w:val="20"/>
          <w:color w:val="auto"/>
        </w:rPr>
        <w:t>”), and [ l ] other shareholders of record. In order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w:t>
      </w:r>
      <w:r>
        <w:rPr>
          <w:rFonts w:ascii="Arial" w:cs="Arial" w:eastAsia="Arial" w:hAnsi="Arial"/>
          <w:sz w:val="19"/>
          <w:szCs w:val="19"/>
          <w:b w:val="1"/>
          <w:bCs w:val="1"/>
          <w:color w:val="auto"/>
        </w:rPr>
        <w:t>SDRT</w:t>
      </w:r>
      <w:r>
        <w:rPr>
          <w:rFonts w:ascii="Arial" w:cs="Arial" w:eastAsia="Arial" w:hAnsi="Arial"/>
          <w:sz w:val="19"/>
          <w:szCs w:val="19"/>
          <w:color w:val="auto"/>
        </w:rPr>
        <w:t>”) at a rate of 0.5% of any consideration, which is payable by the transferee of the Ordinary Shares (i.e. the beneficial owner into whose name the Ordinary Shares are transferred).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If your Ordinary Shares are held for you in a stock brokerage account or by a broker, bank or other nominee, you are considered the </w:t>
      </w:r>
      <w:r>
        <w:rPr>
          <w:rFonts w:ascii="Arial" w:cs="Arial" w:eastAsia="Arial" w:hAnsi="Arial"/>
          <w:sz w:val="19"/>
          <w:szCs w:val="19"/>
          <w:b w:val="1"/>
          <w:bCs w:val="1"/>
          <w:color w:val="auto"/>
        </w:rPr>
        <w:t>beneficial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owner </w:t>
      </w:r>
      <w:r>
        <w:rPr>
          <w:rFonts w:ascii="Arial" w:cs="Arial" w:eastAsia="Arial" w:hAnsi="Arial"/>
          <w:sz w:val="19"/>
          <w:szCs w:val="19"/>
          <w:color w:val="auto"/>
        </w:rPr>
        <w:t>of shares held in street name, and these proxy materials are being made available or forwarded to you by your broker, bank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nominee through whom you hold the Ordinary Shares. As the beneficial owner, you have the right to direct your broker, bank or other nominee on how to vote your Ordinary Shares by following the instructions for voting on the proxy card.</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in connection with the admission to trading of the Ordinary Shares on the London Stock Exchange, the Company entered into depositary arrangements to enable holders to settle interests in Ordinary Shares through the CREST system without the need for the underlying Ordinary Shares to be withdrawn from the DTC system. Pursuant to these arrangements, certain persons hold dematerialised domestic depositary interests (“</w:t>
      </w:r>
      <w:r>
        <w:rPr>
          <w:rFonts w:ascii="Arial" w:cs="Arial" w:eastAsia="Arial" w:hAnsi="Arial"/>
          <w:sz w:val="20"/>
          <w:szCs w:val="20"/>
          <w:b w:val="1"/>
          <w:bCs w:val="1"/>
          <w:color w:val="auto"/>
        </w:rPr>
        <w:t>Domestic Depositary Interests</w:t>
      </w:r>
      <w:r>
        <w:rPr>
          <w:rFonts w:ascii="Arial" w:cs="Arial" w:eastAsia="Arial" w:hAnsi="Arial"/>
          <w:sz w:val="20"/>
          <w:szCs w:val="20"/>
          <w:color w:val="auto"/>
        </w:rPr>
        <w:t>”) issued by Computershare Investor Services PLC (the “</w:t>
      </w:r>
      <w:r>
        <w:rPr>
          <w:rFonts w:ascii="Arial" w:cs="Arial" w:eastAsia="Arial" w:hAnsi="Arial"/>
          <w:sz w:val="20"/>
          <w:szCs w:val="20"/>
          <w:b w:val="1"/>
          <w:bCs w:val="1"/>
          <w:color w:val="auto"/>
        </w:rPr>
        <w:t>Depositary</w:t>
      </w:r>
      <w:r>
        <w:rPr>
          <w:rFonts w:ascii="Arial" w:cs="Arial" w:eastAsia="Arial" w:hAnsi="Arial"/>
          <w:sz w:val="20"/>
          <w:szCs w:val="20"/>
          <w:color w:val="auto"/>
        </w:rPr>
        <w:t>”) which represent underlying Ordinary Shares on a one-for-one basis.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 at the Annual General Meeting?</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In accordance with the Companies Act and the Articles, the board of directors has set 6:00 p.m. (British Summer Time) on 13 June 2016 as the time and date on which </w:t>
      </w:r>
      <w:r>
        <w:rPr>
          <w:rFonts w:ascii="Arial" w:cs="Arial" w:eastAsia="Arial" w:hAnsi="Arial"/>
          <w:sz w:val="19"/>
          <w:szCs w:val="19"/>
          <w:b w:val="1"/>
          <w:bCs w:val="1"/>
          <w:color w:val="auto"/>
        </w:rPr>
        <w:t>shareholders of record</w:t>
      </w:r>
      <w:r>
        <w:rPr>
          <w:rFonts w:ascii="Arial" w:cs="Arial" w:eastAsia="Arial" w:hAnsi="Arial"/>
          <w:sz w:val="19"/>
          <w:szCs w:val="19"/>
          <w:color w:val="auto"/>
        </w:rPr>
        <w:t xml:space="preserve"> have to be recorded in the Company’s register of members in order to be entitled to vote at the Annual General Meeting. Therefore, if any other person, in addition to Cede &amp; Co. and the other existing shareholders of record, becomes a shareholder of record in respect of Ordinary Shares on or prior to 6:00 p.m. (British Summer Time) on 13 June 2016, that shareholder of record would be entitled to vote at the Annual General Meeting in respect of those Ordinary Shares and any voting instructions previously submitted via a broker or other agent in respect of such Ordinary Shares would be treated as having been withdrawn. If the Annual General Meeting is adjourned, only shareholders of record who are entered in the Company’s register of members 48 hours, excluding non-working days, prior to the adjourned meeting shall be entitled to attend and vote at such adjourned meeting. Changes to entries on the register of members after such time will be disregarded in determining the rights of any shareholder of record to attend and vote at the Annual General Meeting, or adjourned meeting, as applicable.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corporation which is a shareholder of record may by resolution of its directors or other governing body authorise such person as it thinks fit to act as its representative at the Annual General Meeting and the person so authorised shall (on production of a certified copy of such resolution at the Annual General Meeting) be entitled to exercise the same powers on behalf of the corporation as that corporation could exercise if it were an individual shareholder of the Company.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Beneficial owners </w:t>
      </w:r>
      <w:r>
        <w:rPr>
          <w:rFonts w:ascii="Arial" w:cs="Arial" w:eastAsia="Arial" w:hAnsi="Arial"/>
          <w:sz w:val="18"/>
          <w:szCs w:val="18"/>
          <w:color w:val="auto"/>
        </w:rPr>
        <w:t>of Ordinary Shares as of the Record Date have the right to direct their broker or other agent on how to vote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their account. They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 The board of directors has set the Record Date for the Annual General Meeting as 26 April 2016, being 50 days prior to the date of the Annual General Meeting. This is the time and date on which persons had to be beneficial owners of Ordinary Shares in order to have the right to direct their broker or other agent as to how to vote the Ordinary Shares in their account.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Holders of Domestic Depositary Interests </w:t>
      </w:r>
      <w:r>
        <w:rPr>
          <w:rFonts w:ascii="Arial" w:cs="Arial" w:eastAsia="Arial" w:hAnsi="Arial"/>
          <w:sz w:val="18"/>
          <w:szCs w:val="18"/>
          <w:color w:val="auto"/>
        </w:rPr>
        <w:t>may instruct the Depositary as to how to exercise the votes attaching to the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such Domestic Depositary Interests by returning a completed form of instruction (the “</w:t>
      </w:r>
      <w:r>
        <w:rPr>
          <w:rFonts w:ascii="Arial" w:cs="Arial" w:eastAsia="Arial" w:hAnsi="Arial"/>
          <w:sz w:val="18"/>
          <w:szCs w:val="18"/>
          <w:b w:val="1"/>
          <w:bCs w:val="1"/>
          <w:color w:val="auto"/>
        </w:rPr>
        <w:t>DDI Form of Instruction</w:t>
      </w:r>
      <w:r>
        <w:rPr>
          <w:rFonts w:ascii="Arial" w:cs="Arial" w:eastAsia="Arial" w:hAnsi="Arial"/>
          <w:sz w:val="18"/>
          <w:szCs w:val="18"/>
          <w:color w:val="auto"/>
        </w:rPr>
        <w:t>”) to the Depositary. Alternatively, holders of Domestic Depositary Interests can vote using the CREST system. After the Depositary has received instructions on how to vote on the proposals from the holders of Domestic Depositary Interests, it will arrange for its custodian to complete a proxy card reflecting such instructions and send it to the transfer agent in accordance with the instructions under “</w:t>
      </w:r>
      <w:r>
        <w:rPr>
          <w:rFonts w:ascii="Arial" w:cs="Arial" w:eastAsia="Arial" w:hAnsi="Arial"/>
          <w:sz w:val="18"/>
          <w:szCs w:val="18"/>
          <w:b w:val="1"/>
          <w:bCs w:val="1"/>
          <w:i w:val="1"/>
          <w:iCs w:val="1"/>
          <w:color w:val="auto"/>
        </w:rPr>
        <w:t>How do I vote?</w:t>
      </w:r>
      <w:r>
        <w:rPr>
          <w:rFonts w:ascii="Arial" w:cs="Arial" w:eastAsia="Arial" w:hAnsi="Arial"/>
          <w:sz w:val="18"/>
          <w:szCs w:val="18"/>
          <w:color w:val="auto"/>
        </w:rPr>
        <w:t>” below.</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total voting rights in the Company?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 l ] May 2016, being the last practicable date prior to the publication of this proxy statement, there were [ l ] Ordinary Shares in issue and entitled to vote. Each Ordinary Share is entitled to one vote on each matter properly brought before the Annual General Meeting. Therefore, the total voting rights in the Company as at [ l ] May 2016 are [ l ].</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shareholder of record?</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a shareholder of record who is entitled to attend and vote at the Annual General Meeting, you may vote your Ordinary Shares in person at the Annual General Meeting or appoint another person or persons as your proxy to exercise any or all of your rights to attend and to speak and vote at the Annual General Meeting. You may appoint more than one proxy in relation to the Annual General Meeting (provided that each proxy is appointed to exercise the rights attached to a different Ordinary Share(s)). Such proxy need not be a shareholder of record, but must attend the Annual General Meeting to represent you and must vote as you instruct for your vote to be counted.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You may appoint a proxy to vote on your behalf using one of the following methods:</w:t>
      </w:r>
    </w:p>
    <w:p>
      <w:pPr>
        <w:spacing w:after="0" w:line="243" w:lineRule="exact"/>
        <w:rPr>
          <w:sz w:val="20"/>
          <w:szCs w:val="20"/>
          <w:color w:val="auto"/>
        </w:rPr>
      </w:pPr>
    </w:p>
    <w:p>
      <w:pPr>
        <w:ind w:left="800" w:hanging="454"/>
        <w:spacing w:after="0" w:line="287" w:lineRule="auto"/>
        <w:tabs>
          <w:tab w:leader="none" w:pos="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by returning the proxy card, or other instrument appointing a proxy, completed in accordance with the instructions therein and signed to Vote Processing, c/o Broadridge, 51 Mercedes Way, Edgewood, NY 11717, United States of America;</w:t>
      </w:r>
    </w:p>
    <w:p>
      <w:pPr>
        <w:spacing w:after="0" w:line="179" w:lineRule="exact"/>
        <w:rPr>
          <w:rFonts w:ascii="Arial" w:cs="Arial" w:eastAsia="Arial" w:hAnsi="Arial"/>
          <w:sz w:val="19"/>
          <w:szCs w:val="19"/>
          <w:color w:val="auto"/>
        </w:rPr>
      </w:pPr>
    </w:p>
    <w:p>
      <w:pPr>
        <w:ind w:left="800" w:hanging="454"/>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by submission via the internet by going to </w:t>
      </w:r>
      <w:r>
        <w:rPr>
          <w:rFonts w:ascii="Arial" w:cs="Arial" w:eastAsia="Arial" w:hAnsi="Arial"/>
          <w:sz w:val="20"/>
          <w:szCs w:val="20"/>
          <w:u w:val="single" w:color="auto"/>
          <w:color w:val="auto"/>
        </w:rPr>
        <w:t>www.proxyvote.com</w:t>
      </w:r>
      <w:r>
        <w:rPr>
          <w:rFonts w:ascii="Arial" w:cs="Arial" w:eastAsia="Arial" w:hAnsi="Arial"/>
          <w:sz w:val="20"/>
          <w:szCs w:val="20"/>
          <w:color w:val="auto"/>
        </w:rPr>
        <w:t xml:space="preserve"> and following the instructions provided; or</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by telephone, using the number shown on the proxy card.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be effective, the proxy appointment must be received by 1:00 p.m. (British Summer Time) on 13 June 2016.</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Details of how to appoint the Chairman of the Annual General Meeting, or another person, as your proxy are set out in the proxy card.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authorised person. If the proxy card is signed pursuant to a power of attorney or by an executor, administrator, trustee or guardian, please state the signatory’s full title and provide a certificate or other proof of appointment. In the case of joint holders, the vote of the senior who tenders a vote, whether in person or by proxy, shall be accepted to the exclusion of the votes of the other joint holders and seniority shall be determined by the order in which the names of the holders stand in the register of members.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return of a completed proxy card, or the submission of proxy instructions via the internet or by telephone, will not prevent a shareholder of record from attending and voting at the Annual General Meeting. If you have appointed a proxy and attend the Annual General Meeting and vote in person, your proxy appointment will automatically be terminated.</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as follows:</w:t>
      </w:r>
    </w:p>
    <w:p>
      <w:pPr>
        <w:spacing w:after="0" w:line="266"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receipt and adoption of the Company’s UK annual report and accounts,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approval of the directors’ remuneration report,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approval of the directors remuneration policy,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re-appointment of PricewaterhouseCoopers LLP as the Company’s UK statutory auditor, by way of ordinary resolution;</w:t>
      </w:r>
    </w:p>
    <w:p>
      <w:pPr>
        <w:spacing w:after="0" w:line="265" w:lineRule="exact"/>
        <w:rPr>
          <w:rFonts w:ascii="Arial" w:cs="Arial" w:eastAsia="Arial" w:hAnsi="Arial"/>
          <w:sz w:val="18"/>
          <w:szCs w:val="18"/>
          <w:color w:val="auto"/>
        </w:rPr>
      </w:pPr>
    </w:p>
    <w:p>
      <w:pPr>
        <w:ind w:left="80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ratification of the appointment of PricewaterhouseCoopers S.p.A. as the Company’s independent registered public accounting firm,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authorising the board and/or the Audit &amp; Compliance Committee to determine the remuneration of PricewaterhouseCoopers LLP as the Company’s UK statutory auditor,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approval of the form of share repurchase contracts and the counterparties through which the Company may conduct repurchases on NASDAQ,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authorisation of the Company to make market purchases of Ordinary Shares on the London Stock Exchange, by way of ordinary resolution;</w:t>
      </w:r>
    </w:p>
    <w:p>
      <w:pPr>
        <w:spacing w:after="0" w:line="203" w:lineRule="exact"/>
        <w:rPr>
          <w:rFonts w:ascii="Arial" w:cs="Arial" w:eastAsia="Arial" w:hAnsi="Arial"/>
          <w:sz w:val="20"/>
          <w:szCs w:val="20"/>
          <w:color w:val="auto"/>
        </w:rPr>
      </w:pPr>
    </w:p>
    <w:p>
      <w:pPr>
        <w:ind w:left="800" w:right="2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authorisation of the Company to deliver notices, documents or information to shareholders by electronic means,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authorisation of the Company to call general meetings, other than an annual general meeting, on not less than 14 clear days’ notice, by way of special resolution; and</w:t>
      </w:r>
    </w:p>
    <w:p>
      <w:pPr>
        <w:spacing w:after="0" w:line="203" w:lineRule="exact"/>
        <w:rPr>
          <w:rFonts w:ascii="Arial" w:cs="Arial" w:eastAsia="Arial" w:hAnsi="Arial"/>
          <w:sz w:val="20"/>
          <w:szCs w:val="20"/>
          <w:color w:val="auto"/>
        </w:rPr>
      </w:pPr>
    </w:p>
    <w:p>
      <w:pPr>
        <w:ind w:left="800" w:right="20" w:hanging="454"/>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otherwise in accordance with the judgment of the person or persons voting the proxy on any other matter properly brought before the Annual General Meeting.</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properly submitted proxy marked “abstain”, although counted for purposes of determining whether there is a quorum and for purposes of determining the aggregate voting power and number of Ordinary Shares represented and entitled to vote at the Annual General Meeting, will not be treated as votes cast at the Annual General Meeting. Accordingly, an abstention is not a vote in law and will not be taken into account in determining the outcome on any of the resolutions.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have not received a proxy card and believe that you should have one, please contact your broker, bank or other nominee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We will distribute polling cards to any shareholders of record who want to vote in person at the Annual General Meeting.</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beneficial owner?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you are a beneficial owner and you wish to vote in person at the Annual General Meeting, you should obtain a legal proxy from your broker, bank or other nominee and present it to the scrutineers together with your polling card at the Annual General Meeting.</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holder of Domestic Depositary Interests?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Domestic Depositary Interests, you should return a completed DDI Form of Instruction to the Depositary, Computershare Investor Services PLC, at The Pavilions, Bridgwater Road, Bristol BS99 6ZY, United Kingdom in the enclosed reply paid envelope or by facsimile to +44 (0) 370 703 6322 following the instructions therein. To be effective, the DDI Form of Instruction must be received by the Depositary by 1:00 p.m. (British Summer Time) on 10 June 2016.</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Alternatively, holders of Domestic Depositary Interests in CREST may transmit voting instructions by utilising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w:t>
      </w:r>
      <w:r>
        <w:rPr>
          <w:rFonts w:ascii="Arial" w:cs="Arial" w:eastAsia="Arial" w:hAnsi="Arial"/>
          <w:sz w:val="20"/>
          <w:szCs w:val="20"/>
          <w:b w:val="1"/>
          <w:bCs w:val="1"/>
          <w:color w:val="auto"/>
        </w:rPr>
        <w:t>CREST Voting Instruction</w:t>
      </w:r>
      <w:r>
        <w:rPr>
          <w:rFonts w:ascii="Arial" w:cs="Arial" w:eastAsia="Arial" w:hAnsi="Arial"/>
          <w:sz w:val="20"/>
          <w:szCs w:val="20"/>
          <w:color w:val="auto"/>
        </w:rPr>
        <w:t>”) must be properly authenticated in accordance with Euroclear UK &amp; Ireland’s (“</w:t>
      </w:r>
      <w:r>
        <w:rPr>
          <w:rFonts w:ascii="Arial" w:cs="Arial" w:eastAsia="Arial" w:hAnsi="Arial"/>
          <w:sz w:val="20"/>
          <w:szCs w:val="20"/>
          <w:b w:val="1"/>
          <w:bCs w:val="1"/>
          <w:color w:val="auto"/>
        </w:rPr>
        <w:t>Euroclear</w:t>
      </w:r>
      <w:r>
        <w:rPr>
          <w:rFonts w:ascii="Arial" w:cs="Arial" w:eastAsia="Arial" w:hAnsi="Arial"/>
          <w:sz w:val="20"/>
          <w:szCs w:val="20"/>
          <w:color w:val="auto"/>
        </w:rPr>
        <w:t xml:space="preserve">”) specifications and must contain the information required for such instructions, as described in the CREST Manual (available via </w:t>
      </w:r>
      <w:r>
        <w:rPr>
          <w:rFonts w:ascii="Arial" w:cs="Arial" w:eastAsia="Arial" w:hAnsi="Arial"/>
          <w:sz w:val="20"/>
          <w:szCs w:val="20"/>
          <w:u w:val="single" w:color="auto"/>
          <w:color w:val="auto"/>
        </w:rPr>
        <w:t>www.euroclear.com/CREST</w:t>
      </w:r>
      <w:r>
        <w:rPr>
          <w:rFonts w:ascii="Arial" w:cs="Arial" w:eastAsia="Arial" w:hAnsi="Arial"/>
          <w:sz w:val="20"/>
          <w:szCs w:val="20"/>
          <w:color w:val="auto"/>
        </w:rPr>
        <w: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be effective, the CREST Voting Instruction must be transmitted so as to be received by the Company’s agent (ID: 3RA50) no later than 1:00 p.m. (British Summer Time) on 10 June 2016 (or, in the event of an adjourned meeting, 72 hours before the adjourned meeting (excluding weekends and public holidays in the UK)). For this purpose, the time of receipt will be taken to be the time (as determined by the timestamp applied to the CREST Voting Instruction by the CREST applications host) from which the Company’s agent is able to retrieve the CREST Voting Instruction by enquiry to CREST in the manner prescribed by CREST. After this time, any change of voting instructions made through CREST should be communicated to the Depositary by other means.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Holders of Domestic Depositary Interests in CREST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Domestic Depositary Interest holder concerned to take (or, if the Domestic Depositary Interest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Domestic Depositary Interest holders and, where applicable, their CREST sponsors or voting service providers are referred, in particular, to those sections of the CREST Manual concerning practical limitations of the CREST system and timings.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may treat as invalid a CREST Voting Instruction in the circumstances set out in Regulation 35(5)(a) of the Uncertificated Securities Regulations 2001.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After the Depositary has received instructions as to how to vote on the resolutions from the Domestic Depositary Interest holders, it will then make arrangements through its custodian to vote the Ordinary Shares underlying such Domestic Depositary Interests in accordance with such instructions.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hold your Ordinary Shares via Domestic Depositary Interests and you wish to vote in person at the Annual General Meeting, please contact the Depositary to obtain a letter of representation to allow you to attend, speak at and vote at the Annual General Meeting. See the section titled “</w:t>
      </w:r>
      <w:r>
        <w:rPr>
          <w:rFonts w:ascii="Arial" w:cs="Arial" w:eastAsia="Arial" w:hAnsi="Arial"/>
          <w:sz w:val="20"/>
          <w:szCs w:val="20"/>
          <w:b w:val="1"/>
          <w:bCs w:val="1"/>
          <w:i w:val="1"/>
          <w:iCs w:val="1"/>
          <w:color w:val="auto"/>
        </w:rPr>
        <w:t>Who can attend the Annual General Meeting?</w:t>
      </w:r>
      <w:r>
        <w:rPr>
          <w:rFonts w:ascii="Arial" w:cs="Arial" w:eastAsia="Arial" w:hAnsi="Arial"/>
          <w:sz w:val="20"/>
          <w:szCs w:val="20"/>
          <w:color w:val="auto"/>
        </w:rPr>
        <w:t>” below for further information.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if I am a nominated person?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person who is not a shareholder of record of the Company, but has been nominated by a shareholder of record to enjoy information rights in accordance with section 146 of the Companies Act (a “</w:t>
      </w:r>
      <w:r>
        <w:rPr>
          <w:rFonts w:ascii="Arial" w:cs="Arial" w:eastAsia="Arial" w:hAnsi="Arial"/>
          <w:sz w:val="18"/>
          <w:szCs w:val="18"/>
          <w:b w:val="1"/>
          <w:bCs w:val="1"/>
          <w:color w:val="auto"/>
        </w:rPr>
        <w:t>Nominated Person</w:t>
      </w:r>
      <w:r>
        <w:rPr>
          <w:rFonts w:ascii="Arial" w:cs="Arial" w:eastAsia="Arial" w:hAnsi="Arial"/>
          <w:sz w:val="18"/>
          <w:szCs w:val="18"/>
          <w:color w:val="auto"/>
        </w:rPr>
        <w:t>”) does not have the right to appoint a proxy. Nominated Persons may have a right under an agreement with the nominating shareholder to be appointed (or to have someone else appointed) as a proxy for the meeting. Alternatively, if Nominated Persons do not have such a right, or do not wish to exercise it, they may have a right under an agreement with the relevant shareholder to give instructions as to the exercise of voting rights. If you have been nominated to receive general shareholder communications directly from the Company, it is important to remember that your main contact in terms of your investment remains the shareholder of record or custodian or broker who administers the investment on your behalf. Therefore, any changes or queries relating to your personal details and holding (including any administration) must continue to be directed to your existing contact at your investment manager or custodian. The Company cannot guarantee to deal with matters that are directed to them in error. The only exception to this is where the Company, in exercising one of its powers under the Companies Act, writes to you directly for a response.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should I do if I receive more than one proxy card?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 in, sign and return all of the proxy cards included in the proxy materials you receive in order to vote all of the Ordinary Shares that you own.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is a quorum determined?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presence of the holders of record of shares in the Company who together represent at least the majority of the voting rights of all the shareholders of record entitled to vote, present in person or by proxy, at the Annual General Meeting is necessary to constitute a quorum. Abstentions and broker non-votes will be counted as present and entitled to vote for the purposes of determining a quorum at the Annual General Meeting.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broker non-vote?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your Ordinary Shares through a broker, bank or other nominee, and do not provide the organisation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broker, bank or other nominee holding Ordinary Shares on your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behalf does not vote on a particular proposal because it has not received voting instructions from you and does not have discretionary voting power with respect to that proposal.</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proposals are considered “routine” or “non routine”?</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Proposals 1, 4, 5 and 6 are each considered a routine matter under the rules of NASDAQ. A broker, bank or other nominee may generally vote on routine maters and therefore no broker non-votes are expected to occur in connection with proposals 1, 4, 5 and 6.</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2, 3, 7, 8, 9 and 10 are matters considered non-routine under the rules of NASDAQ. A broker, bank or other nominee may not vote on these non-routine matters without specific voting instructions from the beneficial owner. As a result, there may be broker non-votes with respect to Proposals 2, 3, 7, 8, 9 and 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voting requirements to approve the resolutions?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accordance with the Articles, all resolutions will be taken on a poll. Voting on a poll will mean that each share represented in person or by proxy will be counted in the vote.</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resolutions included in Proposals 1 to 9 will be proposed as ordinary resolutions, which mean that, assuming a quorum is present, each resolution will be approved if a majority of the votes cast are cast in favour of the resolution. Abstentions and broker non-votes will not be counted as a vote either for or against these resolutions. If the number of votes cast against a resolution exceeds or equals the number of votes cast for the resolution, the resolution will not be passed. The results of the shareholder votes on the ordinary resolutions in Proposals 1 and 2 regarding receipt and approval of the UK statutory report and accounts and approval of the directors’ remuneration report, will not require the board of directors or any committee thereof to take (or refrain from taking) any action as a result of the shareholder votes. The board of directors values the opinions of shareholders expressed through such votes and will carefully consider the outcome of the votes on Proposal 1 and 2.</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resolution included in Proposal 10 will be proposed as a special resolution, which means that, assuming a quorum is present, this resolution must be approved by shareholders representing at least 75% of the votes cast on the resolution. Abstentions and broker non-votes will not be counted as a vote either for or against this resolution. If fewer than 75% of the votes cast on the resolution are voted in favour of the resolution, the resolution will not be passed.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my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shareholder of record</w:t>
      </w:r>
      <w:r>
        <w:rPr>
          <w:rFonts w:ascii="Arial" w:cs="Arial" w:eastAsia="Arial" w:hAnsi="Arial"/>
          <w:sz w:val="18"/>
          <w:szCs w:val="18"/>
          <w:color w:val="auto"/>
        </w:rPr>
        <w:t>, you can change how you wish to instruct the proxy to vote or revoke your proxy at any time before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Annual General Meeting, by:</w:t>
      </w:r>
    </w:p>
    <w:p>
      <w:pPr>
        <w:spacing w:after="0" w:line="227" w:lineRule="exact"/>
        <w:rPr>
          <w:sz w:val="20"/>
          <w:szCs w:val="20"/>
          <w:color w:val="auto"/>
        </w:rPr>
      </w:pPr>
    </w:p>
    <w:p>
      <w:pPr>
        <w:ind w:left="800" w:hanging="454"/>
        <w:spacing w:after="0" w:line="31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157" w:lineRule="exact"/>
        <w:rPr>
          <w:rFonts w:ascii="Arial" w:cs="Arial" w:eastAsia="Arial" w:hAnsi="Arial"/>
          <w:sz w:val="18"/>
          <w:szCs w:val="18"/>
          <w:color w:val="auto"/>
        </w:rPr>
      </w:pPr>
    </w:p>
    <w:p>
      <w:pPr>
        <w:ind w:left="800" w:hanging="454"/>
        <w:spacing w:after="0" w:line="287" w:lineRule="auto"/>
        <w:tabs>
          <w:tab w:leader="none" w:pos="8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00" w:hanging="454"/>
        <w:spacing w:after="0" w:line="260" w:lineRule="auto"/>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sending written notice to the office of the Company Secretary at the Company’s registered office, which must be received at least 24 hours prior to the start of the Annual General Meeting; or</w:t>
      </w:r>
    </w:p>
    <w:p>
      <w:pPr>
        <w:spacing w:after="0" w:line="203" w:lineRule="exact"/>
        <w:rPr>
          <w:rFonts w:ascii="Arial" w:cs="Arial" w:eastAsia="Arial" w:hAnsi="Arial"/>
          <w:sz w:val="20"/>
          <w:szCs w:val="20"/>
          <w:color w:val="auto"/>
        </w:rPr>
      </w:pPr>
    </w:p>
    <w:p>
      <w:pPr>
        <w:ind w:left="800" w:hanging="454"/>
        <w:spacing w:after="0"/>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voting on the poll in person at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If you are a beneficial owner </w:t>
      </w:r>
      <w:r>
        <w:rPr>
          <w:rFonts w:ascii="Arial" w:cs="Arial" w:eastAsia="Arial" w:hAnsi="Arial"/>
          <w:sz w:val="20"/>
          <w:szCs w:val="20"/>
          <w:color w:val="auto"/>
        </w:rPr>
        <w:t>of Ordinary Shares, you may submit new proxy appointment instructions by contacting your broker, bank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nominee. You may also vote in person at the Annual General Meeting if you obtain a legal proxy as described above under “</w:t>
      </w:r>
      <w:r>
        <w:rPr>
          <w:rFonts w:ascii="Arial" w:cs="Arial" w:eastAsia="Arial" w:hAnsi="Arial"/>
          <w:sz w:val="20"/>
          <w:szCs w:val="20"/>
          <w:b w:val="1"/>
          <w:bCs w:val="1"/>
          <w:i w:val="1"/>
          <w:iCs w:val="1"/>
          <w:color w:val="auto"/>
        </w:rPr>
        <w:t>How do 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vote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If you are a Domestic Depositary Interest holder</w:t>
      </w:r>
      <w:r>
        <w:rPr>
          <w:rFonts w:ascii="Arial" w:cs="Arial" w:eastAsia="Arial" w:hAnsi="Arial"/>
          <w:sz w:val="20"/>
          <w:szCs w:val="20"/>
          <w:color w:val="auto"/>
        </w:rPr>
        <w:t>, you may submit a new DDI Form of Instruction following the instructions previously set</w:t>
      </w:r>
      <w:r>
        <w:rPr>
          <w:rFonts w:ascii="Arial" w:cs="Arial" w:eastAsia="Arial" w:hAnsi="Arial"/>
          <w:sz w:val="20"/>
          <w:szCs w:val="20"/>
          <w:b w:val="1"/>
          <w:bCs w:val="1"/>
          <w:color w:val="auto"/>
        </w:rPr>
        <w:t xml:space="preserve"> </w:t>
      </w:r>
      <w:r>
        <w:rPr>
          <w:rFonts w:ascii="Arial" w:cs="Arial" w:eastAsia="Arial" w:hAnsi="Arial"/>
          <w:sz w:val="20"/>
          <w:szCs w:val="20"/>
          <w:color w:val="auto"/>
        </w:rPr>
        <w:t>out, at any time prior to 1:00 p.m. (British Summer Time) on 10 June 2016.</w:t>
      </w:r>
    </w:p>
    <w:p>
      <w:pPr>
        <w:spacing w:after="0" w:line="17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 proposed at the Annual General Meeting. Attending the Annual General Meeting without taking further action will not automatically revoke your prior proxy.</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Shareholders of record </w:t>
      </w:r>
      <w:r>
        <w:rPr>
          <w:rFonts w:ascii="Arial" w:cs="Arial" w:eastAsia="Arial" w:hAnsi="Arial"/>
          <w:sz w:val="20"/>
          <w:szCs w:val="20"/>
          <w:color w:val="auto"/>
        </w:rPr>
        <w:t>as at 6:00 p.m. (British Summer Time) on 13 June 2016, may attend the Annual General Meeting. If you are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of record, you will need to present the proxy card that you received, together with a form of person photo identification, in order to be admitted into the meeting.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are the </w:t>
      </w:r>
      <w:r>
        <w:rPr>
          <w:rFonts w:ascii="Arial" w:cs="Arial" w:eastAsia="Arial" w:hAnsi="Arial"/>
          <w:sz w:val="20"/>
          <w:szCs w:val="20"/>
          <w:b w:val="1"/>
          <w:bCs w:val="1"/>
          <w:color w:val="auto"/>
        </w:rPr>
        <w:t>beneficial owner</w:t>
      </w:r>
      <w:r>
        <w:rPr>
          <w:rFonts w:ascii="Arial" w:cs="Arial" w:eastAsia="Arial" w:hAnsi="Arial"/>
          <w:sz w:val="20"/>
          <w:szCs w:val="20"/>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Annual General Meeting.</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hold your Ordinary Shares via </w:t>
      </w:r>
      <w:r>
        <w:rPr>
          <w:rFonts w:ascii="Arial" w:cs="Arial" w:eastAsia="Arial" w:hAnsi="Arial"/>
          <w:sz w:val="20"/>
          <w:szCs w:val="20"/>
          <w:b w:val="1"/>
          <w:bCs w:val="1"/>
          <w:color w:val="auto"/>
        </w:rPr>
        <w:t>Domestic Depositary Interests</w:t>
      </w:r>
      <w:r>
        <w:rPr>
          <w:rFonts w:ascii="Arial" w:cs="Arial" w:eastAsia="Arial" w:hAnsi="Arial"/>
          <w:sz w:val="20"/>
          <w:szCs w:val="20"/>
          <w:color w:val="auto"/>
        </w:rPr>
        <w:t xml:space="preserve"> and would like to attend, speak and vote in person at the Annual General Meeting, please contact the Depositary, contact details for whom are set out in the DDI Form of Instruction, who will provide you with a letter of representation with respect to your Domestic Depositary Interest holding that will enable you to attend, speak at and vote your underlying Ordinary Shares at the Annual General Meeting on the Depositary’s behalf.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cameras, recording equipment, electronic devices, large bags, briefcases or packages will be permitted into the meeting or adjacent areas.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All other items may be subject to search.</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pay the costs of this proxy solicitation?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will pay the expenses of the preparation of proxy materials and the solicitation of proxies for the Annual General Meeting. The Company has also retained Georgeson to assist in the solicitation of proxies at a cost of $6,500, plus reasonable out of pocket expenses. In addition to the solicitation of proxies by mail, solicitation may be made on our behalf by certain directors, officers or employees of LivaNova and its subsidiaries telephonically, electronically or by any other means of communication. Directors, officers and employees of LivaNova and its subsidiaries will receive no additional compensation for such solicitation. The Company will also reimburse banks, brokers and other nominees for reasonable expenses incurred by them in forwarding proxy materials to beneficial owners.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count the votes?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the Company’s transfer agent, Computershare Investor Services PLC, will count the vote and serve as scrutineers of the poll.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the voting results of the Annual General Meeting?</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preliminary voting results will be announced at the Annual General Meeting. The final voting results will be checked by the scrutineers and disclosed by way of an announcement via a regulatory information service in the UK and a Current Report on Form 8-K, which LivaNova is required to file with the SEC. The results of the polls taken on the resolutions at the Annual General Meeting and any other information required by the Companies Act will be made available on the Company’s website (</w:t>
      </w:r>
      <w:r>
        <w:rPr>
          <w:rFonts w:ascii="Arial" w:cs="Arial" w:eastAsia="Arial" w:hAnsi="Arial"/>
          <w:sz w:val="19"/>
          <w:szCs w:val="19"/>
          <w:i w:val="1"/>
          <w:iCs w:val="1"/>
          <w:color w:val="auto"/>
        </w:rPr>
        <w:t>www.livanova.com</w:t>
      </w:r>
      <w:r>
        <w:rPr>
          <w:rFonts w:ascii="Arial" w:cs="Arial" w:eastAsia="Arial" w:hAnsi="Arial"/>
          <w:sz w:val="19"/>
          <w:szCs w:val="19"/>
          <w:color w:val="auto"/>
        </w:rPr>
        <w:t>) as soon as reasonably practicable after the Annual General Meeting and for a period of two years thereafter.</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obtain directions to the Annual General Meeting?</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map showing the location of the Annual General Meeting is set out on the next page. The nearest London underground stations are Liverpool Street, Bank and Tower Hill stations. There are also bus stops directly outside the meeting location, served by bus routes 8, 26, 78, 100, 242 and 388.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please contact </w:t>
      </w:r>
      <w:r>
        <w:rPr>
          <w:rFonts w:ascii="Arial" w:cs="Arial" w:eastAsia="Arial" w:hAnsi="Arial"/>
          <w:sz w:val="20"/>
          <w:szCs w:val="20"/>
          <w:u w:val="single" w:color="auto"/>
          <w:color w:val="auto"/>
        </w:rPr>
        <w:t>2016AGM@livanova.com</w:t>
      </w:r>
      <w:r>
        <w:rPr>
          <w:rFonts w:ascii="Arial" w:cs="Arial" w:eastAsia="Arial" w:hAnsi="Arial"/>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Location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377180" cy="3129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718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 sets forth, as of 27 April 2016, except where otherwise noted, certain information with respect to the amount of the Company’s ordinary shares (“</w:t>
      </w:r>
      <w:r>
        <w:rPr>
          <w:rFonts w:ascii="Arial" w:cs="Arial" w:eastAsia="Arial" w:hAnsi="Arial"/>
          <w:sz w:val="20"/>
          <w:szCs w:val="20"/>
          <w:b w:val="1"/>
          <w:bCs w:val="1"/>
          <w:color w:val="auto"/>
        </w:rPr>
        <w:t>Ordinary Shares</w:t>
      </w:r>
      <w:r>
        <w:rPr>
          <w:rFonts w:ascii="Arial" w:cs="Arial" w:eastAsia="Arial" w:hAnsi="Arial"/>
          <w:sz w:val="20"/>
          <w:szCs w:val="20"/>
          <w:color w:val="auto"/>
        </w:rPr>
        <w:t>”)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Applicable percentage ownership and voting power is based on 49,047,152 Ordinary Shares outstanding as of 27 April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Amount and Nature of Beneficial Ownership (1)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2"/>
              </w:rPr>
              <w:t>Shares</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Acquirable</w:t>
            </w:r>
          </w:p>
        </w:tc>
        <w:tc>
          <w:tcPr>
            <w:tcW w:w="1040" w:type="dxa"/>
            <w:vAlign w:val="bottom"/>
            <w:gridSpan w:val="2"/>
            <w:vMerge w:val="continue"/>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Within 60</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gridSpan w:val="3"/>
            <w:vMerge w:val="continue"/>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Ownership</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Class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André-Michel Ballester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80,959</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80,959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28,347</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28,347</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14,948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14,948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Demetrio Mauro (3)</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18,759</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18,759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Directors: </w:t>
            </w: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Moore (5)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67,023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2,233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69,256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Hugh M. Morrison (6)</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8,815</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10,024</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Stefano Gianotti</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15,265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16,474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Alfred J. Novak</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17,020</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18,229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O’Kane, Ph.D.</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All current executive officers and directors</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as a group (18 persons)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319,090</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9,487</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328,577</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 Not Listed Above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Bios S.p.A. (7)</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Piazza Armando Diaz, n. 7</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20123 – Milan (Italy)</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4,262,285</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4,262,285</w:t>
            </w:r>
          </w:p>
        </w:tc>
        <w:tc>
          <w:tcPr>
            <w:tcW w:w="3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Tower 6 S. à r.l. (7)</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 Place du Théâtre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L-2613 Luxembourg</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5,748,369</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5,748,369</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 (8)</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55 East 52nd Street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New York, NY 10055</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3,727,316</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3,727,316</w:t>
            </w:r>
          </w:p>
        </w:tc>
        <w:tc>
          <w:tcPr>
            <w:tcW w:w="3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886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SEC’s rules and regulations and generally includes voting or investment power with respect to securities. Ordinary Shares subject to options and warrants currently exercisable, or exercisable within 60 days after 27 April 2016,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total Ordinary Shares outstanding of 49,047,152 at 27 April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Mauro amicably resigned from his role as the Company’s Chief Integration Office effective 31 December 2015, and is not currently an employee of LivaNova.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the beneficial ownership of Mr. Ballester, which is reported above.</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Beneficial Ownership column includes 2,586 Ordinary Shares owned by the DJM Family Partnership, Ltd., in which Mr. Moore’s spouse, Grace M. Moore, owns a limited partner interest and holds sole investment power.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4,315 Ordinary Shares owned by Mr. Morrison are pledged as collateral in connection with a margin account.</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of 31 December 2015, based on a Schedule 13G dated 23 February 2016 jointly filed by Mittel S.p.A., Bios S.p.A., Equinox Two S.c.a., Tower 6 S. à r.l. and Tower 6 Bis S. à r.l. In such Schedule 13G, each of Bios S.p.A. and Mittel S.p.A. (because of Mittel S.p.A.’s and Tower 6 Bis S. à r.l. 50:50 shared ownership of Bios S.p.A.) reported having sole voting and dispositive power over no shares and shared voting and dispositive power over 4,262,285 Ordinary Shares. Each of Tower 6 S. à r.l. (because of Mittel S.p.A.’s and Tower 6 Bis S. à r.l. 50:50 shared ownership of Bios S.p.A. and Tower 6 S. à r.l.’s indirect ownership of 1,486,084 Ordinary Shares owned by Tower 6 Bis S. à r.l., a wholly owned subsidiary of Tower 6 S. à r.l.) and Equinox Two S.c.a. (because of Equinox Two S.c.a.’s sole ownership of Tower 6 S. à r.l.) reported having sole voting and dispositive power over no shares and shared voting and dispositive power over 5,748,369 Ordinary Shares.</w:t>
      </w:r>
    </w:p>
    <w:p>
      <w:pPr>
        <w:spacing w:after="0" w:line="3" w:lineRule="exact"/>
        <w:rPr>
          <w:rFonts w:ascii="Arial" w:cs="Arial" w:eastAsia="Arial" w:hAnsi="Arial"/>
          <w:sz w:val="18"/>
          <w:szCs w:val="18"/>
          <w:color w:val="auto"/>
        </w:rPr>
      </w:pPr>
    </w:p>
    <w:p>
      <w:pPr>
        <w:jc w:val="both"/>
        <w:ind w:left="460" w:hanging="452"/>
        <w:spacing w:after="0" w:line="277"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31 December 2015, based on a Schedule 13G dated 28 January 2016 filed by Blackrock, Inc. In such Schedule 13G, Blackrock, Inc. reported having sole voting power over 3,636,304 Ordinary Shares, shared voting power over no shares, sole dispositive power over 3,727,316 Ordinary Shares and shared dispositive power over no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Independent Auditor</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19 October 2015, the Audit &amp; Compliance Committee of LivaNova appointed PricewaterhouseCoopers S.p.A. as the Company’s independent registered public accounting firm until the end of the next period for appointing auditors under section 489(3)(a) of the Companies Act.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KPMG LLP (“KPMG”) was the independent registered public accountant of Cyberonics prior to consummation of the Mergers and the independent auditor that audited Cyberonics’ financial statements for the fiscal years ended 25 April 2014 and 24 April 2015. After completion of the Mergers, and as previously reported on the Current Report on Form 8-K filed by LivaNova with the SEC on 19 October 2015, KPMG was further engaged to complete its review of the interim financial information of Cyberonics included in a Transition Report on Form 10-Q (the “Transitional Form 10-Q”) filed by LivaNova with the SEC, as the successor company to Cyberonics, to report the results for Cyberonics and its consolidated subsidiaries for the transitional period 25 July 2015 to 18 October 2015. On 31 December 2015, as reported on the Current Report on Form 8-K (the “Form 8-K”) filed by LivaNova with the SEC on such date, the Audit &amp; Compliance Committee of LivaNova formally dismissed KPMG, in recognition that KPMG had completed its review of the interim financial information of Cyberonics and thereby its services on behalf of LivaNova and Cyberonics.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KPMG’s reports on Cyberonics’ financial statements for each of the fiscal years ended 25 April 2014 and 24 April 2015 did not contain an adverse opinion or disclaimer of opinion, nor were they qualified or modified as to uncertainty, audit scope or accounting principles.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years ended 25 April 2014 and 24 April 2015, and the subsequent interim period through 2 December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31 December 2015, is filed as Exhibit 16.1 to the Form 8-K.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Independent Auditor</w:t>
      </w:r>
    </w:p>
    <w:p>
      <w:pPr>
        <w:spacing w:after="0" w:line="22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following table summarises the aggregate fees billed to us by PricewaterhouseCoopers S.p.A. and its respective network member firms (the “Independent Auditor”) for services performed in connection with the transitional fiscal period 25 April 2015 to 31 December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40" w:type="dxa"/>
            <w:vAlign w:val="bottom"/>
            <w:gridSpan w:val="2"/>
          </w:tcPr>
          <w:p>
            <w:pPr>
              <w:ind w:left="6200"/>
              <w:spacing w:after="0"/>
              <w:rPr>
                <w:sz w:val="20"/>
                <w:szCs w:val="20"/>
                <w:color w:val="auto"/>
              </w:rPr>
            </w:pPr>
            <w:r>
              <w:rPr>
                <w:rFonts w:ascii="Arial" w:cs="Arial" w:eastAsia="Arial" w:hAnsi="Arial"/>
                <w:sz w:val="14"/>
                <w:szCs w:val="14"/>
                <w:b w:val="1"/>
                <w:bCs w:val="1"/>
                <w:color w:val="auto"/>
              </w:rPr>
              <w:t>Transitional</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rPr>
              <w:t>Period April</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rPr>
              <w:t>25, 2015 to</w:t>
            </w:r>
          </w:p>
        </w:tc>
        <w:tc>
          <w:tcPr>
            <w:tcW w:w="140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vMerge w:val="continue"/>
          </w:tcPr>
          <w:p>
            <w:pPr>
              <w:spacing w:after="0"/>
              <w:rPr>
                <w:sz w:val="14"/>
                <w:szCs w:val="14"/>
                <w:color w:val="auto"/>
              </w:rPr>
            </w:pPr>
          </w:p>
        </w:tc>
        <w:tc>
          <w:tcPr>
            <w:tcW w:w="7040" w:type="dxa"/>
            <w:vAlign w:val="bottom"/>
            <w:gridSpan w:val="2"/>
          </w:tcPr>
          <w:p>
            <w:pPr>
              <w:ind w:left="6200"/>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ind w:left="620"/>
              <w:spacing w:after="0"/>
              <w:rPr>
                <w:sz w:val="20"/>
                <w:szCs w:val="20"/>
                <w:color w:val="auto"/>
              </w:rPr>
            </w:pPr>
            <w:r>
              <w:rPr>
                <w:rFonts w:ascii="Arial" w:cs="Arial" w:eastAsia="Arial" w:hAnsi="Arial"/>
                <w:sz w:val="14"/>
                <w:szCs w:val="14"/>
                <w:b w:val="1"/>
                <w:bCs w:val="1"/>
                <w:color w:val="auto"/>
                <w:w w:val="91"/>
              </w:rPr>
              <w:t>2014 (5)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6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$3,785</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Audit-Related Fees (2)</w:t>
            </w:r>
          </w:p>
        </w:tc>
        <w:tc>
          <w:tcPr>
            <w:tcW w:w="7040" w:type="dxa"/>
            <w:vAlign w:val="bottom"/>
            <w:gridSpan w:val="2"/>
          </w:tcPr>
          <w:p>
            <w:pPr>
              <w:ind w:left="6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7040" w:type="dxa"/>
            <w:vAlign w:val="bottom"/>
            <w:gridSpan w:val="2"/>
            <w:shd w:val="clear" w:color="auto" w:fill="CCEEFF"/>
          </w:tcPr>
          <w:p>
            <w:pPr>
              <w:ind w:left="6200"/>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All Other Fees (4)</w:t>
            </w:r>
          </w:p>
        </w:tc>
        <w:tc>
          <w:tcPr>
            <w:tcW w:w="7040" w:type="dxa"/>
            <w:vAlign w:val="bottom"/>
            <w:gridSpan w:val="2"/>
          </w:tcPr>
          <w:p>
            <w:pPr>
              <w:ind w:left="6200"/>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40" w:type="dxa"/>
            <w:vAlign w:val="bottom"/>
            <w:gridSpan w:val="2"/>
            <w:shd w:val="clear" w:color="auto" w:fill="CCEEFF"/>
          </w:tcPr>
          <w:p>
            <w:pPr>
              <w:ind w:left="6200"/>
              <w:spacing w:after="0"/>
              <w:rPr>
                <w:sz w:val="20"/>
                <w:szCs w:val="20"/>
                <w:color w:val="auto"/>
              </w:rPr>
            </w:pPr>
            <w:r>
              <w:rPr>
                <w:rFonts w:ascii="Arial" w:cs="Arial" w:eastAsia="Arial" w:hAnsi="Arial"/>
                <w:sz w:val="18"/>
                <w:szCs w:val="18"/>
                <w:color w:val="auto"/>
              </w:rPr>
              <w:t>$4,262</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98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are fees we paid to the Independent Auditor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which are for assurance and related services other than those included in Audit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include applicable fees paid to the Independent Auditor for tax services, including tax compliance and tax advice.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Fees include fees paid to the Independent Auditor for certain cybersecurity and equity restructuring work.</w:t>
      </w:r>
    </w:p>
    <w:p>
      <w:pPr>
        <w:spacing w:after="0" w:line="9"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Cyberonics, which is considered the predecessor registrant to LivaNova, reported fees paid to KPMG, its principal auditor, for its fiscal years ended 25 April 2014 and 24 April 2015, respectively, in the following amounts (in thousands): audit fees – $1,054 and $1,034; audit-related fees – $0 and $215; tax fees – $53 and $220; and all other fees – $0 in both fiscal periods.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 &amp; Compliance Committee’s policy is to review and approve the plan and scope of the audit and non-audit services to be provided by the Independent Auditor and the fees to be paid for such services. Consistent with the Audit &amp; Compliance Committee Charter, all audit and non-audit services provided by the Independent Auditor for the relevant fiscal periods, and the estimated cost of those services, were pre-approved by the Audit &amp; Compliance Committee, which has determined that the services provided by the Independent Auditor were compatible with maintaining the Independent Auditor’s independence.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40"/>
        <w:spacing w:after="0" w:line="267" w:lineRule="auto"/>
        <w:rPr>
          <w:sz w:val="20"/>
          <w:szCs w:val="20"/>
          <w:color w:val="auto"/>
        </w:rPr>
      </w:pPr>
      <w:r>
        <w:rPr>
          <w:rFonts w:ascii="Arial" w:cs="Arial" w:eastAsia="Arial" w:hAnsi="Arial"/>
          <w:sz w:val="20"/>
          <w:szCs w:val="20"/>
          <w:b w:val="1"/>
          <w:bCs w:val="1"/>
          <w:color w:val="auto"/>
        </w:rPr>
        <w:t>PROPOSAL 1 – ORDINARY RESOLUTION TO RECEIVE AND ADOPT THE COMPANY’S UK ANNUAL REPORT AND ACCOUNTS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Board is required to present at the Annual General Meeting the Company’s audited UK statutory accounts and related reports for the period ended 31 December 2015 (the “</w:t>
      </w:r>
      <w:r>
        <w:rPr>
          <w:rFonts w:ascii="Arial" w:cs="Arial" w:eastAsia="Arial" w:hAnsi="Arial"/>
          <w:sz w:val="20"/>
          <w:szCs w:val="20"/>
          <w:b w:val="1"/>
          <w:bCs w:val="1"/>
          <w:color w:val="auto"/>
        </w:rPr>
        <w:t>UK Annual Report</w:t>
      </w:r>
      <w:r>
        <w:rPr>
          <w:rFonts w:ascii="Arial" w:cs="Arial" w:eastAsia="Arial" w:hAnsi="Arial"/>
          <w:sz w:val="20"/>
          <w:szCs w:val="20"/>
          <w:color w:val="auto"/>
        </w:rPr>
        <w:t>”).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center"/>
        <w:ind w:right="240"/>
        <w:spacing w:after="0" w:line="422" w:lineRule="auto"/>
        <w:rPr>
          <w:sz w:val="20"/>
          <w:szCs w:val="20"/>
          <w:color w:val="auto"/>
        </w:rPr>
      </w:pPr>
      <w:r>
        <w:rPr>
          <w:rFonts w:ascii="Arial" w:cs="Arial" w:eastAsia="Arial" w:hAnsi="Arial"/>
          <w:sz w:val="20"/>
          <w:szCs w:val="20"/>
          <w:b w:val="1"/>
          <w:bCs w:val="1"/>
          <w:color w:val="auto"/>
        </w:rPr>
        <w:t xml:space="preserve">The Company’s board of directors unanimously recommends that you vote “for” the receipt and adoption of the UK Annual Report. </w:t>
      </w:r>
      <w:r>
        <w:rPr>
          <w:rFonts w:ascii="Arial" w:cs="Arial" w:eastAsia="Arial" w:hAnsi="Arial"/>
          <w:sz w:val="20"/>
          <w:szCs w:val="20"/>
          <w:color w:val="auto"/>
        </w:rPr>
        <w:t>17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Directors’ Remuneration Report for 2015 is set out on pages 61 to 84 of the UK Annual Report. All UK incorporated companies that are “quoted companies” under the Companies Act are required to put their directors’ remuneration report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its shareholders to read the Directors’ Remuneration Report as set out on pages 61 to 84 of the UK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Company’s directors?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19 October 2015, we completed the Mergers, creating a premier global medical technology company with diverse expertise in neuormodulation and the treatment of cardiovascular diseases. Upon completion of the Mergers, we announced our new board of directors, which now includes:</w:t>
      </w:r>
    </w:p>
    <w:p>
      <w:pPr>
        <w:spacing w:after="0" w:line="213"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Daniel J. Moore, Chairman</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200"/>
              <w:spacing w:after="0"/>
              <w:rPr>
                <w:sz w:val="20"/>
                <w:szCs w:val="20"/>
                <w:color w:val="auto"/>
              </w:rPr>
            </w:pPr>
            <w:r>
              <w:rPr>
                <w:rFonts w:ascii="Arial" w:cs="Arial" w:eastAsia="Arial" w:hAnsi="Arial"/>
                <w:sz w:val="20"/>
                <w:szCs w:val="20"/>
                <w:color w:val="auto"/>
              </w:rPr>
              <w:t>Stefano Gianotti</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André-Michel Ballester, CEO</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180"/>
              <w:spacing w:after="0"/>
              <w:rPr>
                <w:sz w:val="20"/>
                <w:szCs w:val="20"/>
                <w:color w:val="auto"/>
              </w:rPr>
            </w:pPr>
            <w:r>
              <w:rPr>
                <w:rFonts w:ascii="Arial" w:cs="Arial" w:eastAsia="Arial" w:hAnsi="Arial"/>
                <w:sz w:val="20"/>
                <w:szCs w:val="20"/>
                <w:color w:val="auto"/>
                <w:w w:val="90"/>
              </w:rPr>
              <w:t>Arthur L. Rosenthal, Ph.D.</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Hugh M. Morrison</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180"/>
              <w:spacing w:after="0"/>
              <w:rPr>
                <w:sz w:val="20"/>
                <w:szCs w:val="20"/>
                <w:color w:val="auto"/>
              </w:rPr>
            </w:pPr>
            <w:r>
              <w:rPr>
                <w:rFonts w:ascii="Arial" w:cs="Arial" w:eastAsia="Arial" w:hAnsi="Arial"/>
                <w:sz w:val="20"/>
                <w:szCs w:val="20"/>
                <w:color w:val="auto"/>
              </w:rPr>
              <w:t>Alfred J. Novak</w:t>
            </w:r>
          </w:p>
        </w:tc>
      </w:tr>
      <w:tr>
        <w:trPr>
          <w:trHeight w:val="25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Francesco Bianchi</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200"/>
              <w:spacing w:after="0"/>
              <w:rPr>
                <w:sz w:val="20"/>
                <w:szCs w:val="20"/>
                <w:color w:val="auto"/>
              </w:rPr>
            </w:pPr>
            <w:r>
              <w:rPr>
                <w:rFonts w:ascii="Arial" w:cs="Arial" w:eastAsia="Arial" w:hAnsi="Arial"/>
                <w:sz w:val="20"/>
                <w:szCs w:val="20"/>
                <w:color w:val="auto"/>
              </w:rPr>
              <w:t>Sharon O’Kane, Ph.D</w:t>
            </w:r>
          </w:p>
        </w:tc>
      </w:tr>
    </w:tbl>
    <w:p>
      <w:pPr>
        <w:spacing w:after="0" w:line="200" w:lineRule="exact"/>
        <w:rPr>
          <w:sz w:val="20"/>
          <w:szCs w:val="20"/>
          <w:color w:val="auto"/>
        </w:rPr>
      </w:pP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terms of the merger agreement, from the effective time of the Mergers until the first annual meeting of the shareholders of the Company following completion of Company’s second full financial year, which we refer to as the initial period, our board will consist of nine members and be composed as follows: (i) four directors designated by Sorin; (ii) four directors designated by Cyberonics; and (iii) one director mutually agreed to by Sorin and Cyberonics. In addition, pursuant to the terms of the merger agreement, during the initial period: the Chief Executive Officer of Sorin as of immediately prior to the effective time of LivaNova’s merger with Sorin, Mr. Ballester, will serve as the Chief Executive Officer of LivaNova; the Chief Executive Officer of Cyberonics as of immediately prior to the effective time of LivaNova’s merger with Cyberonics will serve as the Chairman of LivaNova’s board of directors; one of Cyberonics’ designees on our board of directors will serve as the Chairman of our Audit &amp; Compliance Committee; one of Cyberonics’ designees on our board of directors will serve as Chairman of our Compensation Committee; each committee of our board of directors will have at least three members; and one of Sorin’s designees on the board of directors will serve as a member of each of LivaNova’s board committees.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16 November 2015, Rosario Bifulco, former ninth director and Chairman of our Nominating &amp; Governance Committee, resigned from his Board and committee position. The Nominating &amp; Corporate Governance Committee, chaired in the interim by Hugh Morrison, has since begun a search for Mr. Bifulco’s replacement.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Is this vote binding on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vote is advisory only, pursuant to the Companies Act, and the directors’ entitlement to receive remuneration is not conditional on it.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Payments made or promised to directors will not have to be repaid, reduced or withheld in the event that the resolution is not passed.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resolution and vote are a means of providing shareholder feedback to the board of directors. The Compensation Committee will review and consider the outcome of the vote in connection with the ongoing review of the Company’s executive director and non-executive director compensation programmes.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Directors’ Remuneration Report included in the UK Annual Report.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REGARDING THE DIRECTORS’ REMUNERATION POLICY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directors’ remuneration policy is set out on pages 63 to 75 of the Directors’ Remuneration Report in the form set out in the Company’s UK Annual Report. It sets out the Company’s forward-looking policy on directors’ remuneration (including information on payments to directors for loss of office) and is subject to a binding shareholders’ vote by ordinary resolution at least once every three years. On approval of the directors’ remuneration policy (and once it commences), all payments by the Company to its directors and former directors (in their capacity as directors) will be made in accordance with the directors’ remuneration policy, unless a payment has been separately approved by a shareholder resolution.</w:t>
      </w:r>
    </w:p>
    <w:p>
      <w:pPr>
        <w:spacing w:after="0" w:line="19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accordance with the Companies Act, the directors’ remuneration policy has been approved by and signed on behalf of the Company’s board of directors and will be delivered to the Registrar of Companies in the United Kingdom following the Annual General Meeting.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the directors’ remuneration policy is not approved at the Annual General Meeting?</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directors’ remuneration policy is not approved at the Annual General Meeting, the Company will incur additional expenses to comply with English law as it will be required to hold additional shareholder meetings until the policy is approved. In addition, if the directors’ remuneration policy is not approved, the Company may not be able to pay expected compensation to its directors, including the chief executive officer, which could materially harm its ability to retain top executives and manage its business.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center"/>
        <w:ind w:right="260"/>
        <w:spacing w:after="0" w:line="422" w:lineRule="auto"/>
        <w:rPr>
          <w:sz w:val="20"/>
          <w:szCs w:val="20"/>
          <w:color w:val="auto"/>
        </w:rPr>
      </w:pPr>
      <w:r>
        <w:rPr>
          <w:rFonts w:ascii="Arial" w:cs="Arial" w:eastAsia="Arial" w:hAnsi="Arial"/>
          <w:sz w:val="20"/>
          <w:szCs w:val="20"/>
          <w:b w:val="1"/>
          <w:bCs w:val="1"/>
          <w:color w:val="auto"/>
        </w:rPr>
        <w:t xml:space="preserve">The Company’s board of directors unanimously recommends that you vote “for” the approval of the directors’ remuneration policy. </w:t>
      </w:r>
      <w:r>
        <w:rPr>
          <w:rFonts w:ascii="Arial" w:cs="Arial" w:eastAsia="Arial" w:hAnsi="Arial"/>
          <w:sz w:val="20"/>
          <w:szCs w:val="20"/>
          <w:color w:val="auto"/>
        </w:rPr>
        <w:t>19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PROPOSAL 4 – ORDINARY RESOLUTION TO RE-APPOINT PRICEWATERHOUSECOOPERS LLP AS THE COMPANY’S UK STATUTORY AUDITOR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the Company’s UK statutory auditor must be re-appointed at each meeting at which the annual report and accounts are presented to shareholders. PricewaterhouseCoopers LLP has served as the Company’s UK statutory auditor since completion of the merger of Sorin and Cyberonics on 19 October 2015.</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this proposal does not receive the affirmative vote of a majority of the shares entitled to vote and present in person or represented by proxy at the Annual General Meeting, the board of directors may appoint an auditor to fill the vacancy.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The Company’s board of directors and Audit &amp; Compliance Committee unanimously recommend that you vote “for” the re-appointment of PricewaterhouseCoopers LLP as the Company’s UK statutory auditor under the Companies Act to hold office from the conclusion of the meeting until the conclusion of the next Annual General Meeting at which accounts are laid before the Company.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920"/>
        <w:spacing w:after="0" w:line="267" w:lineRule="auto"/>
        <w:rPr>
          <w:sz w:val="20"/>
          <w:szCs w:val="20"/>
          <w:color w:val="auto"/>
        </w:rPr>
      </w:pPr>
      <w:r>
        <w:rPr>
          <w:rFonts w:ascii="Arial" w:cs="Arial" w:eastAsia="Arial" w:hAnsi="Arial"/>
          <w:sz w:val="20"/>
          <w:szCs w:val="20"/>
          <w:b w:val="1"/>
          <w:bCs w:val="1"/>
          <w:color w:val="auto"/>
        </w:rPr>
        <w:t>PROPOSAL 5 – ORDINARY RESOLUTION TO RATIFY APPOINTMENT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Audit &amp; Compliance Committee has appointed PricewaterhouseCoopers S.p.A. as the Company’s independent registered public accounting firm for the year ending 31 December 2016, subject to ratification by the Company’s shareholders. Although the ratification of this appointment is not required to be submitted to a vote of the shareholders, the board of directors believes it appropriate as a matter of policy to request that the shareholders ratify the appointment of the registered public accounting firm for the year 2016.</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this proposal does not receive the affirmative vote of the holders of a majority of the shares entitled to vote and present in person or represented by proxy at the Annual General Meeting, the Audit &amp; Compliance Committee will reconsider the appointment, but may decide to maintain its appointment of PricewaterhouseCoopers S.p.A.</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anticipate that a representative of PricewaterhouseCoopers S.p.A. or an affiliated member firm will be present at the Annual General Meeting. The representative will be given the opportunity to make a statement if he or she desires to do so, and is expected to be available to respond to any appropriate questions that may be submitted by shareholders at the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The Company’s board of directors and Audit &amp; Compliance Committee unanimously recommend that you vote “for” the ratification of the appointment of PricewaterhouseCoopers S.p.A. as the Company’s independent registered public accounting firm for the year ending 31 December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940"/>
        <w:spacing w:after="0" w:line="293" w:lineRule="auto"/>
        <w:rPr>
          <w:sz w:val="20"/>
          <w:szCs w:val="20"/>
          <w:color w:val="auto"/>
        </w:rPr>
      </w:pPr>
      <w:r>
        <w:rPr>
          <w:rFonts w:ascii="Arial" w:cs="Arial" w:eastAsia="Arial" w:hAnsi="Arial"/>
          <w:sz w:val="19"/>
          <w:szCs w:val="19"/>
          <w:b w:val="1"/>
          <w:bCs w:val="1"/>
          <w:color w:val="auto"/>
        </w:rPr>
        <w:t>PROPOSAL 6 – ORDINARY RESOLUTION TO AUTHORISE THE BOARD OF DIRECTORS AND/OR THE AUDIT &amp; COMPLIANCE COMMITTEE TO DETERMINE THE COMPANY’S UK STATUTORY AUDITOR’S REMUNERATION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Companies Act, the remuneration of the Company’s UK statutory auditor must be fixed in a general meeting or in such manner as may be determined in a general meeting. The Company is asking its shareholders to authorise the board of directors and/or the Audit &amp; Compliance Committee of the Company to determine the remuneration of PricewaterhouseCoopers LLP in its capacity as the Company’s UK statutory auditor under the Companies 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authorisation of the board of directors and/or the Audit &amp; Compliance Committee to determine the Company’s UK statutory auditor’s remuneration.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320"/>
        <w:spacing w:after="0" w:line="267" w:lineRule="auto"/>
        <w:rPr>
          <w:sz w:val="20"/>
          <w:szCs w:val="20"/>
          <w:color w:val="auto"/>
        </w:rPr>
      </w:pPr>
      <w:r>
        <w:rPr>
          <w:rFonts w:ascii="Arial" w:cs="Arial" w:eastAsia="Arial" w:hAnsi="Arial"/>
          <w:sz w:val="20"/>
          <w:szCs w:val="20"/>
          <w:b w:val="1"/>
          <w:bCs w:val="1"/>
          <w:color w:val="auto"/>
        </w:rPr>
        <w:t>PROPOSAL 7 – ORDINARY RESOLUTION TO APPROVE FORM OF SHARE REPURCHASE CONTRACTS AND REPURCHASE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Under the Companies Act, the Company may only repurchase its Ordinary Shares (a) in an “on-market purchase” in accordance with the Companies Act or (b) in accordance with specific procedures for “off-market purchases” of such Ordinary Shares. Any repurchase of the Company’s Ordinary Shares through NASDAQ constitutes an “off-market” transaction. As such, these repurchases may only be made pursuant to a form of share repurchase contract which has been approved by the Company’s shareholders. In addition, the Company may only conduct share repurchases through NASDAQ through counterparties approved by the Company’s shareholders. These approvals, if granted, will be valid for five years.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Approval of the forms of contract and counterparties are not an approval of the amount or timing of any repurchase activity. There cannot be any assurance as to whether the Company will repurchase any of its Ordinary Shares or as to the amount of any such repurchases or the prices at which such repurchases may be made.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repurchases by the Company of its Ordinary Shares carried out through NASDAQ pursuant to this authority would be conducted in accordance with all applicable US, UK and European Union securities laws.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Ordinary Shares purchased pursuant to this authority may either be held as treasury shares or cancelled by the Company, depending on which course of action is considered by the directors to be in the best interest of shareholders at the time.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is seeking authority to make off-market purchases of its Ordinary Shares on NASDAQ pursuant to this Proposal 7 and to make on-market purchases of its Ordinary Shares on the London Stock Exchange pursuant to Proposal 8. In certain circumstances, it may be advantageous for the Company to purchase its own shares. If Proposal 7 is approved, the Company’s board of directors may approve the repurchase of Ordinary Shares on NASDAQ. The directors will exercise this power only when, in light of market conditions prevailing at the time, they believe that the effect of such purchases will be in the best interests and to the corporate benefit of shareholders generally. The directors consider it to be desirable for this general authority to be available to provide flexibility in the management of the Company’s capital resources. In addition, other investment opportunities, appropriate gearing levels and the overall position of the group will also be taken into account when determining whether to exercise this authority.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are the material terms of the share repurchase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the approval of its shareholders of two forms of share repurchase contract (the “</w:t>
      </w:r>
      <w:r>
        <w:rPr>
          <w:rFonts w:ascii="Arial" w:cs="Arial" w:eastAsia="Arial" w:hAnsi="Arial"/>
          <w:sz w:val="18"/>
          <w:szCs w:val="18"/>
          <w:b w:val="1"/>
          <w:bCs w:val="1"/>
          <w:color w:val="auto"/>
        </w:rPr>
        <w:t>Share Repurchase Contracts</w:t>
      </w:r>
      <w:r>
        <w:rPr>
          <w:rFonts w:ascii="Arial" w:cs="Arial" w:eastAsia="Arial" w:hAnsi="Arial"/>
          <w:sz w:val="18"/>
          <w:szCs w:val="18"/>
          <w:color w:val="auto"/>
        </w:rPr>
        <w:t>”):</w:t>
      </w:r>
    </w:p>
    <w:p>
      <w:pPr>
        <w:spacing w:after="0" w:line="272" w:lineRule="exact"/>
        <w:rPr>
          <w:sz w:val="20"/>
          <w:szCs w:val="20"/>
          <w:color w:val="auto"/>
        </w:rPr>
      </w:pPr>
    </w:p>
    <w:p>
      <w:pPr>
        <w:jc w:val="both"/>
        <w:ind w:left="1000" w:hanging="317"/>
        <w:spacing w:after="0" w:line="282"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of agreement attached as Appendix A to this proxy statement provides that the counterparty will purchase Ordinary Shares on NASDAQ at such prices and in such quantities as LivaNova may instruct from time to time, subject to the limitations set forth in Rule 10b-18 of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The agreement provides that the counterparty will purchase the Ordinary Shares as principal and sell any Ordinary Shares purchased to LivaNova.</w:t>
      </w:r>
    </w:p>
    <w:p>
      <w:pPr>
        <w:spacing w:after="0" w:line="188" w:lineRule="exact"/>
        <w:rPr>
          <w:rFonts w:ascii="Arial" w:cs="Arial" w:eastAsia="Arial" w:hAnsi="Arial"/>
          <w:sz w:val="18"/>
          <w:szCs w:val="18"/>
          <w:color w:val="auto"/>
        </w:rPr>
      </w:pPr>
    </w:p>
    <w:p>
      <w:pPr>
        <w:jc w:val="both"/>
        <w:ind w:left="1000" w:hanging="317"/>
        <w:spacing w:after="0" w:line="260" w:lineRule="auto"/>
        <w:tabs>
          <w:tab w:leader="none" w:pos="10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form of agreement attached as Appendix B to this proxy statement is a form of repurchase plan which LivaNova may enter into from time to time to purchase a specified dollar amount of Ordinary Shares on NASDAQ each day if the Ordinary Shares are trading below a specified price. The amount to be purchased each day, the limit price and the total amount that may be purchased under the agreement will be determined at the time the plan is executed. The agreement provides that the counterparty will purchase the Ordinary Shares as principal and sell any Ordinary Shares purchased to LivaNova.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approved counterparties?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LivaNova may only enter into Share Repurchase Contracts with counterparties approved by its shareholders. LivaNova therefore seeks approval to conduct repurchases through the following counterparties (or their subsidiaries or affiliates from time to time):</w:t>
      </w:r>
    </w:p>
    <w:p>
      <w:pPr>
        <w:sectPr>
          <w:pgSz w:w="11900" w:h="16838" w:orient="portrait"/>
          <w:cols w:equalWidth="0" w:num="1">
            <w:col w:w="11420"/>
          </w:cols>
          <w:pgMar w:left="240" w:top="459"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Barclays Capital Inc.</w:t>
      </w:r>
    </w:p>
    <w:p>
      <w:pPr>
        <w:spacing w:after="0"/>
        <w:rPr>
          <w:sz w:val="20"/>
          <w:szCs w:val="20"/>
          <w:color w:val="auto"/>
        </w:rPr>
      </w:pPr>
      <w:r>
        <w:rPr>
          <w:rFonts w:ascii="Arial" w:cs="Arial" w:eastAsia="Arial" w:hAnsi="Arial"/>
          <w:sz w:val="20"/>
          <w:szCs w:val="20"/>
          <w:color w:val="auto"/>
        </w:rPr>
        <w:t>Berenberg Capital Markets LLC</w:t>
      </w:r>
    </w:p>
    <w:p>
      <w:pPr>
        <w:spacing w:after="0"/>
        <w:rPr>
          <w:sz w:val="20"/>
          <w:szCs w:val="20"/>
          <w:color w:val="auto"/>
        </w:rPr>
      </w:pPr>
      <w:r>
        <w:rPr>
          <w:rFonts w:ascii="Arial" w:cs="Arial" w:eastAsia="Arial" w:hAnsi="Arial"/>
          <w:sz w:val="19"/>
          <w:szCs w:val="19"/>
          <w:color w:val="auto"/>
        </w:rPr>
        <w:t>BNY Mellon Capital Markets,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Blaylock Robert Van, LLC</w:t>
      </w:r>
    </w:p>
    <w:p>
      <w:pPr>
        <w:spacing w:after="0"/>
        <w:rPr>
          <w:sz w:val="20"/>
          <w:szCs w:val="20"/>
          <w:color w:val="auto"/>
        </w:rPr>
      </w:pPr>
      <w:r>
        <w:rPr>
          <w:rFonts w:ascii="Arial" w:cs="Arial" w:eastAsia="Arial" w:hAnsi="Arial"/>
          <w:sz w:val="20"/>
          <w:szCs w:val="20"/>
          <w:color w:val="auto"/>
        </w:rPr>
        <w:t>BNP Paribas Securities Corp</w:t>
      </w:r>
    </w:p>
    <w:p>
      <w:pPr>
        <w:spacing w:after="0"/>
        <w:rPr>
          <w:sz w:val="20"/>
          <w:szCs w:val="20"/>
          <w:color w:val="auto"/>
        </w:rPr>
      </w:pPr>
      <w:r>
        <w:rPr>
          <w:rFonts w:ascii="Arial" w:cs="Arial" w:eastAsia="Arial" w:hAnsi="Arial"/>
          <w:sz w:val="20"/>
          <w:szCs w:val="20"/>
          <w:color w:val="auto"/>
        </w:rPr>
        <w:t>Citibank Global Markets</w:t>
      </w:r>
    </w:p>
    <w:p>
      <w:pPr>
        <w:spacing w:after="0"/>
        <w:rPr>
          <w:sz w:val="20"/>
          <w:szCs w:val="20"/>
          <w:color w:val="auto"/>
        </w:rPr>
      </w:pPr>
      <w:r>
        <w:rPr>
          <w:rFonts w:ascii="Arial" w:cs="Arial" w:eastAsia="Arial" w:hAnsi="Arial"/>
          <w:sz w:val="20"/>
          <w:szCs w:val="20"/>
          <w:color w:val="auto"/>
        </w:rPr>
        <w:t>Crédit Agricole Securities</w:t>
      </w:r>
    </w:p>
    <w:p>
      <w:pPr>
        <w:spacing w:after="0"/>
        <w:rPr>
          <w:sz w:val="20"/>
          <w:szCs w:val="20"/>
          <w:color w:val="auto"/>
        </w:rPr>
      </w:pPr>
      <w:r>
        <w:rPr>
          <w:rFonts w:ascii="Arial" w:cs="Arial" w:eastAsia="Arial" w:hAnsi="Arial"/>
          <w:sz w:val="18"/>
          <w:szCs w:val="18"/>
          <w:color w:val="auto"/>
        </w:rPr>
        <w:t>Credit Suisse Securities (USA)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Deutsche Bank Securities, Inc.</w:t>
      </w:r>
    </w:p>
    <w:p>
      <w:pPr>
        <w:spacing w:after="0"/>
        <w:rPr>
          <w:sz w:val="20"/>
          <w:szCs w:val="20"/>
          <w:color w:val="auto"/>
        </w:rPr>
      </w:pPr>
      <w:r>
        <w:rPr>
          <w:rFonts w:ascii="Arial" w:cs="Arial" w:eastAsia="Arial" w:hAnsi="Arial"/>
          <w:sz w:val="20"/>
          <w:szCs w:val="20"/>
          <w:color w:val="auto"/>
        </w:rPr>
        <w:t>Drexel Hamilton, LLC</w:t>
      </w:r>
    </w:p>
    <w:p>
      <w:pPr>
        <w:spacing w:after="0"/>
        <w:rPr>
          <w:sz w:val="20"/>
          <w:szCs w:val="20"/>
          <w:color w:val="auto"/>
        </w:rPr>
      </w:pPr>
      <w:r>
        <w:rPr>
          <w:rFonts w:ascii="Arial" w:cs="Arial" w:eastAsia="Arial" w:hAnsi="Arial"/>
          <w:sz w:val="20"/>
          <w:szCs w:val="20"/>
          <w:color w:val="auto"/>
        </w:rPr>
        <w:t>Goldman, Sachs &amp; Co.</w:t>
      </w:r>
    </w:p>
    <w:p>
      <w:pPr>
        <w:spacing w:after="0"/>
        <w:rPr>
          <w:sz w:val="20"/>
          <w:szCs w:val="20"/>
          <w:color w:val="auto"/>
        </w:rPr>
      </w:pPr>
      <w:r>
        <w:rPr>
          <w:rFonts w:ascii="Arial" w:cs="Arial" w:eastAsia="Arial" w:hAnsi="Arial"/>
          <w:sz w:val="20"/>
          <w:szCs w:val="20"/>
          <w:color w:val="auto"/>
        </w:rPr>
        <w:t>HSBC Securities</w:t>
      </w:r>
    </w:p>
    <w:p>
      <w:pPr>
        <w:spacing w:after="0"/>
        <w:rPr>
          <w:sz w:val="20"/>
          <w:szCs w:val="20"/>
          <w:color w:val="auto"/>
        </w:rPr>
      </w:pPr>
      <w:r>
        <w:rPr>
          <w:rFonts w:ascii="Arial" w:cs="Arial" w:eastAsia="Arial" w:hAnsi="Arial"/>
          <w:sz w:val="20"/>
          <w:szCs w:val="20"/>
          <w:color w:val="auto"/>
        </w:rPr>
        <w:t>J.P. Morgan Securities, LLC</w:t>
      </w:r>
    </w:p>
    <w:p>
      <w:pPr>
        <w:spacing w:after="0"/>
        <w:rPr>
          <w:sz w:val="20"/>
          <w:szCs w:val="20"/>
          <w:color w:val="auto"/>
        </w:rPr>
      </w:pPr>
      <w:r>
        <w:rPr>
          <w:rFonts w:ascii="Arial" w:cs="Arial" w:eastAsia="Arial" w:hAnsi="Arial"/>
          <w:sz w:val="20"/>
          <w:szCs w:val="20"/>
          <w:color w:val="auto"/>
        </w:rPr>
        <w:t>Keefe, Bruyette and Woods, Inc.</w:t>
      </w:r>
    </w:p>
    <w:p>
      <w:pPr>
        <w:spacing w:after="0"/>
        <w:rPr>
          <w:sz w:val="20"/>
          <w:szCs w:val="20"/>
          <w:color w:val="auto"/>
        </w:rPr>
      </w:pPr>
      <w:r>
        <w:rPr>
          <w:rFonts w:ascii="Arial" w:cs="Arial" w:eastAsia="Arial" w:hAnsi="Arial"/>
          <w:sz w:val="20"/>
          <w:szCs w:val="20"/>
          <w:color w:val="auto"/>
        </w:rPr>
        <w:t>KeyBanc Capital Markets, Inc.</w:t>
      </w:r>
    </w:p>
    <w:p>
      <w:pPr>
        <w:spacing w:after="0"/>
        <w:rPr>
          <w:sz w:val="20"/>
          <w:szCs w:val="20"/>
          <w:color w:val="auto"/>
        </w:rPr>
      </w:pPr>
      <w:r>
        <w:rPr>
          <w:rFonts w:ascii="Arial" w:cs="Arial" w:eastAsia="Arial" w:hAnsi="Arial"/>
          <w:sz w:val="20"/>
          <w:szCs w:val="20"/>
          <w:color w:val="auto"/>
        </w:rPr>
        <w:t>Kota Global Securities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Lloyds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Loop Capital Markets LLC</w:t>
      </w:r>
    </w:p>
    <w:p>
      <w:pPr>
        <w:spacing w:after="0"/>
        <w:rPr>
          <w:sz w:val="20"/>
          <w:szCs w:val="20"/>
          <w:color w:val="auto"/>
        </w:rPr>
      </w:pPr>
      <w:r>
        <w:rPr>
          <w:rFonts w:ascii="Arial" w:cs="Arial" w:eastAsia="Arial" w:hAnsi="Arial"/>
          <w:sz w:val="20"/>
          <w:szCs w:val="20"/>
          <w:color w:val="auto"/>
        </w:rPr>
        <w:t>M.R. Beal &amp; Company</w:t>
      </w:r>
    </w:p>
    <w:p>
      <w:pPr>
        <w:spacing w:after="0"/>
        <w:rPr>
          <w:sz w:val="20"/>
          <w:szCs w:val="20"/>
          <w:color w:val="auto"/>
        </w:rPr>
      </w:pPr>
      <w:r>
        <w:rPr>
          <w:rFonts w:ascii="Arial" w:cs="Arial" w:eastAsia="Arial" w:hAnsi="Arial"/>
          <w:sz w:val="20"/>
          <w:szCs w:val="20"/>
          <w:color w:val="auto"/>
        </w:rPr>
        <w:t>Morgan Stanley &amp; Co. LLC</w:t>
      </w:r>
    </w:p>
    <w:p>
      <w:pPr>
        <w:spacing w:after="0"/>
        <w:rPr>
          <w:sz w:val="20"/>
          <w:szCs w:val="20"/>
          <w:color w:val="auto"/>
        </w:rPr>
      </w:pPr>
      <w:r>
        <w:rPr>
          <w:rFonts w:ascii="Arial" w:cs="Arial" w:eastAsia="Arial" w:hAnsi="Arial"/>
          <w:sz w:val="20"/>
          <w:szCs w:val="20"/>
          <w:color w:val="auto"/>
        </w:rPr>
        <w:t>Natixis</w:t>
      </w:r>
    </w:p>
    <w:p>
      <w:pPr>
        <w:spacing w:after="0"/>
        <w:rPr>
          <w:sz w:val="20"/>
          <w:szCs w:val="20"/>
          <w:color w:val="auto"/>
        </w:rPr>
      </w:pPr>
      <w:r>
        <w:rPr>
          <w:rFonts w:ascii="Arial" w:cs="Arial" w:eastAsia="Arial" w:hAnsi="Arial"/>
          <w:sz w:val="20"/>
          <w:szCs w:val="20"/>
          <w:color w:val="auto"/>
        </w:rPr>
        <w:t>Northern Trust Securities, Inc.</w:t>
      </w:r>
    </w:p>
    <w:p>
      <w:pPr>
        <w:spacing w:after="0"/>
        <w:rPr>
          <w:sz w:val="20"/>
          <w:szCs w:val="20"/>
          <w:color w:val="auto"/>
        </w:rPr>
      </w:pPr>
      <w:r>
        <w:rPr>
          <w:rFonts w:ascii="Arial" w:cs="Arial" w:eastAsia="Arial" w:hAnsi="Arial"/>
          <w:sz w:val="20"/>
          <w:szCs w:val="20"/>
          <w:color w:val="auto"/>
        </w:rPr>
        <w:t>Piper Jaffray</w:t>
      </w:r>
    </w:p>
    <w:p>
      <w:pPr>
        <w:spacing w:after="0"/>
        <w:rPr>
          <w:sz w:val="20"/>
          <w:szCs w:val="20"/>
          <w:color w:val="auto"/>
        </w:rPr>
      </w:pPr>
      <w:r>
        <w:rPr>
          <w:rFonts w:ascii="Arial" w:cs="Arial" w:eastAsia="Arial" w:hAnsi="Arial"/>
          <w:sz w:val="19"/>
          <w:szCs w:val="19"/>
          <w:color w:val="auto"/>
        </w:rPr>
        <w:t>RBC Capital Markets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RBS Securities Inc.</w:t>
      </w:r>
    </w:p>
    <w:p>
      <w:pPr>
        <w:spacing w:after="0"/>
        <w:rPr>
          <w:sz w:val="20"/>
          <w:szCs w:val="20"/>
          <w:color w:val="auto"/>
        </w:rPr>
      </w:pPr>
      <w:r>
        <w:rPr>
          <w:rFonts w:ascii="Arial" w:cs="Arial" w:eastAsia="Arial" w:hAnsi="Arial"/>
          <w:sz w:val="16"/>
          <w:szCs w:val="16"/>
          <w:color w:val="auto"/>
        </w:rPr>
        <w:t>Société Générale Securities Services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ScotiaBank Capital Markets</w:t>
      </w:r>
    </w:p>
    <w:p>
      <w:pPr>
        <w:spacing w:after="0"/>
        <w:rPr>
          <w:sz w:val="20"/>
          <w:szCs w:val="20"/>
          <w:color w:val="auto"/>
        </w:rPr>
      </w:pPr>
      <w:r>
        <w:rPr>
          <w:rFonts w:ascii="Arial" w:cs="Arial" w:eastAsia="Arial" w:hAnsi="Arial"/>
          <w:sz w:val="20"/>
          <w:szCs w:val="20"/>
          <w:color w:val="auto"/>
        </w:rPr>
        <w:t>Stifel, Nicolaus &amp; Company</w:t>
      </w:r>
    </w:p>
    <w:p>
      <w:pPr>
        <w:spacing w:after="0"/>
        <w:rPr>
          <w:sz w:val="20"/>
          <w:szCs w:val="20"/>
          <w:color w:val="auto"/>
        </w:rPr>
      </w:pPr>
      <w:r>
        <w:rPr>
          <w:rFonts w:ascii="Arial" w:cs="Arial" w:eastAsia="Arial" w:hAnsi="Arial"/>
          <w:sz w:val="20"/>
          <w:szCs w:val="20"/>
          <w:color w:val="auto"/>
        </w:rPr>
        <w:t>Topeka Capital Markets</w:t>
      </w:r>
    </w:p>
    <w:p>
      <w:pPr>
        <w:spacing w:after="0"/>
        <w:rPr>
          <w:sz w:val="20"/>
          <w:szCs w:val="20"/>
          <w:color w:val="auto"/>
        </w:rPr>
      </w:pPr>
      <w:r>
        <w:rPr>
          <w:rFonts w:ascii="Arial" w:cs="Arial" w:eastAsia="Arial" w:hAnsi="Arial"/>
          <w:sz w:val="20"/>
          <w:szCs w:val="20"/>
          <w:color w:val="auto"/>
        </w:rPr>
        <w:t>UBS Securities LLC</w:t>
      </w:r>
    </w:p>
    <w:p>
      <w:pPr>
        <w:spacing w:after="0"/>
        <w:rPr>
          <w:sz w:val="20"/>
          <w:szCs w:val="20"/>
          <w:color w:val="auto"/>
        </w:rPr>
      </w:pPr>
      <w:r>
        <w:rPr>
          <w:rFonts w:ascii="Arial" w:cs="Arial" w:eastAsia="Arial" w:hAnsi="Arial"/>
          <w:sz w:val="20"/>
          <w:szCs w:val="20"/>
          <w:color w:val="auto"/>
        </w:rPr>
        <w:t>UniCredit Bank, LLC</w:t>
      </w:r>
    </w:p>
    <w:p>
      <w:pPr>
        <w:spacing w:after="0"/>
        <w:rPr>
          <w:sz w:val="20"/>
          <w:szCs w:val="20"/>
          <w:color w:val="auto"/>
        </w:rPr>
      </w:pPr>
      <w:r>
        <w:rPr>
          <w:rFonts w:ascii="Arial" w:cs="Arial" w:eastAsia="Arial" w:hAnsi="Arial"/>
          <w:sz w:val="20"/>
          <w:szCs w:val="20"/>
          <w:color w:val="auto"/>
        </w:rPr>
        <w:t>Wells Fargo Securities, LLC</w:t>
      </w:r>
    </w:p>
    <w:p>
      <w:pPr>
        <w:spacing w:after="0"/>
        <w:rPr>
          <w:sz w:val="20"/>
          <w:szCs w:val="20"/>
          <w:color w:val="auto"/>
        </w:rPr>
      </w:pPr>
      <w:r>
        <w:rPr>
          <w:rFonts w:ascii="Arial" w:cs="Arial" w:eastAsia="Arial" w:hAnsi="Arial"/>
          <w:sz w:val="19"/>
          <w:szCs w:val="19"/>
          <w:color w:val="auto"/>
        </w:rPr>
        <w:t>The Williams Capital Group, L.P.</w:t>
      </w:r>
    </w:p>
    <w:p>
      <w:pPr>
        <w:spacing w:after="0" w:line="211"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When does this authorisation expire?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LivaNova must seek authorisation for share repurchase contracts and counterparties at least every five years. If this proposal is approved, LivaNova may repurchase Ordinary Shares pursuant to the forms of contract attached at Appendix A and Appendix B with the approved counterparties until the fifth anniversary of the Annual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this resolution is not approved?</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forms of the Share Repurchase Contracts and counterparties do not receive shareholder approval, the Company will not have the ability to repurchase Ordinary Shares through NASDAQ until such time as an alternative procedure enabling the Company to make “off-market” purchases is obtained.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form of share repurchase contracts and repurchase counterparties.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8 – ORDINARY RESOLUTION REGARDING ON-MARKET SHARE REPURCHASES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explained in respect of proposal 7, under the Companies Act the Company may only repurchase its Ordinary Shares (a) in an “on-market purchase” in accordance with the Companies Act or (b) in accordance with specific procedures for “off-market purchases” of such Ordinary Shares.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Proposal 8 is an ordinary resolution to enable the Company to purchase its own shares on the London Stock Exchange, which for these purposes constitutes an “on-market purchase”. The resolution will give the Company authority to purchase its own shares on the London Stock Exchange up to a limit of [ l ] Ordinary Shares, equivalent to 10% of its current issued share capital. The maximum and minimum prices are stated in the resolution. This authority, if granted, will be valid until 30 June 2017 or, if earlier, the conclusion of the Company’s next annual general meeting.</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at [ l ] 2016 (being the latest practicable date prior to the publication of this notice), the total number of options over Ordinary Shares and share awards outstanding under the Company’s share plans was [ l ], which if exercised or vested would represent [ l ]% of the Company’s issued share capital at that date. If the Company were to purchase its own shares to the fullest extent of its authority from shareholders, the number of outstanding options and share awards could potentially represent [ l ]% of the issued share capital of the Company.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Ordinary Shares purchased pursuant to this authority may either be held as treasury shares or cancelled by the Company, depending on which course of action is considered by the directors to be in the best interests of shareholders at the time.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is seeking authority to make on-market purchases of its Ordinary Shares on the London Stock Exchange pursuant to this Proposal 8 and to make off-market purchases of its Ordinary Shares on NASDAQ pursuant to Proposal 7. In certain circumstances, it may be advantageous for the Company to purchase its own shares. If Proposal 8 is approved, the Company’s board of directors may approve the repurchase of Ordinary Shares on the London Stock Exchange. The directors will exercise this power only when, in light of market conditions prevailing at the time, they believe that the effect of such purchases will be in the best interests and to the corporate benefit of shareholders generally. The directors consider it to be desirable for this general authority to be available to provide flexibility in the management of the Company’s capital resources. In addition, other investment opportunities, appropriate gearing levels and the overall position of the group will also be taken into account when determining whether to exercise this authority.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on-market purchases by the company of its Ordinary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9 – ORDINARY RESOLUTION REGARDING ELECTRONIC COMMUNICATIONS WITH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the Companies Act and the Financial Conduct Authority’s Disclosure Rules and Transparency Rules, the Company needs to seek the approval of its shareholders at a general meeting to convey information to its shareholders via electronic means.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resolution set out at Proposal 9 is duly passed, the Company intends to write to each shareholder asking for his or her agreement to receive documents or information in electronic form. Any future communication by electronic means will be undertaken in accordance with the Articles, the Companies Act and the Disclosure Rules and Transparency Rules.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the Company to distribute documents to its shareholders by electronic means.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10 – SPECIAL RESOLUTION REGARDING LENGTH OF NOTICE FOR GENERAL MEETINGS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as the Company is a “traded company”, the default minimum notice period for convening a general meeting is 21 clear days. However, general meetings, other than the annual general meeting, can be held on at least 14 (rather than 21) clear days’ notice provided that:</w:t>
      </w:r>
    </w:p>
    <w:p>
      <w:pPr>
        <w:spacing w:after="0" w:line="213" w:lineRule="exact"/>
        <w:rPr>
          <w:sz w:val="20"/>
          <w:szCs w:val="20"/>
          <w:color w:val="auto"/>
        </w:rPr>
      </w:pPr>
    </w:p>
    <w:p>
      <w:pPr>
        <w:ind w:left="1000" w:hanging="317"/>
        <w:spacing w:after="0" w:line="260" w:lineRule="auto"/>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 allows shareholders to vote by electronic means accessible to all shareholders who hold shares that carry voting rights at general meetings; and</w:t>
      </w:r>
    </w:p>
    <w:p>
      <w:pPr>
        <w:spacing w:after="0" w:line="203" w:lineRule="exact"/>
        <w:rPr>
          <w:rFonts w:ascii="Arial" w:cs="Arial" w:eastAsia="Arial" w:hAnsi="Arial"/>
          <w:sz w:val="20"/>
          <w:szCs w:val="20"/>
          <w:color w:val="auto"/>
        </w:rPr>
      </w:pPr>
    </w:p>
    <w:p>
      <w:pPr>
        <w:ind w:left="1000" w:right="20" w:hanging="317"/>
        <w:spacing w:after="0" w:line="260" w:lineRule="auto"/>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special resolution reducing the period of notice to not less than 14 clear days has been past either at the immediately preceding annual general meeting or a general meeting held since that annual general meeting.</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special resolution at Proposal 10 would enable the Company to hold meetings, other than an annual general meeting, on 14 clear days’ notice as long as the other requirements set out above are complied with. It is envisaged that a similar resolution would be proposed each year at the Company’s annual general meeting.</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Under the Companies Act, a reference to a period of clear days’ notice means that, when calculating the specified notice period, the day of the meeting and the day that the notice is given, are excluded. The Articles contain deemed delivery provisions for the giving of notices.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the Company to hold general meetings, other than an annual general meeting on 14 clear days’ notice.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527 of the Companies Act, members meeting the threshold requirements set out in that section have the right to require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 to publish a statement on a website setting out any matter relating to:</w:t>
      </w:r>
    </w:p>
    <w:p>
      <w:pPr>
        <w:spacing w:after="0" w:line="227" w:lineRule="exact"/>
        <w:rPr>
          <w:sz w:val="20"/>
          <w:szCs w:val="20"/>
          <w:color w:val="auto"/>
        </w:rPr>
      </w:pPr>
    </w:p>
    <w:p>
      <w:pPr>
        <w:ind w:left="1000" w:hanging="317"/>
        <w:spacing w:after="0" w:line="260" w:lineRule="auto"/>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audit of the Company’s accounts (including, the auditor’s report and the conduct of the audit) that are to be laid before the Annual General Meeting; or</w:t>
      </w:r>
    </w:p>
    <w:p>
      <w:pPr>
        <w:spacing w:after="0" w:line="203" w:lineRule="exact"/>
        <w:rPr>
          <w:rFonts w:ascii="Arial" w:cs="Arial" w:eastAsia="Arial" w:hAnsi="Arial"/>
          <w:sz w:val="20"/>
          <w:szCs w:val="20"/>
          <w:color w:val="auto"/>
        </w:rPr>
      </w:pPr>
    </w:p>
    <w:p>
      <w:pPr>
        <w:ind w:left="1000" w:hanging="317"/>
        <w:spacing w:after="0"/>
        <w:tabs>
          <w:tab w:leader="none" w:pos="10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circumstance connected with an auditor of the Company ceasing to hold office since the last annual general meeting.</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may not require the shareholders requesting any such website publication to pay its expenses in complying with section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annual general meeting includes any statement that the Company has been required under section 527 to publish on a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FOR 2017 ANNUAL GENERAL MEETING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Shareholders who, in accordance with Rule 14a-8 of the Exchange Act, wish to present proposals for inclusion in the proxy materials to be published by the Company in connection with its 2017 annual general meeting must submit their proposals to the Office of the Company Secretary of LivaNova at 5 Merchant Square, London W2 1AY by [ l ] January 2017. As the rules of the SEC make clear, simply submitting a proposal does not guarantee its inclusion in the Company’s proxy statement.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accordance with the Articles, and without prejudice to the rights of a shareholder of record under the Companies Act, in order to properly bring business before the Company’s 2017 annual general meeting, a shareholder’s notice of the matter the shareholder wishes to present must be delivered to the Office of the Company Secretary of LivaNova at 5 Merchant Square, London W2 1AY, not less than 90 nor more than 120 days prior to the first anniversary of the date of this year’s Annual General Meeting, subject to certain exceptions. As a result, any notice given by or on behalf of a shareholder pursuant to these provisions of the Company’s Articles (and not submitted pursuant to Rule 14a-8) must be received no earlier than 15 February 2017 and no later than 17 March 2017. The requirements for advance notice of shareholder proposals under our Articles do not apply to proposals properly submitted under Rule 14a-8 under the Exchange Act, as those stockholder proposals are governed by Rule 14a-8. Shareholders are advised to review our Articles, for further details on the requirements and procedures to submit shareholder proposals.</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reserve the right to reject, rule out of order or take other appropriate action with respect to any proposal that does not comply with Rule 14a-8, the Company’s Articles or any other requirements, as applicable.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Under sections 338 and 338A of the Companies Act, shareholders meeting the threshold requirements in those sections may require the Company (i) to include a resolution in its notice of annual general meeting or (ii) require the Company to include any matter (other than a proposed resolution) in the business to be dealt with at the annual general meeting. Provided that the appropriate thresholds are met, notice of the resolution or matter must be received by the Company at the Office of the Company Secretary of LivaNova at 5 Merchant Square, London W2 1AY at least six weeks prior to the date of the annual general meeting or, if later, at the time notice of the annual general meeting is delivered to shareholders.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DOCUMENTS AVAILABLE FOR INSPECTION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Copies of the service contracts of the executive director and the non-executive directors’ letters of appointment are available for inspection at the Company’s registered office during normal business hours and at the place of the Annual General Meeting from at least 15 minutes prior to the start of the meeting until the end of the meeting.</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Share Repurchase Contracts will be available for shareholders to inspect at the Company’s registered office at 5 Merchant Square, London W2 1AY for the period from the date of this proxy statement and ending on the date of the Annual General Meeting. Copies of the Share Repurchase Contracts will also be available for inspection at the Annual General Meeting.</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is not aware of any business to be acted upon at the Annual General Meeting other than that described in this proxy statement. If any other business comes before the Annual General Meeting, the proxy holders (as indicated in the accompanying proxy card or cards) will vote their proxies according to their best judgement with respect to such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Brian Sheridan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London, 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l ] May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SHARE REPURCHASE CONTRACT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Repurchase Contract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This agreement is made on</w:t>
      </w:r>
      <w:r>
        <w:rPr>
          <w:sz w:val="20"/>
          <w:szCs w:val="20"/>
          <w:color w:val="auto"/>
        </w:rPr>
        <w:tab/>
      </w:r>
      <w:r>
        <w:rPr>
          <w:rFonts w:ascii="Arial" w:cs="Arial" w:eastAsia="Arial" w:hAnsi="Arial"/>
          <w:sz w:val="16"/>
          <w:szCs w:val="16"/>
          <w:color w:val="auto"/>
        </w:rPr>
        <w:t>between: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LivaNova PLC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5 Merchant Square</w:t>
      </w:r>
    </w:p>
    <w:p>
      <w:pPr>
        <w:spacing w:after="0"/>
        <w:rPr>
          <w:sz w:val="20"/>
          <w:szCs w:val="20"/>
          <w:color w:val="auto"/>
        </w:rPr>
      </w:pPr>
      <w:r>
        <w:rPr>
          <w:rFonts w:ascii="Arial" w:cs="Arial" w:eastAsia="Arial" w:hAnsi="Arial"/>
          <w:sz w:val="20"/>
          <w:szCs w:val="20"/>
          <w:color w:val="auto"/>
        </w:rPr>
        <w:t>London W2 1AY</w:t>
      </w:r>
    </w:p>
    <w:p>
      <w:pPr>
        <w:spacing w:after="0"/>
        <w:rPr>
          <w:sz w:val="20"/>
          <w:szCs w:val="20"/>
          <w:color w:val="auto"/>
        </w:rPr>
      </w:pPr>
      <w:r>
        <w:rPr>
          <w:rFonts w:ascii="Arial" w:cs="Arial" w:eastAsia="Arial" w:hAnsi="Arial"/>
          <w:sz w:val="20"/>
          <w:szCs w:val="20"/>
          <w:color w:val="auto"/>
        </w:rPr>
        <w:t>United Kingdom</w:t>
      </w:r>
    </w:p>
    <w:p>
      <w:pPr>
        <w:spacing w:after="0"/>
        <w:rPr>
          <w:sz w:val="20"/>
          <w:szCs w:val="20"/>
          <w:color w:val="auto"/>
        </w:rPr>
      </w:pPr>
      <w:r>
        <w:rPr>
          <w:rFonts w:ascii="Arial" w:cs="Arial" w:eastAsia="Arial" w:hAnsi="Arial"/>
          <w:sz w:val="20"/>
          <w:szCs w:val="20"/>
          <w:color w:val="auto"/>
        </w:rPr>
        <w:t>Registered number: 09451374</w:t>
      </w:r>
    </w:p>
    <w:p>
      <w:pPr>
        <w:spacing w:after="0" w:line="194"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Counterparty</w:t>
      </w:r>
      <w:r>
        <w:rPr>
          <w:rFonts w:ascii="Arial" w:cs="Arial" w:eastAsia="Arial" w:hAnsi="Arial"/>
          <w:sz w:val="20"/>
          <w:szCs w:val="20"/>
          <w:color w:val="auto"/>
        </w:rPr>
        <w:t>”)</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It is agreed that the Counterparty will purchase on a principal basis interests in Ordinary Shares of the Company, nominal (i.e., par) value £1.00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for subsequent sale and delivery to the Company under the terms of this agreement as follows:</w:t>
      </w:r>
    </w:p>
    <w:p>
      <w:pPr>
        <w:spacing w:after="0" w:line="157" w:lineRule="exact"/>
        <w:rPr>
          <w:sz w:val="20"/>
          <w:szCs w:val="20"/>
          <w:color w:val="auto"/>
        </w:rPr>
      </w:pPr>
    </w:p>
    <w:p>
      <w:pPr>
        <w:jc w:val="both"/>
        <w:ind w:left="460" w:hanging="452"/>
        <w:spacing w:after="0" w:line="250"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Ordinary Shares will be purchased up to the quantity and purchase price level advised by telephone from an authorised person at the Company (the “</w:t>
      </w:r>
      <w:r>
        <w:rPr>
          <w:rFonts w:ascii="Arial" w:cs="Arial" w:eastAsia="Arial" w:hAnsi="Arial"/>
          <w:sz w:val="20"/>
          <w:szCs w:val="20"/>
          <w:b w:val="1"/>
          <w:bCs w:val="1"/>
          <w:color w:val="auto"/>
        </w:rPr>
        <w:t>Purchase Price</w:t>
      </w:r>
      <w:r>
        <w:rPr>
          <w:rFonts w:ascii="Arial" w:cs="Arial" w:eastAsia="Arial" w:hAnsi="Arial"/>
          <w:sz w:val="20"/>
          <w:szCs w:val="20"/>
          <w:color w:val="auto"/>
        </w:rPr>
        <w:t>”), such authorised person(s) to be notified in writing to the Counterparty by the Company from time to time (each an “</w:t>
      </w:r>
      <w:r>
        <w:rPr>
          <w:rFonts w:ascii="Arial" w:cs="Arial" w:eastAsia="Arial" w:hAnsi="Arial"/>
          <w:sz w:val="20"/>
          <w:szCs w:val="20"/>
          <w:b w:val="1"/>
          <w:bCs w:val="1"/>
          <w:color w:val="auto"/>
        </w:rPr>
        <w:t>Authorised Person</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Unless otherwise instructed, Ordinary Shares will be purchased in accordance with all applicable laws and regulations, including (without limitation) in accordance with:</w:t>
      </w:r>
    </w:p>
    <w:p>
      <w:pPr>
        <w:spacing w:after="0" w:line="203" w:lineRule="exact"/>
        <w:rPr>
          <w:rFonts w:ascii="Arial" w:cs="Arial" w:eastAsia="Arial" w:hAnsi="Arial"/>
          <w:sz w:val="20"/>
          <w:szCs w:val="20"/>
          <w:color w:val="auto"/>
        </w:rPr>
      </w:pPr>
    </w:p>
    <w:p>
      <w:pPr>
        <w:jc w:val="both"/>
        <w:ind w:left="1020" w:hanging="566"/>
        <w:spacing w:after="0" w:line="246" w:lineRule="auto"/>
        <w:tabs>
          <w:tab w:leader="none" w:pos="10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volume limitations of Rule 10b-18(b)(4) and 10b-18(c)(2) of the Securities Act of 1934, as may be amended or superseded from time to time (the “</w:t>
      </w:r>
      <w:r>
        <w:rPr>
          <w:rFonts w:ascii="Arial" w:cs="Arial" w:eastAsia="Arial" w:hAnsi="Arial"/>
          <w:sz w:val="20"/>
          <w:szCs w:val="20"/>
          <w:b w:val="1"/>
          <w:bCs w:val="1"/>
          <w:color w:val="auto"/>
        </w:rPr>
        <w:t>Exchange Act</w:t>
      </w:r>
      <w:r>
        <w:rPr>
          <w:rFonts w:ascii="Arial" w:cs="Arial" w:eastAsia="Arial" w:hAnsi="Arial"/>
          <w:sz w:val="20"/>
          <w:szCs w:val="20"/>
          <w:color w:val="auto"/>
        </w:rPr>
        <w:t>”). The maximum value of Ordinary Shares, at acquisition cost, to be purchased under this programme will be advised to the Counterparty by an Authorised Person from time to time following the execution of this Agreement;</w:t>
      </w:r>
    </w:p>
    <w:p>
      <w:pPr>
        <w:spacing w:after="0" w:line="218"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timing conditions of Rules 10b-18(b)(2) and 10b-18(c)(1) of the Exchange Act, as may be amended or superseded from time to time; and</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price conditions of Rule 10b-18(b)(3) of the Exchange Act, as may be amended or superseded from time to time.</w:t>
      </w:r>
    </w:p>
    <w:p>
      <w:pPr>
        <w:spacing w:after="0" w:line="242" w:lineRule="exact"/>
        <w:rPr>
          <w:rFonts w:ascii="Arial" w:cs="Arial" w:eastAsia="Arial" w:hAnsi="Arial"/>
          <w:sz w:val="20"/>
          <w:szCs w:val="20"/>
          <w:color w:val="auto"/>
        </w:rPr>
      </w:pPr>
    </w:p>
    <w:p>
      <w:pPr>
        <w:jc w:val="both"/>
        <w:ind w:left="460" w:hanging="452"/>
        <w:spacing w:after="0" w:line="250"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purchases will be effected pursuant to Rule 10b-18 of the Exchange Act, as may be amended or superseded from time to time, from or through only one broker or dealer on any single day or as otherwise allowed by Rule 10b-18(b)(1) of the Exchange Act, as may be amended or superseded from time to time.</w:t>
      </w:r>
    </w:p>
    <w:p>
      <w:pPr>
        <w:spacing w:after="0" w:line="213" w:lineRule="exact"/>
        <w:rPr>
          <w:rFonts w:ascii="Arial" w:cs="Arial" w:eastAsia="Arial" w:hAnsi="Arial"/>
          <w:sz w:val="20"/>
          <w:szCs w:val="20"/>
          <w:color w:val="auto"/>
        </w:rPr>
      </w:pPr>
    </w:p>
    <w:p>
      <w:pPr>
        <w:ind w:left="460" w:right="20" w:hanging="452"/>
        <w:spacing w:after="0" w:line="260"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Purchases may be made on any national securities exchange, electronic communication network (ECN), alternative trading system (ATS) or in over-the-counter (OTC) transactions.</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purchases commence under this Agreement, the Company will have officially disclosed the repurchase programme to the public.</w:t>
      </w:r>
    </w:p>
    <w:p>
      <w:pPr>
        <w:spacing w:after="0" w:line="265"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Company represents that the purchases of Ordinary Shares by the Counterparty pursuant to the terms of this Agreement will not violate or contravene any legal, regulatory or contractual restriction applicable to the Company or the Ordinary Shares, including Section 10(b) and Rule 10b-5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hanging="452"/>
        <w:spacing w:after="0" w:line="26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Daily purchase information will be provided to the Company by phone or e-mail, and trade confirmations will be sent by e-mail or fax the following day.</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Company’s tax identification number is 98-1268150.</w:t>
      </w:r>
    </w:p>
    <w:p>
      <w:pPr>
        <w:spacing w:after="0" w:line="242"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Purchases of Ordinary Shares in accordance with the instructions contained herein, will commence on the date to be agreed between the Company and the Counterparty.</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Notices for the attention of the Company shall be sent to:</w:t>
      </w:r>
    </w:p>
    <w:p>
      <w:pPr>
        <w:spacing w:after="0" w:line="242" w:lineRule="exact"/>
        <w:rPr>
          <w:rFonts w:ascii="Arial" w:cs="Arial" w:eastAsia="Arial" w:hAnsi="Arial"/>
          <w:sz w:val="20"/>
          <w:szCs w:val="20"/>
          <w:color w:val="auto"/>
        </w:rPr>
      </w:pPr>
    </w:p>
    <w:p>
      <w:pPr>
        <w:ind w:left="460" w:right="7980"/>
        <w:spacing w:after="0" w:line="247" w:lineRule="auto"/>
        <w:rPr>
          <w:rFonts w:ascii="Arial" w:cs="Arial" w:eastAsia="Arial" w:hAnsi="Arial"/>
          <w:sz w:val="20"/>
          <w:szCs w:val="20"/>
          <w:color w:val="auto"/>
        </w:rPr>
      </w:pPr>
      <w:r>
        <w:rPr>
          <w:rFonts w:ascii="Arial" w:cs="Arial" w:eastAsia="Arial" w:hAnsi="Arial"/>
          <w:sz w:val="20"/>
          <w:szCs w:val="20"/>
          <w:color w:val="auto"/>
        </w:rPr>
        <w:t>The Office of the Company Secretary 5 Merchant Square</w:t>
      </w:r>
    </w:p>
    <w:p>
      <w:pPr>
        <w:spacing w:after="0" w:line="1" w:lineRule="exact"/>
        <w:rPr>
          <w:rFonts w:ascii="Arial" w:cs="Arial" w:eastAsia="Arial" w:hAnsi="Arial"/>
          <w:sz w:val="20"/>
          <w:szCs w:val="20"/>
          <w:color w:val="auto"/>
        </w:rPr>
      </w:pPr>
    </w:p>
    <w:p>
      <w:pPr>
        <w:jc w:val="both"/>
        <w:ind w:left="460" w:right="9600"/>
        <w:spacing w:after="0" w:line="298" w:lineRule="auto"/>
        <w:rPr>
          <w:rFonts w:ascii="Arial" w:cs="Arial" w:eastAsia="Arial" w:hAnsi="Arial"/>
          <w:sz w:val="20"/>
          <w:szCs w:val="20"/>
          <w:color w:val="auto"/>
        </w:rPr>
      </w:pPr>
      <w:r>
        <w:rPr>
          <w:rFonts w:ascii="Arial" w:cs="Arial" w:eastAsia="Arial" w:hAnsi="Arial"/>
          <w:sz w:val="18"/>
          <w:szCs w:val="18"/>
          <w:color w:val="auto"/>
        </w:rPr>
        <w:t>London W2 1AY United Kingdom</w:t>
      </w:r>
    </w:p>
    <w:p>
      <w:pPr>
        <w:spacing w:after="0" w:line="172"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9"/>
          <w:szCs w:val="19"/>
          <w:color w:val="auto"/>
        </w:rPr>
        <w:t>Notices for the attention of the Counterparty shall be sent to the address notified in writing to the Company by the Counterparty.</w:t>
      </w:r>
    </w:p>
    <w:p>
      <w:pPr>
        <w:spacing w:after="0" w:line="254" w:lineRule="exact"/>
        <w:rPr>
          <w:rFonts w:ascii="Arial" w:cs="Arial" w:eastAsia="Arial" w:hAnsi="Arial"/>
          <w:sz w:val="20"/>
          <w:szCs w:val="20"/>
          <w:color w:val="auto"/>
        </w:rPr>
      </w:pPr>
    </w:p>
    <w:p>
      <w:pPr>
        <w:jc w:val="both"/>
        <w:ind w:left="460" w:hanging="452"/>
        <w:spacing w:after="0" w:line="27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Shares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hanging="452"/>
        <w:spacing w:after="0" w:line="246"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w:t>
      </w:r>
    </w:p>
    <w:p>
      <w:pPr>
        <w:spacing w:after="0" w:line="218" w:lineRule="exact"/>
        <w:rPr>
          <w:rFonts w:ascii="Arial" w:cs="Arial" w:eastAsia="Arial" w:hAnsi="Arial"/>
          <w:sz w:val="20"/>
          <w:szCs w:val="20"/>
          <w:color w:val="auto"/>
        </w:rPr>
      </w:pPr>
    </w:p>
    <w:p>
      <w:pPr>
        <w:jc w:val="both"/>
        <w:ind w:left="460" w:hanging="452"/>
        <w:spacing w:after="0" w:line="25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213" w:lineRule="exact"/>
        <w:rPr>
          <w:rFonts w:ascii="Arial" w:cs="Arial" w:eastAsia="Arial" w:hAnsi="Arial"/>
          <w:sz w:val="20"/>
          <w:szCs w:val="20"/>
          <w:color w:val="auto"/>
        </w:rPr>
      </w:pPr>
    </w:p>
    <w:p>
      <w:pPr>
        <w:jc w:val="both"/>
        <w:ind w:left="460" w:hanging="452"/>
        <w:spacing w:after="0" w:line="260" w:lineRule="auto"/>
        <w:tabs>
          <w:tab w:leader="none" w:pos="4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will pay for any and all Record Shares purchases by it in accordance with Paragraph 12 above by wiring funds to the bank account of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207" w:lineRule="exact"/>
        <w:rPr>
          <w:rFonts w:ascii="Arial" w:cs="Arial" w:eastAsia="Arial" w:hAnsi="Arial"/>
          <w:sz w:val="19"/>
          <w:szCs w:val="19"/>
          <w:color w:val="auto"/>
        </w:rPr>
      </w:pPr>
    </w:p>
    <w:p>
      <w:pPr>
        <w:ind w:left="460" w:hanging="452"/>
        <w:spacing w:after="0"/>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Counterparty and the Company each acknowledge and agree that:</w:t>
      </w:r>
    </w:p>
    <w:p>
      <w:pPr>
        <w:spacing w:after="0" w:line="243" w:lineRule="exact"/>
        <w:rPr>
          <w:sz w:val="20"/>
          <w:szCs w:val="20"/>
          <w:color w:val="auto"/>
        </w:rPr>
      </w:pPr>
    </w:p>
    <w:p>
      <w:pPr>
        <w:ind w:left="1020" w:hanging="566"/>
        <w:spacing w:after="0" w:line="260" w:lineRule="auto"/>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Prior to an acquisition by the Company under Paragraph 12 hereof, the Company shall not acquire, nor have any legal or beneficial interest in, any Ordinary Share purchased by the Counterparty pursuant to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020" w:hanging="566"/>
        <w:spacing w:after="0" w:line="260" w:lineRule="auto"/>
        <w:tabs>
          <w:tab w:leader="none" w:pos="10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Nothing in this letter is or shall constitute a party acting as the agent of the other for any purpose. Neither party shall describe itself as an agent or in any way hold itself out as being an agent of the other; and</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the Ordinary Shares and shall effect purchases of shares hereunder in “riskless principal transactions” as defined in Rule 10b-18(a)(12) of the Exchange Act.</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internal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40" w:lineRule="exact"/>
        <w:rPr>
          <w:sz w:val="20"/>
          <w:szCs w:val="20"/>
          <w:color w:val="auto"/>
        </w:rPr>
      </w:pPr>
    </w:p>
    <w:p>
      <w:pPr>
        <w:sectPr>
          <w:pgSz w:w="11900" w:h="16838" w:orient="portrait"/>
          <w:cols w:equalWidth="0" w:num="4">
            <w:col w:w="260" w:space="340"/>
            <w:col w:w="4720" w:space="720"/>
            <w:col w:w="260" w:space="340"/>
            <w:col w:w="47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pacing w:after="0" w:line="169"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16"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Repurchase Plan, dated [ l ] (the “</w:t>
      </w:r>
      <w:r>
        <w:rPr>
          <w:rFonts w:ascii="Arial" w:cs="Arial" w:eastAsia="Arial" w:hAnsi="Arial"/>
          <w:sz w:val="20"/>
          <w:szCs w:val="20"/>
          <w:b w:val="1"/>
          <w:bCs w:val="1"/>
          <w:color w:val="auto"/>
        </w:rPr>
        <w:t>Repurchase Plan</w:t>
      </w:r>
      <w:r>
        <w:rPr>
          <w:rFonts w:ascii="Arial" w:cs="Arial" w:eastAsia="Arial" w:hAnsi="Arial"/>
          <w:sz w:val="20"/>
          <w:szCs w:val="20"/>
          <w:color w:val="auto"/>
        </w:rPr>
        <w:t>”), between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and [ l ] (the “</w:t>
      </w:r>
      <w:r>
        <w:rPr>
          <w:rFonts w:ascii="Arial" w:cs="Arial" w:eastAsia="Arial" w:hAnsi="Arial"/>
          <w:sz w:val="20"/>
          <w:szCs w:val="20"/>
          <w:b w:val="1"/>
          <w:bCs w:val="1"/>
          <w:color w:val="auto"/>
        </w:rPr>
        <w:t>Counterparty</w:t>
      </w:r>
      <w:r>
        <w:rPr>
          <w:rFonts w:ascii="Arial" w:cs="Arial" w:eastAsia="Arial" w:hAnsi="Arial"/>
          <w:sz w:val="20"/>
          <w:szCs w:val="20"/>
          <w:color w:val="auto"/>
        </w:rPr>
        <w:t>”). Capitalised terms used and not otherwise defined in the body of this Repurchase Plan shall have the meaning given to such terms in Exhibit A hereto, which is incorporated herein and made part of this Repurchase Plan.</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Company desires to establish this Repurchase Plan to purchase its Ordinary Shares, nominal value £1.00 per share (the “</w:t>
      </w:r>
      <w:r>
        <w:rPr>
          <w:rFonts w:ascii="Arial" w:cs="Arial" w:eastAsia="Arial" w:hAnsi="Arial"/>
          <w:sz w:val="20"/>
          <w:szCs w:val="20"/>
          <w:b w:val="1"/>
          <w:bCs w:val="1"/>
          <w:color w:val="auto"/>
        </w:rPr>
        <w:t>Ordinary Shares</w:t>
      </w:r>
      <w:r>
        <w:rPr>
          <w:rFonts w:ascii="Arial" w:cs="Arial" w:eastAsia="Arial" w:hAnsi="Arial"/>
          <w:sz w:val="20"/>
          <w:szCs w:val="20"/>
          <w:color w:val="auto"/>
        </w:rPr>
        <w:t>”); and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WHEREAS, the Company desires to purchase Ordinary Shares from the Counterparty in accordance with this Repurchase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Company and the Counterparty hereby agree as follows:</w:t>
      </w:r>
    </w:p>
    <w:p>
      <w:pPr>
        <w:spacing w:after="0" w:line="243" w:lineRule="exact"/>
        <w:rPr>
          <w:sz w:val="20"/>
          <w:szCs w:val="20"/>
          <w:color w:val="auto"/>
        </w:rPr>
      </w:pPr>
    </w:p>
    <w:p>
      <w:pPr>
        <w:ind w:left="460" w:hanging="452"/>
        <w:spacing w:after="0" w:line="260" w:lineRule="auto"/>
        <w:tabs>
          <w:tab w:leader="none" w:pos="4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Prior to the commencement of transactions contemplated by this Repurchase Plan the parties shall agree in writing in a form substantially as set forth on Exhibit A hereto certain terms in respect of the proposed repurchase.</w:t>
      </w:r>
    </w:p>
    <w:p>
      <w:pPr>
        <w:spacing w:after="0" w:line="203" w:lineRule="exact"/>
        <w:rPr>
          <w:rFonts w:ascii="Arial" w:cs="Arial" w:eastAsia="Arial" w:hAnsi="Arial"/>
          <w:sz w:val="20"/>
          <w:szCs w:val="20"/>
          <w:color w:val="auto"/>
        </w:rPr>
      </w:pPr>
    </w:p>
    <w:p>
      <w:pPr>
        <w:jc w:val="both"/>
        <w:ind w:left="460" w:hanging="452"/>
        <w:spacing w:after="0" w:line="259" w:lineRule="auto"/>
        <w:tabs>
          <w:tab w:leader="none" w:pos="4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During the Trading Period, the Counterparty shall purchase as principal Ordinary Shares having a maximum aggregate value of no more than the Total Repurchase Amount. On each day (each, a “</w:t>
      </w:r>
      <w:r>
        <w:rPr>
          <w:rFonts w:ascii="Arial" w:cs="Arial" w:eastAsia="Arial" w:hAnsi="Arial"/>
          <w:sz w:val="19"/>
          <w:szCs w:val="19"/>
          <w:b w:val="1"/>
          <w:bCs w:val="1"/>
          <w:color w:val="auto"/>
        </w:rPr>
        <w:t>Trading Day</w:t>
      </w:r>
      <w:r>
        <w:rPr>
          <w:rFonts w:ascii="Arial" w:cs="Arial" w:eastAsia="Arial" w:hAnsi="Arial"/>
          <w:sz w:val="19"/>
          <w:szCs w:val="19"/>
          <w:color w:val="auto"/>
        </w:rPr>
        <w:t>”) during the Trading Period on which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Notwithstanding the foregoing, the Counterparty shall not purchase any Ordinary Shares at a price exceeding the Limit Price.</w:t>
      </w:r>
    </w:p>
    <w:p>
      <w:pPr>
        <w:spacing w:after="0" w:line="205" w:lineRule="exact"/>
        <w:rPr>
          <w:rFonts w:ascii="Arial" w:cs="Arial" w:eastAsia="Arial" w:hAnsi="Arial"/>
          <w:sz w:val="19"/>
          <w:szCs w:val="19"/>
          <w:color w:val="auto"/>
        </w:rPr>
      </w:pPr>
    </w:p>
    <w:p>
      <w:pPr>
        <w:jc w:val="both"/>
        <w:ind w:left="460" w:hanging="452"/>
        <w:spacing w:after="0" w:line="27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hanging="452"/>
        <w:spacing w:after="0" w:line="243" w:lineRule="auto"/>
        <w:tabs>
          <w:tab w:leader="none" w:pos="4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223" w:lineRule="exact"/>
        <w:rPr>
          <w:rFonts w:ascii="Arial" w:cs="Arial" w:eastAsia="Arial" w:hAnsi="Arial"/>
          <w:sz w:val="20"/>
          <w:szCs w:val="20"/>
          <w:color w:val="auto"/>
        </w:rPr>
      </w:pPr>
    </w:p>
    <w:p>
      <w:pPr>
        <w:jc w:val="both"/>
        <w:ind w:left="460" w:hanging="452"/>
        <w:spacing w:after="0" w:line="244" w:lineRule="auto"/>
        <w:tabs>
          <w:tab w:leader="none" w:pos="4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will pay for any Record Shares purchased by it in accordance with Paragraph 4 above by wiring funds to the bank account of the Counterparty or other designee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Repurchase Plan shall terminate upon the earliest of:</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repurchase of the Total Repurchase Amount contemplated by the Repurchase Plan, as set forth in Paragraph 2;</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close of business on the last day of the Trading Period;</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close of business on the second business day following the date of receipt by the Counterparty of notice of early termination,</w:t>
      </w:r>
    </w:p>
    <w:p>
      <w:pPr>
        <w:spacing w:after="0" w:line="39" w:lineRule="exact"/>
        <w:rPr>
          <w:sz w:val="20"/>
          <w:szCs w:val="20"/>
          <w:color w:val="auto"/>
        </w:rPr>
      </w:pPr>
    </w:p>
    <w:p>
      <w:pPr>
        <w:ind w:left="1020"/>
        <w:spacing w:after="0"/>
        <w:tabs>
          <w:tab w:leader="none" w:pos="4960" w:val="left"/>
          <w:tab w:leader="none" w:pos="6460" w:val="left"/>
          <w:tab w:leader="none" w:pos="8260" w:val="left"/>
        </w:tabs>
        <w:rPr>
          <w:sz w:val="20"/>
          <w:szCs w:val="20"/>
          <w:color w:val="auto"/>
        </w:rPr>
      </w:pPr>
      <w:r>
        <w:rPr>
          <w:rFonts w:ascii="Arial" w:cs="Arial" w:eastAsia="Arial" w:hAnsi="Arial"/>
          <w:sz w:val="20"/>
          <w:szCs w:val="20"/>
          <w:color w:val="auto"/>
        </w:rPr>
        <w:t>delivered by the Company by facsimile to</w:t>
      </w:r>
      <w:r>
        <w:rPr>
          <w:sz w:val="20"/>
          <w:szCs w:val="20"/>
          <w:color w:val="auto"/>
        </w:rPr>
        <w:tab/>
      </w:r>
      <w:r>
        <w:rPr>
          <w:rFonts w:ascii="Arial" w:cs="Arial" w:eastAsia="Arial" w:hAnsi="Arial"/>
          <w:sz w:val="20"/>
          <w:szCs w:val="20"/>
          <w:color w:val="auto"/>
        </w:rPr>
        <w:t>, attention:</w:t>
      </w:r>
      <w:r>
        <w:rPr>
          <w:sz w:val="20"/>
          <w:szCs w:val="20"/>
          <w:color w:val="auto"/>
        </w:rPr>
        <w:tab/>
      </w:r>
      <w:r>
        <w:rPr>
          <w:rFonts w:ascii="Arial" w:cs="Arial" w:eastAsia="Arial" w:hAnsi="Arial"/>
          <w:sz w:val="20"/>
          <w:szCs w:val="20"/>
          <w:color w:val="auto"/>
        </w:rPr>
        <w:t>or by e-mail to</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-24765</wp:posOffset>
            </wp:positionV>
            <wp:extent cx="3771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-24765</wp:posOffset>
            </wp:positionV>
            <wp:extent cx="3771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3771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7" w:lineRule="exact"/>
        <w:rPr>
          <w:sz w:val="20"/>
          <w:szCs w:val="20"/>
          <w:color w:val="auto"/>
        </w:rPr>
      </w:pPr>
    </w:p>
    <w:p>
      <w:pPr>
        <w:jc w:val="both"/>
        <w:ind w:left="1020" w:hanging="566"/>
        <w:spacing w:after="0" w:line="269" w:lineRule="auto"/>
        <w:tabs>
          <w:tab w:leader="none" w:pos="10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commencement of any voluntary or involuntary case or other proceeding seeking liquidation, reorganisation or other relief under any bankruptcy, insolvency or similar law or seeking the appointment of a trustee, receiver or other similar official, or the taking of any corporate action by the Company to authorise or commence any of the foregoing; and</w:t>
      </w:r>
    </w:p>
    <w:p>
      <w:pPr>
        <w:spacing w:after="0" w:line="197" w:lineRule="exact"/>
        <w:rPr>
          <w:rFonts w:ascii="Arial" w:cs="Arial" w:eastAsia="Arial" w:hAnsi="Arial"/>
          <w:sz w:val="19"/>
          <w:szCs w:val="19"/>
          <w:color w:val="auto"/>
        </w:rPr>
      </w:pPr>
    </w:p>
    <w:p>
      <w:pPr>
        <w:jc w:val="both"/>
        <w:ind w:left="1020" w:hanging="566"/>
        <w:spacing w:after="0" w:line="250" w:lineRule="auto"/>
        <w:tabs>
          <w:tab w:leader="none" w:pos="10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public announcement of a tender or exchange offer for the Ordinary Shares or of a merger, acquisition, recapitalisation or other similar business combination or transaction as a result of which the Ordinary Shares would be exchanged for or converted into cash, securities or other property.</w:t>
      </w:r>
    </w:p>
    <w:p>
      <w:pPr>
        <w:spacing w:after="0" w:line="213" w:lineRule="exact"/>
        <w:rPr>
          <w:rFonts w:ascii="Arial" w:cs="Arial" w:eastAsia="Arial" w:hAnsi="Arial"/>
          <w:sz w:val="20"/>
          <w:szCs w:val="20"/>
          <w:color w:val="auto"/>
        </w:rPr>
      </w:pPr>
    </w:p>
    <w:p>
      <w:pPr>
        <w:jc w:val="both"/>
        <w:ind w:left="460" w:hanging="452"/>
        <w:spacing w:after="0" w:line="269" w:lineRule="auto"/>
        <w:tabs>
          <w:tab w:leader="none" w:pos="4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Counterparty shall comply with the requirements of paragraph (b)(2), (b)(3) and (b)(4) of Rule 10b-18 under the Exchange Act, in connection with purchases of the Ordinary Shares in the open market pursuant to this Repurchase Plan. The Company agrees not to take any action that would cause purchases not to comply with Rule 10b-18, Rule 10b5-1 or Regulation M.</w:t>
      </w:r>
    </w:p>
    <w:p>
      <w:pPr>
        <w:spacing w:after="0" w:line="197" w:lineRule="exact"/>
        <w:rPr>
          <w:rFonts w:ascii="Arial" w:cs="Arial" w:eastAsia="Arial" w:hAnsi="Arial"/>
          <w:sz w:val="19"/>
          <w:szCs w:val="19"/>
          <w:color w:val="auto"/>
        </w:rPr>
      </w:pPr>
    </w:p>
    <w:p>
      <w:pPr>
        <w:jc w:val="both"/>
        <w:ind w:left="460" w:hanging="452"/>
        <w:spacing w:after="0" w:line="257" w:lineRule="auto"/>
        <w:tabs>
          <w:tab w:leader="none" w:pos="4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confirms that, on the date hereof that (a) it is not aware of material, non-public information with respect to the Company or the Ordinary Shares, (b) it is entering into this Repurchase Plan in good faith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208" w:lineRule="exact"/>
        <w:rPr>
          <w:rFonts w:ascii="Arial" w:cs="Arial" w:eastAsia="Arial" w:hAnsi="Arial"/>
          <w:sz w:val="19"/>
          <w:szCs w:val="19"/>
          <w:color w:val="auto"/>
        </w:rPr>
      </w:pPr>
    </w:p>
    <w:p>
      <w:pPr>
        <w:ind w:left="460" w:hanging="452"/>
        <w:spacing w:after="0" w:line="260" w:lineRule="auto"/>
        <w:tabs>
          <w:tab w:leader="none" w:pos="4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the Counterparty must suspend purchases of Ordinary Shares under this Repurchase Plan on a particular day for any of the following reasons:</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day specified by the Repurchase Plan is not a day on which the Ordinary Shares trade regular way on the Exchange;</w:t>
      </w:r>
    </w:p>
    <w:p>
      <w:pPr>
        <w:spacing w:after="0" w:line="254" w:lineRule="exact"/>
        <w:rPr>
          <w:rFonts w:ascii="Arial" w:cs="Arial" w:eastAsia="Arial" w:hAnsi="Arial"/>
          <w:sz w:val="19"/>
          <w:szCs w:val="19"/>
          <w:color w:val="auto"/>
        </w:rPr>
      </w:pPr>
    </w:p>
    <w:p>
      <w:pPr>
        <w:ind w:left="1020" w:hanging="566"/>
        <w:spacing w:after="0"/>
        <w:tabs>
          <w:tab w:leader="none" w:pos="10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trading of the Ordinary Shares on the Exchange is suspended for any reason; or</w:t>
      </w:r>
    </w:p>
    <w:p>
      <w:pPr>
        <w:spacing w:after="0" w:line="242" w:lineRule="exact"/>
        <w:rPr>
          <w:rFonts w:ascii="Arial" w:cs="Arial" w:eastAsia="Arial" w:hAnsi="Arial"/>
          <w:sz w:val="20"/>
          <w:szCs w:val="20"/>
          <w:color w:val="auto"/>
        </w:rPr>
      </w:pPr>
    </w:p>
    <w:p>
      <w:pPr>
        <w:ind w:left="1020" w:right="20" w:hanging="566"/>
        <w:spacing w:after="0" w:line="260" w:lineRule="auto"/>
        <w:tabs>
          <w:tab w:leader="none" w:pos="10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Counterparty cannot effect a purchase of Ordinary Shares due to legal, regulatory or contractual restrictions applicable to it or to the Company (including without limitation, Regulation M, Rule 10b-5 or Rule 10b-18);</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spacing w:after="0" w:line="260" w:lineRule="auto"/>
        <w:rPr>
          <w:sz w:val="20"/>
          <w:szCs w:val="20"/>
          <w:color w:val="auto"/>
        </w:rPr>
      </w:pPr>
      <w:r>
        <w:rPr>
          <w:rFonts w:ascii="Arial" w:cs="Arial" w:eastAsia="Arial" w:hAnsi="Arial"/>
          <w:sz w:val="20"/>
          <w:szCs w:val="20"/>
          <w:color w:val="auto"/>
        </w:rPr>
        <w:t>If purchases have been so suspended, the Counterparty will resume purchases in accordance with this Agreement on the next day specified in the Repurchase Plan after the condition causing the suspension of purchases has been resolved.</w:t>
      </w:r>
    </w:p>
    <w:p>
      <w:pPr>
        <w:spacing w:after="0" w:line="204" w:lineRule="exact"/>
        <w:rPr>
          <w:sz w:val="20"/>
          <w:szCs w:val="20"/>
          <w:color w:val="auto"/>
        </w:rPr>
      </w:pPr>
    </w:p>
    <w:p>
      <w:pPr>
        <w:jc w:val="both"/>
        <w:ind w:left="460" w:hanging="452"/>
        <w:spacing w:after="0" w:line="250" w:lineRule="auto"/>
        <w:tabs>
          <w:tab w:leader="none" w:pos="4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It is the intent of the Company and the Counterparty that this Repurchase Plan comply with the requirements of Rule 10b5-1(c)(1)(i)(B) and Rule 10b-18 under the Securities Exchange Act of 1934, as amended, and this Repurchase Plan shall be interpreted to comply with the requirements thereof.</w:t>
      </w:r>
    </w:p>
    <w:p>
      <w:pPr>
        <w:spacing w:after="0" w:line="213" w:lineRule="exact"/>
        <w:rPr>
          <w:rFonts w:ascii="Arial" w:cs="Arial" w:eastAsia="Arial" w:hAnsi="Arial"/>
          <w:sz w:val="20"/>
          <w:szCs w:val="20"/>
          <w:color w:val="auto"/>
        </w:rPr>
      </w:pPr>
    </w:p>
    <w:p>
      <w:pPr>
        <w:ind w:left="460" w:hanging="452"/>
        <w:spacing w:after="0"/>
        <w:tabs>
          <w:tab w:leader="none" w:pos="4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Repurchase Plan may be signed in counterparts, each of which will be an original.</w:t>
      </w:r>
    </w:p>
    <w:p>
      <w:pPr>
        <w:spacing w:after="0" w:line="242"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Repurchase Plan and any attachment together constitute the entire agreement between the Company and the Counterparty and supersede any prior agreements or understandings regarding the Repurchase Plan.</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All notices given by the parties under this Repurchase Plan will be as follows:</w:t>
      </w:r>
    </w:p>
    <w:p>
      <w:pPr>
        <w:spacing w:after="0" w:line="243" w:lineRule="exact"/>
        <w:rPr>
          <w:sz w:val="20"/>
          <w:szCs w:val="20"/>
          <w:color w:val="auto"/>
        </w:rPr>
      </w:pPr>
    </w:p>
    <w:p>
      <w:pPr>
        <w:ind w:left="1040" w:right="8620" w:hanging="586"/>
        <w:spacing w:after="0" w:line="275" w:lineRule="auto"/>
        <w:tabs>
          <w:tab w:leader="none" w:pos="10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Counterparty: Address:</w:t>
      </w:r>
    </w:p>
    <w:p>
      <w:pPr>
        <w:ind w:left="1040" w:right="9580"/>
        <w:spacing w:after="0" w:line="298" w:lineRule="auto"/>
        <w:rPr>
          <w:rFonts w:ascii="Arial" w:cs="Arial" w:eastAsia="Arial" w:hAnsi="Arial"/>
          <w:sz w:val="18"/>
          <w:szCs w:val="18"/>
          <w:color w:val="auto"/>
        </w:rPr>
      </w:pPr>
      <w:r>
        <w:rPr>
          <w:rFonts w:ascii="Arial" w:cs="Arial" w:eastAsia="Arial" w:hAnsi="Arial"/>
          <w:sz w:val="18"/>
          <w:szCs w:val="18"/>
          <w:color w:val="auto"/>
        </w:rPr>
        <w:t>Attention: Fax no:</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If to the Company:</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Attention:</w:t>
      </w:r>
    </w:p>
    <w:p>
      <w:pPr>
        <w:ind w:left="1040"/>
        <w:spacing w:after="0"/>
        <w:rPr>
          <w:sz w:val="20"/>
          <w:szCs w:val="20"/>
          <w:color w:val="auto"/>
        </w:rPr>
      </w:pPr>
      <w:r>
        <w:rPr>
          <w:rFonts w:ascii="Arial" w:cs="Arial" w:eastAsia="Arial" w:hAnsi="Arial"/>
          <w:sz w:val="20"/>
          <w:szCs w:val="20"/>
          <w:color w:val="auto"/>
        </w:rPr>
        <w:t>Fax no: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LivaNova PLC, 5 Merchant Square, London W2 1AY</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Office of the Company Secretary</w:t>
      </w:r>
    </w:p>
    <w:p>
      <w:pPr>
        <w:spacing w:after="0" w:line="429" w:lineRule="exact"/>
        <w:rPr>
          <w:sz w:val="20"/>
          <w:szCs w:val="20"/>
          <w:color w:val="auto"/>
        </w:rPr>
      </w:pPr>
    </w:p>
    <w:p>
      <w:pPr>
        <w:sectPr>
          <w:pgSz w:w="11900" w:h="16838" w:orient="portrait"/>
          <w:cols w:equalWidth="0" w:num="2">
            <w:col w:w="2520" w:space="640"/>
            <w:col w:w="8260"/>
          </w:cols>
          <w:pgMar w:left="240" w:top="459" w:right="239" w:bottom="1440" w:gutter="0" w:footer="0" w:header="0"/>
          <w:type w:val="continuous"/>
        </w:sectPr>
      </w:pPr>
    </w:p>
    <w:p>
      <w:pPr>
        <w:spacing w:after="0" w:line="2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This Repurchase Plan will be governed by and construed in accordance with the internal laws of the State of New York.</w:t>
      </w:r>
    </w:p>
    <w:p>
      <w:pPr>
        <w:spacing w:after="0" w:line="242" w:lineRule="exact"/>
        <w:rPr>
          <w:rFonts w:ascii="Arial" w:cs="Arial" w:eastAsia="Arial" w:hAnsi="Arial"/>
          <w:sz w:val="20"/>
          <w:szCs w:val="20"/>
          <w:color w:val="auto"/>
        </w:rPr>
      </w:pPr>
    </w:p>
    <w:p>
      <w:pPr>
        <w:jc w:val="both"/>
        <w:ind w:left="460" w:hanging="452"/>
        <w:spacing w:after="0" w:line="29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capitalisation with respect to the Company that occurs during the term of this Repurchase Plan.</w:t>
      </w:r>
    </w:p>
    <w:p>
      <w:pPr>
        <w:spacing w:after="0" w:line="178" w:lineRule="exact"/>
        <w:rPr>
          <w:rFonts w:ascii="Arial" w:cs="Arial" w:eastAsia="Arial" w:hAnsi="Arial"/>
          <w:sz w:val="18"/>
          <w:szCs w:val="18"/>
          <w:color w:val="auto"/>
        </w:rPr>
      </w:pPr>
    </w:p>
    <w:p>
      <w:pPr>
        <w:jc w:val="both"/>
        <w:ind w:left="460" w:hanging="452"/>
        <w:spacing w:after="0" w:line="269" w:lineRule="auto"/>
        <w:tabs>
          <w:tab w:leader="none" w:pos="4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Except as otherwise set forth in this Repurchase Plan, the Company acknowledges and agrees that it does not have authority, influence or control over any purchase executed by the Counterparty pursuant to this Repurchase Plan. The Counterparty agrees not to seek advice from the Company with respect to the manner in which it executes purchases under this Repurchase Plan.</w:t>
      </w:r>
    </w:p>
    <w:p>
      <w:pPr>
        <w:spacing w:after="0" w:line="197" w:lineRule="exact"/>
        <w:rPr>
          <w:rFonts w:ascii="Arial" w:cs="Arial" w:eastAsia="Arial" w:hAnsi="Arial"/>
          <w:sz w:val="19"/>
          <w:szCs w:val="19"/>
          <w:color w:val="auto"/>
        </w:rPr>
      </w:pPr>
    </w:p>
    <w:p>
      <w:pPr>
        <w:ind w:left="460" w:hanging="452"/>
        <w:spacing w:after="0"/>
        <w:tabs>
          <w:tab w:leader="none" w:pos="4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Counterparty and the Company each acknowledges and agrees that:</w:t>
      </w:r>
    </w:p>
    <w:p>
      <w:pPr>
        <w:spacing w:after="0" w:line="242"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Prior to any acquisition by the Company pursuant to Paragraph 4, the Company shall not acquire, nor have any legal or beneficial interest in, any Ordinary Shares purchased by the Counterparty pursuant to this Repurchase Plan;</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Nothing in this Repurchase Plan is or shall constitute a party acting as the agent of the other for any purpose. Neither party shall describe itself as an agent or in any way hold itself out as being an agent of the other; and</w:t>
      </w:r>
    </w:p>
    <w:p>
      <w:pPr>
        <w:spacing w:after="0" w:line="203" w:lineRule="exact"/>
        <w:rPr>
          <w:rFonts w:ascii="Arial" w:cs="Arial" w:eastAsia="Arial" w:hAnsi="Arial"/>
          <w:sz w:val="20"/>
          <w:szCs w:val="20"/>
          <w:color w:val="auto"/>
        </w:rPr>
      </w:pPr>
    </w:p>
    <w:p>
      <w:pPr>
        <w:ind w:left="1020" w:right="20" w:hanging="566"/>
        <w:spacing w:after="0" w:line="260" w:lineRule="auto"/>
        <w:tabs>
          <w:tab w:leader="none" w:pos="10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Ordinary Shares and shall effect purchases of Ordinary Shares hereunder in “riskless principal transactions” as defined in Rule 10b-18(a)(12) of 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Repurchase Plan as of the date first written above.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gridSpan w:val="4"/>
          </w:tcPr>
          <w:p>
            <w:pPr>
              <w:jc w:val="center"/>
              <w:ind w:right="2360"/>
              <w:spacing w:after="0"/>
              <w:rPr>
                <w:sz w:val="20"/>
                <w:szCs w:val="20"/>
                <w:color w:val="auto"/>
              </w:rPr>
            </w:pPr>
            <w:r>
              <w:rPr>
                <w:rFonts w:ascii="Arial" w:cs="Arial" w:eastAsia="Arial" w:hAnsi="Arial"/>
                <w:sz w:val="20"/>
                <w:szCs w:val="20"/>
                <w:b w:val="1"/>
                <w:bCs w:val="1"/>
                <w:color w:val="auto"/>
              </w:rPr>
              <w:t>EXHIBIT A</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878"/>
        </w:trPr>
        <w:tc>
          <w:tcPr>
            <w:tcW w:w="9440" w:type="dxa"/>
            <w:vAlign w:val="bottom"/>
            <w:gridSpan w:val="10"/>
          </w:tcPr>
          <w:p>
            <w:pPr>
              <w:spacing w:after="0"/>
              <w:rPr>
                <w:sz w:val="20"/>
                <w:szCs w:val="20"/>
                <w:color w:val="auto"/>
              </w:rPr>
            </w:pPr>
            <w:r>
              <w:rPr>
                <w:rFonts w:ascii="Arial" w:cs="Arial" w:eastAsia="Arial" w:hAnsi="Arial"/>
                <w:sz w:val="20"/>
                <w:szCs w:val="20"/>
                <w:color w:val="auto"/>
                <w:w w:val="93"/>
              </w:rPr>
              <w:t>The Counterparty and the Company shall hereby agree that the following terms shall have the following meanings: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4060" w:type="dxa"/>
            <w:vAlign w:val="bottom"/>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Limit Price</w:t>
            </w:r>
            <w:r>
              <w:rPr>
                <w:rFonts w:ascii="Arial" w:cs="Arial" w:eastAsia="Arial" w:hAnsi="Arial"/>
                <w:sz w:val="20"/>
                <w:szCs w:val="20"/>
                <w:color w:val="auto"/>
                <w:w w:val="91"/>
              </w:rPr>
              <w:t>” shall mean a per share price of US$</w:t>
            </w:r>
          </w:p>
        </w:tc>
        <w:tc>
          <w:tcPr>
            <w:tcW w:w="600" w:type="dxa"/>
            <w:vAlign w:val="bottom"/>
            <w:tcBorders>
              <w:bottom w:val="single" w:sz="8" w:color="auto"/>
            </w:tcBorders>
            <w:gridSpan w:val="2"/>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20" w:type="dxa"/>
            <w:vAlign w:val="bottom"/>
            <w:gridSpan w:val="6"/>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Maximum Amount</w:t>
            </w:r>
            <w:r>
              <w:rPr>
                <w:rFonts w:ascii="Arial" w:cs="Arial" w:eastAsia="Arial" w:hAnsi="Arial"/>
                <w:sz w:val="20"/>
                <w:szCs w:val="20"/>
                <w:color w:val="auto"/>
                <w:w w:val="91"/>
              </w:rPr>
              <w:t>” is the maximum purchase amount in a single trading day and shall mean US$</w:t>
            </w:r>
          </w:p>
        </w:tc>
        <w:tc>
          <w:tcPr>
            <w:tcW w:w="600" w:type="dxa"/>
            <w:vAlign w:val="bottom"/>
            <w:tcBorders>
              <w:bottom w:val="single" w:sz="8" w:color="auto"/>
            </w:tcBorders>
            <w:gridSpan w:val="2"/>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Trading Period</w:t>
            </w:r>
            <w:r>
              <w:rPr>
                <w:rFonts w:ascii="Arial" w:cs="Arial" w:eastAsia="Arial" w:hAnsi="Arial"/>
                <w:sz w:val="20"/>
                <w:szCs w:val="20"/>
                <w:color w:val="auto"/>
                <w:w w:val="91"/>
              </w:rPr>
              <w:t>” shall mean the period commencing 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Arial" w:cs="Arial" w:eastAsia="Arial" w:hAnsi="Arial"/>
                <w:sz w:val="20"/>
                <w:szCs w:val="20"/>
                <w:color w:val="auto"/>
                <w:w w:val="89"/>
              </w:rPr>
              <w:t>and terminating at close of business on</w:t>
            </w:r>
          </w:p>
        </w:tc>
        <w:tc>
          <w:tcPr>
            <w:tcW w:w="2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9440" w:type="dxa"/>
            <w:vAlign w:val="bottom"/>
            <w:gridSpan w:val="10"/>
          </w:tcPr>
          <w:p>
            <w:pPr>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Total Repurchase Amount</w:t>
            </w:r>
            <w:r>
              <w:rPr>
                <w:rFonts w:ascii="Arial" w:cs="Arial" w:eastAsia="Arial" w:hAnsi="Arial"/>
                <w:sz w:val="20"/>
                <w:szCs w:val="20"/>
                <w:color w:val="auto"/>
                <w:w w:val="89"/>
              </w:rPr>
              <w:t>” is the maximum aggregate purchase amount in the Trading Period and shall means US$</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426"/>
        </w:trPr>
        <w:tc>
          <w:tcPr>
            <w:tcW w:w="4660" w:type="dxa"/>
            <w:vAlign w:val="bottom"/>
            <w:gridSpan w:val="3"/>
          </w:tcPr>
          <w:p>
            <w:pPr>
              <w:spacing w:after="0"/>
              <w:rPr>
                <w:sz w:val="20"/>
                <w:szCs w:val="20"/>
                <w:color w:val="auto"/>
              </w:rPr>
            </w:pPr>
            <w:r>
              <w:rPr>
                <w:rFonts w:ascii="Arial" w:cs="Arial" w:eastAsia="Arial" w:hAnsi="Arial"/>
                <w:sz w:val="20"/>
                <w:szCs w:val="20"/>
                <w:color w:val="auto"/>
                <w:w w:val="88"/>
              </w:rPr>
              <w:t>Commission paid under this Repurchase Plan shall equal $</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0"/>
                <w:szCs w:val="20"/>
                <w:color w:val="auto"/>
              </w:rPr>
              <w:t>per Record Share to the Company.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3"/>
          </w:tcPr>
          <w:p>
            <w:pPr>
              <w:jc w:val="right"/>
              <w:ind w:right="2121"/>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LIVANOVA PLC</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5 MERCHANT SQUARE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NORTH WHARF ROAD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LONDON W2 1AY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www.proxyvote.com</w:t>
      </w:r>
    </w:p>
    <w:p>
      <w:pPr>
        <w:spacing w:after="0" w:line="188"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Use the Internet to transmit your proxy instructions and for electronic delivery of information up until 1:00 p.m., British Summer Time, or 8:00 a.m., Eastern Daylight Time, on 13 June 2016.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2"/>
          <w:szCs w:val="12"/>
          <w:color w:val="auto"/>
        </w:rPr>
        <w:t>Subject to the passing of Resolution 9 at the 2016 Annual General Meeting of LivaNova PLC, if you would like to reduce the costs incurred by LivaNova PLC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13"/>
          <w:szCs w:val="13"/>
          <w:color w:val="auto"/>
        </w:rPr>
        <w:t>Use any touch-tone telephone to transmit your proxy instructions up until 1:00 p.m., British Summer Time, or 8:00 a.m., Eastern Daylight Time, on 13 June 2016.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 United States.</w:t>
      </w:r>
    </w:p>
    <w:p>
      <w:pPr>
        <w:spacing w:after="0" w:line="200" w:lineRule="exact"/>
        <w:rPr>
          <w:sz w:val="20"/>
          <w:szCs w:val="20"/>
          <w:color w:val="auto"/>
        </w:rPr>
      </w:pPr>
    </w:p>
    <w:p>
      <w:pPr>
        <w:sectPr>
          <w:pgSz w:w="11900" w:h="16838" w:orient="portrait"/>
          <w:cols w:equalWidth="0" w:num="2">
            <w:col w:w="4660" w:space="720"/>
            <w:col w:w="60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00" w:val="left"/>
        </w:tabs>
        <w:rPr>
          <w:sz w:val="20"/>
          <w:szCs w:val="20"/>
          <w:color w:val="auto"/>
        </w:rPr>
      </w:pPr>
      <w:r>
        <w:rPr>
          <w:rFonts w:ascii="Arial" w:cs="Arial" w:eastAsia="Arial" w:hAnsi="Arial"/>
          <w:sz w:val="13"/>
          <w:szCs w:val="13"/>
          <w:color w:val="auto"/>
        </w:rPr>
        <w:t>E11242-P79098</w:t>
      </w:r>
      <w:r>
        <w:rPr>
          <w:sz w:val="20"/>
          <w:szCs w:val="20"/>
          <w:color w:val="auto"/>
        </w:rPr>
        <w:tab/>
      </w:r>
      <w:r>
        <w:rPr>
          <w:rFonts w:ascii="Arial" w:cs="Arial" w:eastAsia="Arial" w:hAnsi="Arial"/>
          <w:sz w:val="12"/>
          <w:szCs w:val="12"/>
          <w:color w:val="auto"/>
        </w:rPr>
        <w:t>KEEP THIS PORTION FOR YOUR RECORDS</w:t>
      </w:r>
    </w:p>
    <w:p>
      <w:pPr>
        <w:spacing w:after="0" w:line="228" w:lineRule="auto"/>
        <w:rPr>
          <w:sz w:val="20"/>
          <w:szCs w:val="20"/>
          <w:color w:val="auto"/>
        </w:rPr>
      </w:pPr>
      <w:r>
        <w:rPr>
          <w:rFonts w:ascii="Arial" w:cs="Arial" w:eastAsia="Arial" w:hAnsi="Arial"/>
          <w:sz w:val="18"/>
          <w:szCs w:val="18"/>
          <w:color w:val="auto"/>
        </w:rPr>
        <w:t>— — — — — — — — — — — — — — — — — — — — — — — — — — — — — — — — — — — — — — — — — —</w:t>
      </w:r>
    </w:p>
    <w:p>
      <w:pPr>
        <w:spacing w:after="0" w:line="1" w:lineRule="exact"/>
        <w:rPr>
          <w:sz w:val="20"/>
          <w:szCs w:val="20"/>
          <w:color w:val="auto"/>
        </w:rPr>
      </w:pPr>
    </w:p>
    <w:p>
      <w:pPr>
        <w:ind w:left="8760"/>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7263765" cy="46393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4639310"/>
                    </a:xfrm>
                    <a:prstGeom prst="rect">
                      <a:avLst/>
                    </a:prstGeom>
                    <a:noFill/>
                  </pic:spPr>
                </pic:pic>
              </a:graphicData>
            </a:graphic>
          </wp:anchor>
        </w:drawing>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LIVANOVA PLC</w:t>
      </w:r>
    </w:p>
    <w:p>
      <w:pPr>
        <w:sectPr>
          <w:pgSz w:w="11900" w:h="16838" w:orient="portrait"/>
          <w:cols w:equalWidth="0" w:num="1">
            <w:col w:w="11420"/>
          </w:cols>
          <w:pgMar w:left="240" w:top="459" w:right="239" w:bottom="1440" w:gutter="0" w:footer="0" w:header="0"/>
          <w:type w:val="continuous"/>
        </w:sectPr>
      </w:pPr>
    </w:p>
    <w:p>
      <w:pPr>
        <w:spacing w:after="0" w:line="202" w:lineRule="exact"/>
        <w:rPr>
          <w:sz w:val="20"/>
          <w:szCs w:val="20"/>
          <w:color w:val="auto"/>
        </w:rPr>
      </w:pPr>
    </w:p>
    <w:p>
      <w:pPr>
        <w:ind w:left="46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ORDINARY RESOLUTIONS</w:t>
      </w:r>
    </w:p>
    <w:p>
      <w:pPr>
        <w:spacing w:after="0" w:line="123" w:lineRule="exact"/>
        <w:rPr>
          <w:sz w:val="20"/>
          <w:szCs w:val="20"/>
          <w:color w:val="auto"/>
        </w:rPr>
      </w:pPr>
    </w:p>
    <w:p>
      <w:pPr>
        <w:jc w:val="both"/>
        <w:ind w:left="780" w:hanging="326"/>
        <w:spacing w:after="0" w:line="243" w:lineRule="auto"/>
        <w:tabs>
          <w:tab w:leader="none" w:pos="7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To receive and adopt the Company’s audited UK statutory accounts for the period ended 31 December 2015, together with the reports of the directors and the auditors thereon (the “</w:t>
      </w:r>
      <w:r>
        <w:rPr>
          <w:rFonts w:ascii="Arial" w:cs="Arial" w:eastAsia="Arial" w:hAnsi="Arial"/>
          <w:sz w:val="12"/>
          <w:szCs w:val="12"/>
          <w:b w:val="1"/>
          <w:bCs w:val="1"/>
          <w:color w:val="auto"/>
        </w:rPr>
        <w:t>UK annual report and accounts</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jc w:val="both"/>
        <w:ind w:left="780" w:hanging="326"/>
        <w:spacing w:after="0" w:line="222" w:lineRule="auto"/>
        <w:tabs>
          <w:tab w:leader="none" w:pos="7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To approve the directors’ remuneration report (excluding the directors’ remuneration policy, set out on pages 62 to 75 of the directors’ remuneration report) in the form set out in the Company’s UK annual report and accounts for the period ended 31 December 2015.</w:t>
      </w:r>
    </w:p>
    <w:p>
      <w:pPr>
        <w:spacing w:after="0" w:line="91" w:lineRule="exact"/>
        <w:rPr>
          <w:rFonts w:ascii="Arial" w:cs="Arial" w:eastAsia="Arial" w:hAnsi="Arial"/>
          <w:sz w:val="13"/>
          <w:szCs w:val="13"/>
          <w:color w:val="auto"/>
        </w:rPr>
      </w:pPr>
    </w:p>
    <w:p>
      <w:pPr>
        <w:jc w:val="both"/>
        <w:ind w:left="780" w:hanging="326"/>
        <w:spacing w:after="0" w:line="220" w:lineRule="auto"/>
        <w:tabs>
          <w:tab w:leader="none" w:pos="7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To approve the directors’ remuneration policy set out on pages 62 to 75 of the directors’ remuneration report in the form set out in the Company’s UK annual report and accounts for the period ended 31 December 2015, such policy to take effect immediately after the conclusion of the 2016 Annual General Meeting of Shareholders of LivaNova PLC (the “</w:t>
      </w:r>
      <w:r>
        <w:rPr>
          <w:rFonts w:ascii="Arial" w:cs="Arial" w:eastAsia="Arial" w:hAnsi="Arial"/>
          <w:sz w:val="13"/>
          <w:szCs w:val="13"/>
          <w:b w:val="1"/>
          <w:bCs w:val="1"/>
          <w:color w:val="auto"/>
        </w:rPr>
        <w:t>Annual General Meeting</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left="780" w:hanging="326"/>
        <w:spacing w:after="0"/>
        <w:tabs>
          <w:tab w:leader="none" w:pos="7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To re-appoint PricewaterhouseCoopers LLP as the Company’s UK statutory auditor under the UK Companies Act 2006 to hold office from the conclusion of the Annual General Meeting until the conclusion of the next general meeting at which the annual report and accounts are laid.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300" w:val="left"/>
          <w:tab w:leader="none" w:pos="8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47"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332"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21" w:hanging="321"/>
        <w:spacing w:after="0" w:line="222" w:lineRule="auto"/>
        <w:tabs>
          <w:tab w:leader="none" w:pos="32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approve the form of share repurchase contracts and the counterparties through which the Company may conduct repurchases on the NASDAQ Global Market, as described more fully in the proxy statement accompanying the notice of Annual General Meeting.</w:t>
      </w:r>
    </w:p>
    <w:p>
      <w:pPr>
        <w:spacing w:after="0" w:line="172" w:lineRule="exact"/>
        <w:rPr>
          <w:rFonts w:ascii="Arial" w:cs="Arial" w:eastAsia="Arial" w:hAnsi="Arial"/>
          <w:sz w:val="13"/>
          <w:szCs w:val="13"/>
          <w:color w:val="auto"/>
        </w:rPr>
      </w:pPr>
    </w:p>
    <w:p>
      <w:pPr>
        <w:jc w:val="both"/>
        <w:ind w:left="321" w:hanging="321"/>
        <w:spacing w:after="0" w:line="223" w:lineRule="auto"/>
        <w:tabs>
          <w:tab w:leader="none" w:pos="32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authorise the Company to make market purchases of Ordinary Shares on the London Stock Exchange plc, as described more fully in the proxy statement accompanying the notice of Annual General Meeting.</w:t>
      </w:r>
    </w:p>
    <w:p>
      <w:pPr>
        <w:spacing w:after="0" w:line="308" w:lineRule="exact"/>
        <w:rPr>
          <w:rFonts w:ascii="Arial" w:cs="Arial" w:eastAsia="Arial" w:hAnsi="Arial"/>
          <w:sz w:val="13"/>
          <w:szCs w:val="13"/>
          <w:color w:val="auto"/>
        </w:rPr>
      </w:pPr>
    </w:p>
    <w:p>
      <w:pPr>
        <w:jc w:val="both"/>
        <w:ind w:left="321" w:hanging="321"/>
        <w:spacing w:after="0" w:line="221" w:lineRule="auto"/>
        <w:tabs>
          <w:tab w:leader="none" w:pos="32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authorise the Company, subject to and in accordance with the provisions of the UK Companies Act 2006, to send, convey or supply all types of notices, documents or information to shareholders by electronic means, including by making such notices, documents or information available on a website.</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SPECIAL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00" w:val="left"/>
          <w:tab w:leader="none" w:pos="880" w:val="left"/>
        </w:tabs>
        <w:rPr>
          <w:sz w:val="20"/>
          <w:szCs w:val="20"/>
          <w:color w:val="auto"/>
        </w:rPr>
      </w:pPr>
      <w:r>
        <w:rPr>
          <w:rFonts w:ascii="Arial" w:cs="Arial" w:eastAsia="Arial" w:hAnsi="Arial"/>
          <w:sz w:val="13"/>
          <w:szCs w:val="13"/>
          <w:b w:val="1"/>
          <w:bCs w:val="1"/>
          <w:color w:val="auto"/>
        </w:rPr>
        <w:t>For</w:t>
        <w:tab/>
        <w:t>Against</w:t>
        <w:tab/>
        <w:t>Abstain</w:t>
      </w:r>
    </w:p>
    <w:p>
      <w:pPr>
        <w:spacing w:after="0" w:line="347"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550" w:lineRule="exact"/>
        <w:rPr>
          <w:sz w:val="20"/>
          <w:szCs w:val="20"/>
          <w:color w:val="auto"/>
        </w:rPr>
      </w:pPr>
    </w:p>
    <w:p>
      <w:pPr>
        <w:sectPr>
          <w:pgSz w:w="11900" w:h="16838" w:orient="portrait"/>
          <w:cols w:equalWidth="0" w:num="4">
            <w:col w:w="4080" w:space="120"/>
            <w:col w:w="1360" w:space="539"/>
            <w:col w:w="3501" w:space="120"/>
            <w:col w:w="170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149"/>
        </w:trPr>
        <w:tc>
          <w:tcPr>
            <w:tcW w:w="200" w:type="dxa"/>
            <w:vAlign w:val="bottom"/>
          </w:tcPr>
          <w:p>
            <w:pPr>
              <w:jc w:val="right"/>
              <w:ind w:right="37"/>
              <w:spacing w:after="0"/>
              <w:rPr>
                <w:sz w:val="20"/>
                <w:szCs w:val="20"/>
                <w:color w:val="auto"/>
              </w:rPr>
            </w:pPr>
            <w:r>
              <w:rPr>
                <w:rFonts w:ascii="Arial" w:cs="Arial" w:eastAsia="Arial" w:hAnsi="Arial"/>
                <w:sz w:val="13"/>
                <w:szCs w:val="13"/>
                <w:color w:val="auto"/>
                <w:w w:val="73"/>
              </w:rPr>
              <w:t>5.</w:t>
            </w:r>
          </w:p>
        </w:tc>
        <w:tc>
          <w:tcPr>
            <w:tcW w:w="3500" w:type="dxa"/>
            <w:vAlign w:val="bottom"/>
          </w:tcPr>
          <w:p>
            <w:pPr>
              <w:ind w:left="120"/>
              <w:spacing w:after="0"/>
              <w:rPr>
                <w:sz w:val="20"/>
                <w:szCs w:val="20"/>
                <w:color w:val="auto"/>
              </w:rPr>
            </w:pPr>
            <w:r>
              <w:rPr>
                <w:rFonts w:ascii="Arial" w:cs="Arial" w:eastAsia="Arial" w:hAnsi="Arial"/>
                <w:sz w:val="13"/>
                <w:szCs w:val="13"/>
                <w:color w:val="auto"/>
              </w:rPr>
              <w:t>To  ratify  the  appointment  of  PricewaterhouseCoopers</w:t>
            </w:r>
          </w:p>
        </w:tc>
        <w:tc>
          <w:tcPr>
            <w:tcW w:w="42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vMerge w:val="restart"/>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tcPr>
          <w:p>
            <w:pPr>
              <w:ind w:left="120"/>
              <w:spacing w:after="0" w:line="135" w:lineRule="exact"/>
              <w:rPr>
                <w:sz w:val="20"/>
                <w:szCs w:val="20"/>
                <w:color w:val="auto"/>
              </w:rPr>
            </w:pPr>
            <w:r>
              <w:rPr>
                <w:rFonts w:ascii="Arial" w:cs="Arial" w:eastAsia="Arial" w:hAnsi="Arial"/>
                <w:sz w:val="13"/>
                <w:szCs w:val="13"/>
                <w:color w:val="auto"/>
              </w:rPr>
              <w:t>S.p.A. as the Company’s independent registered public</w:t>
            </w:r>
          </w:p>
        </w:tc>
        <w:tc>
          <w:tcPr>
            <w:tcW w:w="4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3500" w:type="dxa"/>
            <w:vAlign w:val="bottom"/>
          </w:tcPr>
          <w:p>
            <w:pPr>
              <w:ind w:left="120"/>
              <w:spacing w:after="0"/>
              <w:rPr>
                <w:sz w:val="20"/>
                <w:szCs w:val="20"/>
                <w:color w:val="auto"/>
              </w:rPr>
            </w:pPr>
            <w:r>
              <w:rPr>
                <w:rFonts w:ascii="Arial" w:cs="Arial" w:eastAsia="Arial" w:hAnsi="Arial"/>
                <w:sz w:val="13"/>
                <w:szCs w:val="13"/>
                <w:color w:val="auto"/>
              </w:rPr>
              <w:t>accounting firm for the year ending 31 December 2016.</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0" w:type="dxa"/>
            <w:vAlign w:val="bottom"/>
          </w:tcPr>
          <w:p>
            <w:pPr>
              <w:jc w:val="right"/>
              <w:ind w:right="37"/>
              <w:spacing w:after="0"/>
              <w:rPr>
                <w:sz w:val="20"/>
                <w:szCs w:val="20"/>
                <w:color w:val="auto"/>
              </w:rPr>
            </w:pPr>
            <w:r>
              <w:rPr>
                <w:rFonts w:ascii="Arial" w:cs="Arial" w:eastAsia="Arial" w:hAnsi="Arial"/>
                <w:sz w:val="13"/>
                <w:szCs w:val="13"/>
                <w:color w:val="auto"/>
                <w:w w:val="73"/>
              </w:rPr>
              <w:t>6.</w:t>
            </w:r>
          </w:p>
        </w:tc>
        <w:tc>
          <w:tcPr>
            <w:tcW w:w="3500" w:type="dxa"/>
            <w:vAlign w:val="bottom"/>
          </w:tcPr>
          <w:p>
            <w:pPr>
              <w:ind w:left="120"/>
              <w:spacing w:after="0"/>
              <w:rPr>
                <w:sz w:val="20"/>
                <w:szCs w:val="20"/>
                <w:color w:val="auto"/>
              </w:rPr>
            </w:pPr>
            <w:r>
              <w:rPr>
                <w:rFonts w:ascii="Arial" w:cs="Arial" w:eastAsia="Arial" w:hAnsi="Arial"/>
                <w:sz w:val="13"/>
                <w:szCs w:val="13"/>
                <w:color w:val="auto"/>
              </w:rPr>
              <w:t>To authorise the directors and/or the Audit &amp; Compliance</w:t>
            </w:r>
          </w:p>
        </w:tc>
        <w:tc>
          <w:tcPr>
            <w:tcW w:w="42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jc w:val="both"/>
        <w:ind w:left="780" w:right="1420"/>
        <w:spacing w:after="0" w:line="223" w:lineRule="auto"/>
        <w:rPr>
          <w:sz w:val="20"/>
          <w:szCs w:val="20"/>
          <w:color w:val="auto"/>
        </w:rPr>
      </w:pPr>
      <w:r>
        <w:rPr>
          <w:rFonts w:ascii="Arial" w:cs="Arial" w:eastAsia="Arial" w:hAnsi="Arial"/>
          <w:sz w:val="13"/>
          <w:szCs w:val="13"/>
          <w:color w:val="auto"/>
        </w:rPr>
        <w:t>Committee of the Company to determine the remuneration of PricewaterhouseCoopers LLP, in its capacity as the Company’s UK statutory auditor under the UK Companies Act 2006.</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left="321" w:hanging="321"/>
        <w:spacing w:after="0" w:line="225" w:lineRule="auto"/>
        <w:tabs>
          <w:tab w:leader="none" w:pos="32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authorise the Company to call general meetings, other than an annual general meeting, on not less than 14 clear days’ notice.</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OTHER BUSINESS</w:t>
      </w:r>
    </w:p>
    <w:p>
      <w:pPr>
        <w:spacing w:after="0" w:line="42" w:lineRule="exact"/>
        <w:rPr>
          <w:sz w:val="20"/>
          <w:szCs w:val="20"/>
          <w:color w:val="auto"/>
        </w:rPr>
      </w:pPr>
    </w:p>
    <w:p>
      <w:pPr>
        <w:jc w:val="both"/>
        <w:ind w:left="321" w:hanging="321"/>
        <w:spacing w:after="0" w:line="223" w:lineRule="auto"/>
        <w:tabs>
          <w:tab w:leader="none" w:pos="3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their discretion, the proxy or proxies are authorised to vote upon such other business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31" w:lineRule="exact"/>
        <w:tabs>
          <w:tab w:leader="none" w:pos="54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199" w:lineRule="exact"/>
        <w:rPr>
          <w:sz w:val="20"/>
          <w:szCs w:val="20"/>
          <w:color w:val="auto"/>
        </w:rPr>
      </w:pPr>
    </w:p>
    <w:p>
      <w:pPr>
        <w:sectPr>
          <w:pgSz w:w="11900" w:h="16838" w:orient="portrait"/>
          <w:cols w:equalWidth="0" w:num="3">
            <w:col w:w="5500" w:space="599"/>
            <w:col w:w="3501" w:space="180"/>
            <w:col w:w="1640"/>
          </w:cols>
          <w:pgMar w:left="240" w:top="459" w:right="239" w:bottom="1440" w:gutter="0" w:footer="0" w:header="0"/>
          <w:type w:val="continuous"/>
        </w:sectPr>
      </w:pPr>
    </w:p>
    <w:p>
      <w:pPr>
        <w:jc w:val="both"/>
        <w:ind w:left="460" w:right="1820"/>
        <w:spacing w:after="0" w:line="222" w:lineRule="auto"/>
        <w:rPr>
          <w:sz w:val="20"/>
          <w:szCs w:val="20"/>
          <w:color w:val="auto"/>
        </w:rPr>
      </w:pPr>
      <w:r>
        <w:rPr>
          <w:rFonts w:ascii="Arial" w:cs="Arial" w:eastAsia="Arial" w:hAnsi="Arial"/>
          <w:sz w:val="13"/>
          <w:szCs w:val="13"/>
          <w:color w:val="auto"/>
        </w:rPr>
        <w:t>Please sign exactly as your name(s) appear(s) hereon. When signing pursuant to a power of attorney or as an executor, administrator, trustee or guardian, please state your full title and provide a certificate or other proof of appointment. If a corporation, limited liability company or partnership, please sign in full corporate, limited liability company or partnership name by a duly authorised person. In the case of joint holders (i) only one need sign, and (ii) the vote of the senior holder who tenders a vote, whether in person or by proxy, shall be accepted to the exclusion of the votes of other joint holders and seniority shall be determined by the order in which the names of the holders stand in the register of members of LivaNova PLC.</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Copies of LivaNova PLC’s UK Annual Report, US Transition Report on Form 10-K/T, as amended, and</w:t>
      </w:r>
    </w:p>
    <w:p>
      <w:pPr>
        <w:jc w:val="center"/>
        <w:ind w:right="-279"/>
        <w:spacing w:after="0"/>
        <w:rPr>
          <w:sz w:val="20"/>
          <w:szCs w:val="20"/>
          <w:color w:val="auto"/>
        </w:rPr>
      </w:pPr>
      <w:r>
        <w:rPr>
          <w:rFonts w:ascii="Arial" w:cs="Arial" w:eastAsia="Arial" w:hAnsi="Arial"/>
          <w:sz w:val="18"/>
          <w:szCs w:val="18"/>
          <w:color w:val="auto"/>
        </w:rPr>
        <w:t>Annual Meeting Notice &amp; Proxy Statement may be accessed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rPr>
          <w:sz w:val="20"/>
          <w:szCs w:val="20"/>
          <w:color w:val="auto"/>
        </w:rPr>
      </w:pPr>
      <w:r>
        <w:rPr>
          <w:rFonts w:ascii="Arial" w:cs="Arial" w:eastAsia="Arial" w:hAnsi="Arial"/>
          <w:sz w:val="13"/>
          <w:szCs w:val="13"/>
          <w:color w:val="auto"/>
        </w:rPr>
        <w:t>E11243-P79098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wp:posOffset>
            </wp:positionV>
            <wp:extent cx="7276465" cy="4857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LIVANOVA PLC</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2016 Annual General Meeting of Shareholders</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15 June 2016 1:00 PM (British Summer Time)</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This proxy is solicited by the Board of Directors</w:t>
      </w:r>
    </w:p>
    <w:p>
      <w:pPr>
        <w:spacing w:after="0" w:line="200" w:lineRule="exact"/>
        <w:rPr>
          <w:sz w:val="20"/>
          <w:szCs w:val="20"/>
          <w:color w:val="auto"/>
        </w:rPr>
      </w:pPr>
    </w:p>
    <w:p>
      <w:pPr>
        <w:spacing w:after="0" w:line="260" w:lineRule="exact"/>
        <w:rPr>
          <w:sz w:val="20"/>
          <w:szCs w:val="20"/>
          <w:color w:val="auto"/>
        </w:rPr>
      </w:pPr>
    </w:p>
    <w:p>
      <w:pPr>
        <w:jc w:val="both"/>
        <w:ind w:left="420" w:right="20"/>
        <w:spacing w:after="0" w:line="241" w:lineRule="auto"/>
        <w:rPr>
          <w:sz w:val="20"/>
          <w:szCs w:val="20"/>
          <w:color w:val="auto"/>
        </w:rPr>
      </w:pPr>
      <w:r>
        <w:rPr>
          <w:rFonts w:ascii="Arial" w:cs="Arial" w:eastAsia="Arial" w:hAnsi="Arial"/>
          <w:sz w:val="14"/>
          <w:szCs w:val="14"/>
          <w:color w:val="auto"/>
        </w:rPr>
        <w:t xml:space="preserve">The shareholder(s) hereby appoint(s) the duly appointed Chairman of the 2016 Annual General Meeting of Shareholders of LivaNova PLC as proxy, with the power to appoint his/her substitute, and hereby authorise(s) such proxy to attend, speak and vote on their behalf, as designated on the reverse side of this ballot, and upon such other business as may properly come before the meeting, or any adjournment or postponement thereof, all of the Ordinary Shares that the shareholder(s) is/are entitled to vote at the 2016 Annual General Meeting of Shareholders of LivaNova PLC to be held at 1:00 p.m. (British Summer Time) on Wednesday 15 June 2016 at the offices of Latham &amp; Watkins (London) LLP, 99 Bishopsgate, London EC2M 3XF, United Kingdom, and any adjournment or postponement thereof. By returning this card, the shareholder(s) acknowledge receipt of the notice of the annual general meeting of LivaNova PLC and the related proxy statement. A shareholder may appoint a proxy of his or her choice. If a proxy other than the Chairman is preferred, delete the words “the duly appointed Chairman of the 2016 Annual General Meeting of the Shareholders of LivaNova PLC” above and insert the name of your proxy in the space provided below. A proxy need not be a member of the Company but should appear at the meeting to represent you. The shareholder(s) revoke(s) any previous proxy or proxies given for such shares. The shareholder(s) ratify(ies) and confirms any actions that the persons holding the shareholders, or their substitute, by virtue of this executed card taken in accordance with the proxy granted hereunder. </w:t>
      </w:r>
      <w:r>
        <w:rPr>
          <w:rFonts w:ascii="Arial" w:cs="Arial" w:eastAsia="Arial" w:hAnsi="Arial"/>
          <w:sz w:val="14"/>
          <w:szCs w:val="14"/>
          <w:b w:val="1"/>
          <w:bCs w:val="1"/>
          <w:color w:val="auto"/>
        </w:rPr>
        <w:t>IF NO</w:t>
      </w:r>
    </w:p>
    <w:p>
      <w:pPr>
        <w:spacing w:after="0" w:line="4"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4"/>
          <w:szCs w:val="14"/>
          <w:b w:val="1"/>
          <w:bCs w:val="1"/>
          <w:color w:val="auto"/>
        </w:rPr>
        <w:t>DIRECTION AS TO THE MANNER OF VOTING THE PROXY IS MADE, THE PROXY WILL BE VOTED “FOR” THE RESOLUTIONS IN PROPOSALS 1, 2, 3, 4, 5, 6, 7, 8, 9 AND 10 AS INDICATED ON THE REVERSE SIDE THEREOF.</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Completion and return of a proxy card or submission of proxy instructions will not prevent a shareholder from attending the meeting and voting in person.</w:t>
      </w:r>
    </w:p>
    <w:p>
      <w:pPr>
        <w:spacing w:after="0" w:line="231"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14"/>
          <w:szCs w:val="14"/>
          <w:color w:val="auto"/>
        </w:rPr>
        <w:t>To appoint more than one proxy, (an) additional proxy card(s) may be obtained from your bank, broker or other nominee. Please indicate next to the proxy holder’s name the number of shares in relation to which they are authorised to act as your proxy. Please also indicate by ticking the box provided if the proxy instructions is one of the multiple instructions being given. All forms must be signed and returned together in the same envelope.</w:t>
      </w:r>
    </w:p>
    <w:p>
      <w:pPr>
        <w:spacing w:after="0" w:line="213"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4"/>
          <w:szCs w:val="14"/>
          <w:color w:val="auto"/>
        </w:rPr>
        <w:t>You are encouraged to specify your choices by marking the appropriate boxes (see reverse side) but you need not mark any boxes if you wish to vote in accordance with the Board of Directors’ recommendations.</w:t>
      </w:r>
    </w:p>
    <w:p>
      <w:pPr>
        <w:spacing w:after="0" w:line="41" w:lineRule="exact"/>
        <w:rPr>
          <w:sz w:val="20"/>
          <w:szCs w:val="20"/>
          <w:color w:val="auto"/>
        </w:rPr>
      </w:pPr>
    </w:p>
    <w:p>
      <w:pPr>
        <w:jc w:val="both"/>
        <w:ind w:left="420" w:right="20"/>
        <w:spacing w:after="0" w:line="28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Proposals 1, 2, 3, 4, 5, 6, 7, 8, 9 and 10.</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Name of the Proxy</w:t>
      </w:r>
    </w:p>
    <w:p>
      <w:pPr>
        <w:spacing w:after="0" w:line="200" w:lineRule="exact"/>
        <w:rPr>
          <w:sz w:val="20"/>
          <w:szCs w:val="20"/>
          <w:color w:val="auto"/>
        </w:rPr>
      </w:pPr>
    </w:p>
    <w:p>
      <w:pPr>
        <w:spacing w:after="0" w:line="376" w:lineRule="exact"/>
        <w:rPr>
          <w:sz w:val="20"/>
          <w:szCs w:val="20"/>
          <w:color w:val="auto"/>
        </w:rPr>
      </w:pPr>
    </w:p>
    <w:p>
      <w:pPr>
        <w:ind w:left="400"/>
        <w:spacing w:after="0" w:line="161" w:lineRule="exact"/>
        <w:tabs>
          <w:tab w:leader="none" w:pos="6020" w:val="left"/>
        </w:tabs>
        <w:rPr>
          <w:sz w:val="20"/>
          <w:szCs w:val="20"/>
          <w:color w:val="auto"/>
        </w:rPr>
      </w:pPr>
      <w:r>
        <w:rPr>
          <w:rFonts w:ascii="Arial" w:cs="Arial" w:eastAsia="Arial" w:hAnsi="Arial"/>
          <w:sz w:val="14"/>
          <w:szCs w:val="14"/>
          <w:color w:val="auto"/>
        </w:rPr>
        <w:t>Please indicate here with ‘X’, if this proxy card is one of multiple instructions given.</w:t>
      </w:r>
      <w:r>
        <w:rPr>
          <w:sz w:val="20"/>
          <w:szCs w:val="20"/>
          <w:color w:val="auto"/>
        </w:rPr>
        <w:tab/>
      </w:r>
      <w:r>
        <w:rPr>
          <w:rFonts w:ascii="MS PGothic" w:cs="MS PGothic" w:eastAsia="MS PGothic" w:hAnsi="MS PGothic"/>
          <w:sz w:val="12"/>
          <w:szCs w:val="12"/>
          <w:color w:val="auto"/>
        </w:rPr>
        <w:t>☐</w:t>
      </w:r>
    </w:p>
    <w:p>
      <w:pPr>
        <w:spacing w:after="0" w:line="26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lvl w:ilvl="1">
      <w:lvlJc w:val="left"/>
      <w:lvlText w:val="%2."/>
      <w:numFmt w:val="lowerLetter"/>
      <w:start w:val="1"/>
    </w:lvl>
  </w:abstractNum>
  <w:abstractNum w:abstractNumId="11">
    <w:nsid w:val="2901D8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0"/>
    </w:lvl>
  </w:abstractNum>
  <w:abstractNum w:abstractNumId="14">
    <w:nsid w:val="1E7FF521"/>
    <w:multiLevelType w:val="hybridMultilevel"/>
    <w:lvl w:ilvl="0">
      <w:lvlJc w:val="left"/>
      <w:lvlText w:val="%1."/>
      <w:numFmt w:val="decimal"/>
      <w:start w:val="1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9"/>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3"/>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lvl w:ilvl="1">
      <w:lvlJc w:val="left"/>
      <w:lvlText w:val="%2."/>
      <w:numFmt w:val="lowerLetter"/>
      <w:start w:val="1"/>
    </w:lvl>
  </w:abstractNum>
  <w:abstractNum w:abstractNumId="31">
    <w:nsid w:val="5E884ADC"/>
    <w:multiLevelType w:val="hybridMultilevel"/>
    <w:lvl w:ilvl="0">
      <w:lvlJc w:val="left"/>
      <w:lvlText w:val="%1."/>
      <w:numFmt w:val="decimal"/>
      <w:start w:val="7"/>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
    </w:lvl>
    <w:lvl w:ilvl="1">
      <w:lvlJc w:val="left"/>
      <w:lvlText w:val="%2."/>
      <w:numFmt w:val="lowerLetter"/>
      <w:start w:val="2"/>
    </w:lvl>
  </w:abstractNum>
  <w:abstractNum w:abstractNumId="34">
    <w:nsid w:val="580BD78F"/>
    <w:multiLevelType w:val="hybridMultilevel"/>
    <w:lvl w:ilvl="0">
      <w:lvlJc w:val="left"/>
      <w:lvlText w:val="%1."/>
      <w:numFmt w:val="decimal"/>
      <w:start w:val="16"/>
    </w:lvl>
    <w:lvl w:ilvl="1">
      <w:lvlJc w:val="left"/>
      <w:lvlText w:val="%2"/>
      <w:numFmt w:val="lowerLetter"/>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6"/>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4"/>
    </w:lvl>
  </w:abstractNum>
  <w:abstractNum w:abstractNumId="38">
    <w:nsid w:val="6A2342EC"/>
    <w:multiLevelType w:val="hybridMultilevel"/>
    <w:lvl w:ilvl="0">
      <w:lvlJc w:val="left"/>
      <w:lvlText w:val="%1."/>
      <w:numFmt w:val="decimal"/>
      <w:start w:val="7"/>
    </w:lvl>
    <w:lvl w:ilvl="1">
      <w:lvlJc w:val="left"/>
      <w:lvlText w:val="%2."/>
      <w:numFmt w:val="lowerLetter"/>
      <w:start w:val="1"/>
    </w:lvl>
  </w:abstractNum>
  <w:abstractNum w:abstractNumId="39">
    <w:nsid w:val="2A487CB0"/>
    <w:multiLevelType w:val="hybridMultilevel"/>
    <w:lvl w:ilvl="0">
      <w:lvlJc w:val="left"/>
      <w:lvlText w:val="%1."/>
      <w:numFmt w:val="decimal"/>
      <w:start w:val="10"/>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14"/>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7"/>
    </w:lvl>
  </w:abstractNum>
  <w:abstractNum w:abstractNumId="44">
    <w:nsid w:val="7A6D8D3C"/>
    <w:multiLevelType w:val="hybridMultilevel"/>
    <w:lvl w:ilvl="0">
      <w:lvlJc w:val="left"/>
      <w:lvlText w:val="%1."/>
      <w:numFmt w:val="decimal"/>
      <w:start w:val="10"/>
    </w:lvl>
  </w:abstractNum>
  <w:abstractNum w:abstractNumId="45">
    <w:nsid w:val="4B588F5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2019-12-09T01:57:31Z</dcterms:created>
  <dcterms:modified xsi:type="dcterms:W3CDTF">2019-12-09T01:57:31Z</dcterms:modified>
</cp:coreProperties>
</file>