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77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778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03/01/2020</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92"/>
              </w:rPr>
              <w:t>13,352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52"/>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1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77,368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03/01/2020</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6,276</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69.72</w:t>
            </w:r>
          </w:p>
        </w:tc>
        <w:tc>
          <w:tcPr>
            <w:tcW w:w="128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71,092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03/02/2020</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69.28</w:t>
            </w:r>
          </w:p>
        </w:tc>
        <w:tc>
          <w:tcPr>
            <w:tcW w:w="128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70,092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13,352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03/01/2020</w:t>
            </w:r>
          </w:p>
        </w:tc>
        <w:tc>
          <w:tcPr>
            <w:tcW w:w="1200" w:type="dxa"/>
            <w:vAlign w:val="bottom"/>
          </w:tcPr>
          <w:p>
            <w:pPr>
              <w:spacing w:after="0"/>
              <w:rPr>
                <w:sz w:val="11"/>
                <w:szCs w:val="11"/>
                <w:color w:val="auto"/>
              </w:rPr>
            </w:pPr>
          </w:p>
        </w:tc>
        <w:tc>
          <w:tcPr>
            <w:tcW w:w="7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13,352</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20"/>
              <w:spacing w:after="0" w:line="132" w:lineRule="exact"/>
              <w:rPr>
                <w:sz w:val="20"/>
                <w:szCs w:val="20"/>
                <w:color w:val="auto"/>
              </w:rPr>
            </w:pPr>
            <w:r>
              <w:rPr>
                <w:rFonts w:ascii="Arial" w:cs="Arial" w:eastAsia="Arial" w:hAnsi="Arial"/>
                <w:sz w:val="13"/>
                <w:szCs w:val="13"/>
                <w:color w:val="0000FF"/>
                <w:w w:val="89"/>
              </w:rPr>
              <w:t>117,702</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6, 2019.</w:t>
      </w:r>
    </w:p>
    <w:p>
      <w:pPr>
        <w:spacing w:after="0" w:line="52" w:lineRule="exact"/>
        <w:rPr>
          <w:rFonts w:ascii="Arial" w:cs="Arial" w:eastAsia="Arial" w:hAnsi="Arial"/>
          <w:sz w:val="13"/>
          <w:szCs w:val="13"/>
          <w:color w:val="008000"/>
        </w:rPr>
      </w:pPr>
    </w:p>
    <w:p>
      <w:pPr>
        <w:ind w:left="40" w:right="2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9" w:lineRule="exact"/>
        <w:rPr>
          <w:rFonts w:ascii="Arial" w:cs="Arial" w:eastAsia="Arial" w:hAnsi="Arial"/>
          <w:sz w:val="13"/>
          <w:szCs w:val="13"/>
          <w:color w:val="008000"/>
        </w:rPr>
      </w:pPr>
    </w:p>
    <w:p>
      <w:pPr>
        <w:ind w:left="40" w:right="14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RSUs that vest 25% on the second day after release of LivaNova's full-year 2019 financial results, February 27, 2020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7 of Table II reflects the RSUs eligible for vesting at the target price subject to continued service during the vesting period and the award agreement.</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03/03/2020</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2020-03-03T15:30:09Z</dcterms:created>
  <dcterms:modified xsi:type="dcterms:W3CDTF">2020-03-03T15:30:09Z</dcterms:modified>
</cp:coreProperties>
</file>