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16"/>
          <w:szCs w:val="16"/>
          <w:b w:val="1"/>
          <w:bCs w:val="1"/>
          <w:color w:val="auto"/>
        </w:rPr>
        <w:t>UNITED STATES</w:t>
      </w:r>
    </w:p>
    <w:p>
      <w:pPr>
        <w:ind w:left="3980"/>
        <w:spacing w:after="0" w:line="193" w:lineRule="auto"/>
        <w:rPr>
          <w:sz w:val="20"/>
          <w:szCs w:val="20"/>
          <w:color w:val="auto"/>
        </w:rPr>
      </w:pPr>
      <w:r>
        <w:rPr>
          <w:rFonts w:ascii="Arial" w:cs="Arial" w:eastAsia="Arial" w:hAnsi="Arial"/>
          <w:sz w:val="16"/>
          <w:szCs w:val="16"/>
          <w:b w:val="1"/>
          <w:bCs w:val="1"/>
          <w:color w:val="auto"/>
        </w:rPr>
        <w:t>SECURITIES AND EXCHANGE COMMISSION</w:t>
      </w:r>
    </w:p>
    <w:p>
      <w:pPr>
        <w:jc w:val="center"/>
        <w:ind w:right="80"/>
        <w:spacing w:after="0" w:line="207" w:lineRule="auto"/>
        <w:rPr>
          <w:sz w:val="20"/>
          <w:szCs w:val="20"/>
          <w:color w:val="auto"/>
        </w:rPr>
      </w:pPr>
      <w:r>
        <w:rPr>
          <w:rFonts w:ascii="Arial" w:cs="Arial" w:eastAsia="Arial" w:hAnsi="Arial"/>
          <w:sz w:val="16"/>
          <w:szCs w:val="16"/>
          <w:b w:val="1"/>
          <w:bCs w:val="1"/>
          <w:color w:val="auto"/>
        </w:rPr>
        <w:t>Washington, D.C. 20549</w:t>
      </w:r>
    </w:p>
    <w:p>
      <w:pPr>
        <w:ind w:left="5120"/>
        <w:spacing w:after="0"/>
        <w:rPr>
          <w:sz w:val="20"/>
          <w:szCs w:val="20"/>
          <w:color w:val="auto"/>
        </w:rPr>
      </w:pPr>
      <w:r>
        <w:rPr>
          <w:rFonts w:ascii="Arial" w:cs="Arial" w:eastAsia="Arial" w:hAnsi="Arial"/>
          <w:sz w:val="8"/>
          <w:szCs w:val="8"/>
          <w:color w:val="auto"/>
        </w:rPr>
        <w:t>_________________________</w:t>
      </w:r>
    </w:p>
    <w:p>
      <w:pPr>
        <w:spacing w:after="0" w:line="42" w:lineRule="exact"/>
        <w:rPr>
          <w:sz w:val="24"/>
          <w:szCs w:val="24"/>
          <w:color w:val="auto"/>
        </w:rPr>
      </w:pPr>
    </w:p>
    <w:p>
      <w:pPr>
        <w:jc w:val="center"/>
        <w:ind w:right="80"/>
        <w:spacing w:after="0"/>
        <w:rPr>
          <w:sz w:val="20"/>
          <w:szCs w:val="20"/>
          <w:color w:val="auto"/>
        </w:rPr>
      </w:pPr>
      <w:r>
        <w:rPr>
          <w:rFonts w:ascii="Arial" w:cs="Arial" w:eastAsia="Arial" w:hAnsi="Arial"/>
          <w:sz w:val="23"/>
          <w:szCs w:val="23"/>
          <w:b w:val="1"/>
          <w:bCs w:val="1"/>
          <w:color w:val="auto"/>
        </w:rPr>
        <w:t>Form 10-Q</w:t>
      </w:r>
    </w:p>
    <w:p>
      <w:pPr>
        <w:spacing w:after="0" w:line="275" w:lineRule="exact"/>
        <w:rPr>
          <w:sz w:val="24"/>
          <w:szCs w:val="24"/>
          <w:color w:val="auto"/>
        </w:rPr>
      </w:pPr>
    </w:p>
    <w:p>
      <w:pPr>
        <w:jc w:val="center"/>
        <w:ind w:right="80"/>
        <w:spacing w:after="0"/>
        <w:rPr>
          <w:sz w:val="20"/>
          <w:szCs w:val="20"/>
          <w:color w:val="auto"/>
        </w:rPr>
      </w:pPr>
      <w:r>
        <w:rPr>
          <w:rFonts w:ascii="Arial" w:cs="Arial" w:eastAsia="Arial" w:hAnsi="Arial"/>
          <w:sz w:val="13"/>
          <w:szCs w:val="13"/>
          <w:color w:val="auto"/>
        </w:rPr>
        <w:t>(Mark One)</w:t>
      </w:r>
    </w:p>
    <w:p>
      <w:pPr>
        <w:spacing w:after="0" w:line="12" w:lineRule="exact"/>
        <w:rPr>
          <w:sz w:val="24"/>
          <w:szCs w:val="24"/>
          <w:color w:val="auto"/>
        </w:rPr>
      </w:pPr>
    </w:p>
    <w:p>
      <w:pPr>
        <w:jc w:val="center"/>
        <w:ind w:left="4480" w:right="2420" w:hanging="2131"/>
        <w:spacing w:after="0" w:line="255" w:lineRule="auto"/>
        <w:tabs>
          <w:tab w:leader="none" w:pos="2500" w:val="left"/>
        </w:tabs>
        <w:numPr>
          <w:ilvl w:val="1"/>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 xml:space="preserve">QUARTERLY REPORT PURSUANT TO SECTION 13 OR 15(d) OF THE SECURITIES EXCHANGE ACT OF 1934 </w:t>
      </w:r>
      <w:r>
        <w:rPr>
          <w:rFonts w:ascii="Arial" w:cs="Arial" w:eastAsia="Arial" w:hAnsi="Arial"/>
          <w:sz w:val="13"/>
          <w:szCs w:val="13"/>
          <w:color w:val="auto"/>
        </w:rPr>
        <w:t>For the quarterly period ended: June 30, 2023</w:t>
      </w:r>
    </w:p>
    <w:p>
      <w:pPr>
        <w:ind w:left="5580"/>
        <w:spacing w:after="0"/>
        <w:rPr>
          <w:rFonts w:ascii="MS PGothic" w:cs="MS PGothic" w:eastAsia="MS PGothic" w:hAnsi="MS PGothic"/>
          <w:sz w:val="13"/>
          <w:szCs w:val="13"/>
          <w:color w:val="auto"/>
        </w:rPr>
      </w:pPr>
      <w:r>
        <w:rPr>
          <w:rFonts w:ascii="Arial" w:cs="Arial" w:eastAsia="Arial" w:hAnsi="Arial"/>
          <w:sz w:val="13"/>
          <w:szCs w:val="13"/>
          <w:b w:val="1"/>
          <w:bCs w:val="1"/>
          <w:color w:val="auto"/>
        </w:rPr>
        <w:t>or</w:t>
      </w:r>
    </w:p>
    <w:p>
      <w:pPr>
        <w:spacing w:after="0" w:line="9" w:lineRule="exact"/>
        <w:rPr>
          <w:rFonts w:ascii="MS PGothic" w:cs="MS PGothic" w:eastAsia="MS PGothic" w:hAnsi="MS PGothic"/>
          <w:sz w:val="13"/>
          <w:szCs w:val="13"/>
          <w:color w:val="auto"/>
        </w:rPr>
      </w:pPr>
    </w:p>
    <w:p>
      <w:pPr>
        <w:ind w:left="3840" w:right="2420" w:hanging="1498"/>
        <w:spacing w:after="0" w:line="270" w:lineRule="auto"/>
        <w:tabs>
          <w:tab w:leader="none" w:pos="2499"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 xml:space="preserve">TRANSITION REPORT PURSUANT TO SECTION 13 OR 15(d) OF THE SECURITIES EXCHANGE ACT OF 1934 </w:t>
      </w:r>
      <w:r>
        <w:rPr>
          <w:rFonts w:ascii="Arial" w:cs="Arial" w:eastAsia="Arial" w:hAnsi="Arial"/>
          <w:sz w:val="13"/>
          <w:szCs w:val="13"/>
          <w:color w:val="auto"/>
        </w:rPr>
        <w:t>For the transition period from _______________ to _______________</w:t>
      </w:r>
    </w:p>
    <w:p>
      <w:pPr>
        <w:spacing w:after="0" w:line="167" w:lineRule="exact"/>
        <w:rPr>
          <w:sz w:val="24"/>
          <w:szCs w:val="24"/>
          <w:color w:val="auto"/>
        </w:rPr>
      </w:pPr>
    </w:p>
    <w:p>
      <w:pPr>
        <w:jc w:val="center"/>
        <w:ind w:right="80"/>
        <w:spacing w:after="0"/>
        <w:rPr>
          <w:sz w:val="20"/>
          <w:szCs w:val="20"/>
          <w:color w:val="auto"/>
        </w:rPr>
      </w:pPr>
      <w:r>
        <w:rPr>
          <w:rFonts w:ascii="Arial" w:cs="Arial" w:eastAsia="Arial" w:hAnsi="Arial"/>
          <w:sz w:val="13"/>
          <w:szCs w:val="13"/>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12700</wp:posOffset>
            </wp:positionV>
            <wp:extent cx="1630680" cy="363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0680" cy="363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80"/>
        <w:spacing w:after="0"/>
        <w:rPr>
          <w:sz w:val="20"/>
          <w:szCs w:val="20"/>
          <w:color w:val="auto"/>
        </w:rPr>
      </w:pPr>
      <w:r>
        <w:rPr>
          <w:rFonts w:ascii="Arial" w:cs="Arial" w:eastAsia="Arial" w:hAnsi="Arial"/>
          <w:sz w:val="23"/>
          <w:szCs w:val="23"/>
          <w:b w:val="1"/>
          <w:bCs w:val="1"/>
          <w:color w:val="auto"/>
        </w:rPr>
        <w:t>LivaNova PLC</w:t>
      </w:r>
    </w:p>
    <w:p>
      <w:pPr>
        <w:spacing w:after="0" w:line="63" w:lineRule="exact"/>
        <w:rPr>
          <w:sz w:val="24"/>
          <w:szCs w:val="24"/>
          <w:color w:val="auto"/>
        </w:rPr>
      </w:pPr>
    </w:p>
    <w:p>
      <w:pPr>
        <w:jc w:val="center"/>
        <w:ind w:right="80"/>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112" w:lineRule="exact"/>
        <w:rPr>
          <w:sz w:val="24"/>
          <w:szCs w:val="24"/>
          <w:color w:val="auto"/>
        </w:rPr>
      </w:pPr>
    </w:p>
    <w:tbl>
      <w:tblPr>
        <w:tblLayout w:type="fixed"/>
        <w:tblInd w:w="140" w:type="dxa"/>
        <w:tblCellMar>
          <w:top w:w="0" w:type="dxa"/>
          <w:left w:w="0" w:type="dxa"/>
          <w:bottom w:w="0" w:type="dxa"/>
          <w:right w:w="0" w:type="dxa"/>
        </w:tblCellMar>
      </w:tblPr>
      <w:tr>
        <w:trPr>
          <w:trHeight w:val="153"/>
        </w:trPr>
        <w:tc>
          <w:tcPr>
            <w:tcW w:w="1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80" w:type="dxa"/>
            <w:vAlign w:val="bottom"/>
            <w:gridSpan w:val="3"/>
          </w:tcPr>
          <w:p>
            <w:pPr>
              <w:jc w:val="right"/>
              <w:spacing w:after="0"/>
              <w:rPr>
                <w:sz w:val="20"/>
                <w:szCs w:val="20"/>
                <w:color w:val="auto"/>
              </w:rPr>
            </w:pPr>
            <w:r>
              <w:rPr>
                <w:rFonts w:ascii="Arial" w:cs="Arial" w:eastAsia="Arial" w:hAnsi="Arial"/>
                <w:sz w:val="13"/>
                <w:szCs w:val="13"/>
                <w:b w:val="1"/>
                <w:bCs w:val="1"/>
                <w:color w:val="auto"/>
              </w:rPr>
              <w:t xml:space="preserve">England and Wales </w:t>
            </w:r>
            <w:r>
              <w:rPr>
                <w:rFonts w:ascii="Arial" w:cs="Arial" w:eastAsia="Arial" w:hAnsi="Arial"/>
                <w:sz w:val="13"/>
                <w:szCs w:val="13"/>
                <w:i w:val="1"/>
                <w:iCs w:val="1"/>
                <w:color w:val="FFFFFF"/>
              </w:rPr>
              <w:t>...................</w:t>
            </w:r>
          </w:p>
        </w:tc>
        <w:tc>
          <w:tcPr>
            <w:tcW w:w="1580" w:type="dxa"/>
            <w:vAlign w:val="bottom"/>
          </w:tcPr>
          <w:p>
            <w:pPr>
              <w:jc w:val="center"/>
              <w:ind w:right="336"/>
              <w:spacing w:after="0"/>
              <w:rPr>
                <w:sz w:val="20"/>
                <w:szCs w:val="20"/>
                <w:color w:val="auto"/>
              </w:rPr>
            </w:pPr>
            <w:r>
              <w:rPr>
                <w:rFonts w:ascii="Arial" w:cs="Arial" w:eastAsia="Arial" w:hAnsi="Arial"/>
                <w:sz w:val="13"/>
                <w:szCs w:val="13"/>
                <w:b w:val="1"/>
                <w:bCs w:val="1"/>
                <w:color w:val="auto"/>
                <w:w w:val="89"/>
              </w:rPr>
              <w:t>98-1268150</w:t>
            </w:r>
          </w:p>
        </w:tc>
        <w:tc>
          <w:tcPr>
            <w:tcW w:w="22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49"/>
        </w:trPr>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80" w:type="dxa"/>
            <w:vAlign w:val="bottom"/>
            <w:gridSpan w:val="3"/>
          </w:tcPr>
          <w:p>
            <w:pPr>
              <w:jc w:val="right"/>
              <w:spacing w:after="0"/>
              <w:rPr>
                <w:sz w:val="20"/>
                <w:szCs w:val="20"/>
                <w:color w:val="auto"/>
              </w:rPr>
            </w:pPr>
            <w:r>
              <w:rPr>
                <w:rFonts w:ascii="Arial" w:cs="Arial" w:eastAsia="Arial" w:hAnsi="Arial"/>
                <w:sz w:val="13"/>
                <w:szCs w:val="13"/>
                <w:i w:val="1"/>
                <w:iCs w:val="1"/>
                <w:color w:val="auto"/>
              </w:rPr>
              <w:t xml:space="preserve">(State or other jurisdiction of </w:t>
            </w:r>
            <w:r>
              <w:rPr>
                <w:rFonts w:ascii="Arial" w:cs="Arial" w:eastAsia="Arial" w:hAnsi="Arial"/>
                <w:sz w:val="13"/>
                <w:szCs w:val="13"/>
                <w:i w:val="1"/>
                <w:iCs w:val="1"/>
                <w:color w:val="FFFFFF"/>
              </w:rPr>
              <w:t>..........</w:t>
            </w:r>
          </w:p>
        </w:tc>
        <w:tc>
          <w:tcPr>
            <w:tcW w:w="5380" w:type="dxa"/>
            <w:vAlign w:val="bottom"/>
            <w:gridSpan w:val="3"/>
          </w:tcPr>
          <w:p>
            <w:pPr>
              <w:jc w:val="center"/>
              <w:ind w:right="4180"/>
              <w:spacing w:after="0"/>
              <w:rPr>
                <w:sz w:val="20"/>
                <w:szCs w:val="20"/>
                <w:color w:val="auto"/>
              </w:rPr>
            </w:pPr>
            <w:r>
              <w:rPr>
                <w:rFonts w:ascii="Arial" w:cs="Arial" w:eastAsia="Arial" w:hAnsi="Arial"/>
                <w:sz w:val="13"/>
                <w:szCs w:val="13"/>
                <w:i w:val="1"/>
                <w:iCs w:val="1"/>
                <w:color w:val="auto"/>
                <w:w w:val="88"/>
              </w:rPr>
              <w:t>(I.R.S. Employer</w:t>
            </w:r>
          </w:p>
        </w:tc>
      </w:tr>
      <w:tr>
        <w:trPr>
          <w:trHeight w:val="161"/>
        </w:trPr>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Arial" w:cs="Arial" w:eastAsia="Arial" w:hAnsi="Arial"/>
                <w:sz w:val="13"/>
                <w:szCs w:val="13"/>
                <w:i w:val="1"/>
                <w:iCs w:val="1"/>
                <w:color w:val="auto"/>
              </w:rPr>
              <w:t xml:space="preserve">incorporation or organization) </w:t>
            </w:r>
            <w:r>
              <w:rPr>
                <w:rFonts w:ascii="Arial" w:cs="Arial" w:eastAsia="Arial" w:hAnsi="Arial"/>
                <w:sz w:val="13"/>
                <w:szCs w:val="13"/>
                <w:i w:val="1"/>
                <w:iCs w:val="1"/>
                <w:color w:val="FFFFFF"/>
              </w:rPr>
              <w:t>........</w:t>
            </w:r>
          </w:p>
        </w:tc>
        <w:tc>
          <w:tcPr>
            <w:tcW w:w="5380" w:type="dxa"/>
            <w:vAlign w:val="bottom"/>
            <w:gridSpan w:val="3"/>
          </w:tcPr>
          <w:p>
            <w:pPr>
              <w:jc w:val="center"/>
              <w:ind w:right="4160"/>
              <w:spacing w:after="0"/>
              <w:rPr>
                <w:sz w:val="20"/>
                <w:szCs w:val="20"/>
                <w:color w:val="auto"/>
              </w:rPr>
            </w:pPr>
            <w:r>
              <w:rPr>
                <w:rFonts w:ascii="Arial" w:cs="Arial" w:eastAsia="Arial" w:hAnsi="Arial"/>
                <w:sz w:val="13"/>
                <w:szCs w:val="13"/>
                <w:i w:val="1"/>
                <w:iCs w:val="1"/>
                <w:color w:val="auto"/>
                <w:w w:val="92"/>
              </w:rPr>
              <w:t>Identification No.)</w:t>
            </w:r>
          </w:p>
        </w:tc>
      </w:tr>
      <w:tr>
        <w:trPr>
          <w:trHeight w:val="274"/>
        </w:trPr>
        <w:tc>
          <w:tcPr>
            <w:tcW w:w="1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60" w:type="dxa"/>
            <w:vAlign w:val="bottom"/>
            <w:gridSpan w:val="6"/>
          </w:tcPr>
          <w:p>
            <w:pPr>
              <w:jc w:val="center"/>
              <w:ind w:right="3780"/>
              <w:spacing w:after="0"/>
              <w:rPr>
                <w:sz w:val="20"/>
                <w:szCs w:val="20"/>
                <w:color w:val="auto"/>
              </w:rPr>
            </w:pPr>
            <w:r>
              <w:rPr>
                <w:rFonts w:ascii="Arial" w:cs="Arial" w:eastAsia="Arial" w:hAnsi="Arial"/>
                <w:sz w:val="13"/>
                <w:szCs w:val="13"/>
                <w:b w:val="1"/>
                <w:bCs w:val="1"/>
                <w:color w:val="auto"/>
                <w:w w:val="90"/>
              </w:rPr>
              <w:t>20 Eastbourne Terrace, London, United Kingdom</w:t>
            </w:r>
            <w:r>
              <w:rPr>
                <w:rFonts w:ascii="Arial" w:cs="Arial" w:eastAsia="Arial" w:hAnsi="Arial"/>
                <w:sz w:val="13"/>
                <w:szCs w:val="13"/>
                <w:color w:val="auto"/>
                <w:w w:val="90"/>
              </w:rPr>
              <w:t>,</w:t>
            </w:r>
            <w:r>
              <w:rPr>
                <w:rFonts w:ascii="Arial" w:cs="Arial" w:eastAsia="Arial" w:hAnsi="Arial"/>
                <w:sz w:val="13"/>
                <w:szCs w:val="13"/>
                <w:b w:val="1"/>
                <w:bCs w:val="1"/>
                <w:color w:val="auto"/>
                <w:w w:val="90"/>
              </w:rPr>
              <w:t xml:space="preserve"> W2 6LG</w:t>
            </w:r>
          </w:p>
        </w:tc>
      </w:tr>
      <w:tr>
        <w:trPr>
          <w:trHeight w:val="161"/>
        </w:trPr>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80" w:type="dxa"/>
            <w:vAlign w:val="bottom"/>
            <w:gridSpan w:val="3"/>
          </w:tcPr>
          <w:p>
            <w:pPr>
              <w:jc w:val="right"/>
              <w:ind w:right="20"/>
              <w:spacing w:after="0"/>
              <w:rPr>
                <w:sz w:val="20"/>
                <w:szCs w:val="20"/>
                <w:color w:val="auto"/>
              </w:rPr>
            </w:pPr>
            <w:r>
              <w:rPr>
                <w:rFonts w:ascii="Arial" w:cs="Arial" w:eastAsia="Arial" w:hAnsi="Arial"/>
                <w:sz w:val="13"/>
                <w:szCs w:val="13"/>
                <w:i w:val="1"/>
                <w:iCs w:val="1"/>
                <w:color w:val="auto"/>
              </w:rPr>
              <w:t>(Address of principal executive offices)</w:t>
            </w:r>
          </w:p>
        </w:tc>
        <w:tc>
          <w:tcPr>
            <w:tcW w:w="5380" w:type="dxa"/>
            <w:vAlign w:val="bottom"/>
            <w:gridSpan w:val="3"/>
          </w:tcPr>
          <w:p>
            <w:pPr>
              <w:ind w:left="20"/>
              <w:spacing w:after="0"/>
              <w:rPr>
                <w:sz w:val="20"/>
                <w:szCs w:val="20"/>
                <w:color w:val="auto"/>
              </w:rPr>
            </w:pPr>
            <w:r>
              <w:rPr>
                <w:rFonts w:ascii="Arial" w:cs="Arial" w:eastAsia="Arial" w:hAnsi="Arial"/>
                <w:sz w:val="13"/>
                <w:szCs w:val="13"/>
                <w:i w:val="1"/>
                <w:iCs w:val="1"/>
                <w:color w:val="FFFFFF"/>
              </w:rPr>
              <w:t xml:space="preserve">....................... </w:t>
            </w:r>
            <w:r>
              <w:rPr>
                <w:rFonts w:ascii="Arial" w:cs="Arial" w:eastAsia="Arial" w:hAnsi="Arial"/>
                <w:sz w:val="13"/>
                <w:szCs w:val="13"/>
                <w:i w:val="1"/>
                <w:iCs w:val="1"/>
                <w:color w:val="000000"/>
              </w:rPr>
              <w:t>(Zip Code)</w:t>
            </w:r>
          </w:p>
        </w:tc>
      </w:tr>
      <w:tr>
        <w:trPr>
          <w:trHeight w:val="286"/>
        </w:trPr>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60" w:type="dxa"/>
            <w:vAlign w:val="bottom"/>
            <w:gridSpan w:val="6"/>
          </w:tcPr>
          <w:p>
            <w:pPr>
              <w:jc w:val="center"/>
              <w:ind w:right="3760"/>
              <w:spacing w:after="0"/>
              <w:rPr>
                <w:sz w:val="20"/>
                <w:szCs w:val="20"/>
                <w:color w:val="auto"/>
              </w:rPr>
            </w:pPr>
            <w:r>
              <w:rPr>
                <w:rFonts w:ascii="Arial" w:cs="Arial" w:eastAsia="Arial" w:hAnsi="Arial"/>
                <w:sz w:val="13"/>
                <w:szCs w:val="13"/>
                <w:i w:val="1"/>
                <w:iCs w:val="1"/>
                <w:color w:val="auto"/>
                <w:w w:val="88"/>
              </w:rPr>
              <w:t xml:space="preserve">Registrant’s telephone number, including area code: </w:t>
            </w:r>
            <w:r>
              <w:rPr>
                <w:rFonts w:ascii="Arial" w:cs="Arial" w:eastAsia="Arial" w:hAnsi="Arial"/>
                <w:sz w:val="13"/>
                <w:szCs w:val="13"/>
                <w:b w:val="1"/>
                <w:bCs w:val="1"/>
                <w:color w:val="auto"/>
                <w:w w:val="88"/>
              </w:rPr>
              <w:t>(44) (0) 203 325-0660</w:t>
            </w:r>
          </w:p>
        </w:tc>
      </w:tr>
      <w:tr>
        <w:trPr>
          <w:trHeight w:val="165"/>
        </w:trPr>
        <w:tc>
          <w:tcPr>
            <w:tcW w:w="19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229"/>
        </w:trPr>
        <w:tc>
          <w:tcPr>
            <w:tcW w:w="1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60" w:type="dxa"/>
            <w:vAlign w:val="bottom"/>
            <w:gridSpan w:val="6"/>
          </w:tcPr>
          <w:p>
            <w:pPr>
              <w:ind w:left="540"/>
              <w:spacing w:after="0"/>
              <w:rPr>
                <w:sz w:val="20"/>
                <w:szCs w:val="20"/>
                <w:color w:val="auto"/>
              </w:rPr>
            </w:pPr>
            <w:r>
              <w:rPr>
                <w:rFonts w:ascii="Arial" w:cs="Arial" w:eastAsia="Arial" w:hAnsi="Arial"/>
                <w:sz w:val="13"/>
                <w:szCs w:val="13"/>
                <w:color w:val="auto"/>
              </w:rPr>
              <w:t>Securities registered pursuant to Section 12(b) of the Act:</w:t>
            </w:r>
          </w:p>
        </w:tc>
      </w:tr>
      <w:tr>
        <w:trPr>
          <w:trHeight w:val="248"/>
        </w:trPr>
        <w:tc>
          <w:tcPr>
            <w:tcW w:w="19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Title of each class</w:t>
            </w:r>
          </w:p>
        </w:tc>
        <w:tc>
          <w:tcPr>
            <w:tcW w:w="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w w:val="88"/>
              </w:rPr>
              <w:t>Trading Symbol(s)</w:t>
            </w:r>
          </w:p>
        </w:tc>
        <w:tc>
          <w:tcPr>
            <w:tcW w:w="5380" w:type="dxa"/>
            <w:vAlign w:val="bottom"/>
            <w:gridSpan w:val="3"/>
          </w:tcPr>
          <w:p>
            <w:pPr>
              <w:jc w:val="center"/>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7"/>
        </w:trPr>
        <w:tc>
          <w:tcPr>
            <w:tcW w:w="3560" w:type="dxa"/>
            <w:vAlign w:val="bottom"/>
            <w:gridSpan w:val="3"/>
          </w:tcPr>
          <w:p>
            <w:pPr>
              <w:jc w:val="center"/>
              <w:ind w:left="1196"/>
              <w:spacing w:after="0"/>
              <w:rPr>
                <w:sz w:val="20"/>
                <w:szCs w:val="20"/>
                <w:color w:val="auto"/>
              </w:rPr>
            </w:pPr>
            <w:r>
              <w:rPr>
                <w:rFonts w:ascii="Arial" w:cs="Arial" w:eastAsia="Arial" w:hAnsi="Arial"/>
                <w:sz w:val="13"/>
                <w:szCs w:val="13"/>
                <w:color w:val="auto"/>
                <w:w w:val="87"/>
              </w:rPr>
              <w:t>Ordinary Shares - £1.00 par value per share</w:t>
            </w:r>
          </w:p>
        </w:tc>
        <w:tc>
          <w:tcPr>
            <w:tcW w:w="12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LIVN</w:t>
            </w:r>
          </w:p>
        </w:tc>
        <w:tc>
          <w:tcPr>
            <w:tcW w:w="1580" w:type="dxa"/>
            <w:vAlign w:val="bottom"/>
          </w:tcPr>
          <w:p>
            <w:pPr>
              <w:spacing w:after="0"/>
              <w:rPr>
                <w:sz w:val="15"/>
                <w:szCs w:val="15"/>
                <w:color w:val="auto"/>
              </w:rPr>
            </w:pPr>
          </w:p>
        </w:tc>
        <w:tc>
          <w:tcPr>
            <w:tcW w:w="3800" w:type="dxa"/>
            <w:vAlign w:val="bottom"/>
            <w:gridSpan w:val="2"/>
          </w:tcPr>
          <w:p>
            <w:pPr>
              <w:jc w:val="center"/>
              <w:ind w:right="1560"/>
              <w:spacing w:after="0"/>
              <w:rPr>
                <w:sz w:val="20"/>
                <w:szCs w:val="20"/>
                <w:color w:val="auto"/>
              </w:rPr>
            </w:pPr>
            <w:r>
              <w:rPr>
                <w:rFonts w:ascii="Arial" w:cs="Arial" w:eastAsia="Arial" w:hAnsi="Arial"/>
                <w:sz w:val="13"/>
                <w:szCs w:val="13"/>
                <w:color w:val="auto"/>
                <w:w w:val="93"/>
              </w:rPr>
              <w:t>The NASDAQ Stock Market LLC</w:t>
            </w:r>
          </w:p>
        </w:tc>
      </w:tr>
    </w:tbl>
    <w:p>
      <w:pPr>
        <w:spacing w:after="0" w:line="72" w:lineRule="exact"/>
        <w:rPr>
          <w:sz w:val="24"/>
          <w:szCs w:val="24"/>
          <w:color w:val="auto"/>
        </w:rPr>
      </w:pPr>
    </w:p>
    <w:p>
      <w:pPr>
        <w:ind w:right="80"/>
        <w:spacing w:after="0" w:line="17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80"/>
        <w:spacing w:after="0" w:line="17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8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20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92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ind w:left="160"/>
              <w:spacing w:after="0"/>
              <w:rPr>
                <w:sz w:val="20"/>
                <w:szCs w:val="20"/>
                <w:color w:val="auto"/>
              </w:rPr>
            </w:pPr>
            <w:r>
              <w:rPr>
                <w:rFonts w:ascii="Arial" w:cs="Arial" w:eastAsia="Arial" w:hAnsi="Arial"/>
                <w:sz w:val="13"/>
                <w:szCs w:val="13"/>
                <w:color w:val="auto"/>
              </w:rPr>
              <w:t>Accelerated filer</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2000" w:type="dxa"/>
            <w:vAlign w:val="bottom"/>
          </w:tcPr>
          <w:p>
            <w:pPr>
              <w:spacing w:after="0"/>
              <w:rPr>
                <w:sz w:val="20"/>
                <w:szCs w:val="20"/>
                <w:color w:val="auto"/>
              </w:rPr>
            </w:pPr>
            <w:r>
              <w:rPr>
                <w:rFonts w:ascii="Arial" w:cs="Arial" w:eastAsia="Arial" w:hAnsi="Arial"/>
                <w:sz w:val="13"/>
                <w:szCs w:val="13"/>
                <w:color w:val="auto"/>
              </w:rPr>
              <w:t>Non-accelerated filer</w:t>
            </w:r>
          </w:p>
        </w:tc>
        <w:tc>
          <w:tcPr>
            <w:tcW w:w="92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ind w:left="160"/>
              <w:spacing w:after="0"/>
              <w:rPr>
                <w:sz w:val="20"/>
                <w:szCs w:val="20"/>
                <w:color w:val="auto"/>
              </w:rPr>
            </w:pPr>
            <w:r>
              <w:rPr>
                <w:rFonts w:ascii="Arial" w:cs="Arial" w:eastAsia="Arial" w:hAnsi="Arial"/>
                <w:sz w:val="13"/>
                <w:szCs w:val="13"/>
                <w:color w:val="auto"/>
              </w:rPr>
              <w:t>Smaller reporting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20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92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94" w:lineRule="exact"/>
        <w:rPr>
          <w:sz w:val="24"/>
          <w:szCs w:val="24"/>
          <w:color w:val="auto"/>
        </w:rPr>
      </w:pPr>
    </w:p>
    <w:p>
      <w:pPr>
        <w:ind w:right="80"/>
        <w:spacing w:after="0" w:line="17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tbl>
      <w:tblPr>
        <w:tblLayout w:type="fixed"/>
        <w:tblInd w:w="0" w:type="dxa"/>
        <w:tblCellMar>
          <w:top w:w="0" w:type="dxa"/>
          <w:left w:w="0" w:type="dxa"/>
          <w:bottom w:w="0" w:type="dxa"/>
          <w:right w:w="0" w:type="dxa"/>
        </w:tblCellMar>
      </w:tblPr>
      <w:tr>
        <w:trPr>
          <w:trHeight w:val="214"/>
        </w:trPr>
        <w:tc>
          <w:tcPr>
            <w:tcW w:w="5720" w:type="dxa"/>
            <w:vAlign w:val="bottom"/>
          </w:tcPr>
          <w:p>
            <w:pPr>
              <w:spacing w:after="0" w:line="150" w:lineRule="exact"/>
              <w:rPr>
                <w:sz w:val="20"/>
                <w:szCs w:val="20"/>
                <w:color w:val="auto"/>
              </w:rPr>
            </w:pPr>
            <w:r>
              <w:rPr>
                <w:rFonts w:ascii="Arial" w:cs="Arial" w:eastAsia="Arial" w:hAnsi="Arial"/>
                <w:sz w:val="13"/>
                <w:szCs w:val="13"/>
                <w:color w:val="auto"/>
                <w:w w:val="90"/>
              </w:rPr>
              <w:t xml:space="preserve">Indicate by check mark whether the registrant is a shell company (as defined in Rule 12b-2 of the Act). Yes </w:t>
            </w:r>
            <w:r>
              <w:rPr>
                <w:rFonts w:ascii="MS PGothic" w:cs="MS PGothic" w:eastAsia="MS PGothic" w:hAnsi="MS PGothic"/>
                <w:sz w:val="13"/>
                <w:szCs w:val="13"/>
                <w:color w:val="auto"/>
                <w:w w:val="90"/>
              </w:rPr>
              <w:t>☐</w:t>
            </w:r>
          </w:p>
        </w:tc>
        <w:tc>
          <w:tcPr>
            <w:tcW w:w="5560" w:type="dxa"/>
            <w:vAlign w:val="bottom"/>
          </w:tcPr>
          <w:p>
            <w:pPr>
              <w:ind w:left="8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33"/>
        </w:trPr>
        <w:tc>
          <w:tcPr>
            <w:tcW w:w="5720" w:type="dxa"/>
            <w:vAlign w:val="bottom"/>
          </w:tcPr>
          <w:p>
            <w:pPr>
              <w:jc w:val="center"/>
              <w:ind w:left="96"/>
              <w:spacing w:after="0"/>
              <w:rPr>
                <w:sz w:val="20"/>
                <w:szCs w:val="20"/>
                <w:color w:val="auto"/>
              </w:rPr>
            </w:pPr>
            <w:r>
              <w:rPr>
                <w:rFonts w:ascii="Arial" w:cs="Arial" w:eastAsia="Arial" w:hAnsi="Arial"/>
                <w:sz w:val="13"/>
                <w:szCs w:val="13"/>
                <w:i w:val="1"/>
                <w:iCs w:val="1"/>
                <w:color w:val="auto"/>
                <w:w w:val="86"/>
              </w:rPr>
              <w:t>Class</w:t>
            </w:r>
          </w:p>
        </w:tc>
        <w:tc>
          <w:tcPr>
            <w:tcW w:w="5560" w:type="dxa"/>
            <w:vAlign w:val="bottom"/>
          </w:tcPr>
          <w:p>
            <w:pPr>
              <w:jc w:val="center"/>
              <w:ind w:left="96"/>
              <w:spacing w:after="0"/>
              <w:rPr>
                <w:sz w:val="20"/>
                <w:szCs w:val="20"/>
                <w:color w:val="auto"/>
              </w:rPr>
            </w:pPr>
            <w:r>
              <w:rPr>
                <w:rFonts w:ascii="Arial" w:cs="Arial" w:eastAsia="Arial" w:hAnsi="Arial"/>
                <w:sz w:val="13"/>
                <w:szCs w:val="13"/>
                <w:color w:val="auto"/>
                <w:w w:val="89"/>
              </w:rPr>
              <w:t>Outstanding at July 21, 2023</w:t>
            </w:r>
          </w:p>
        </w:tc>
      </w:tr>
      <w:tr>
        <w:trPr>
          <w:trHeight w:val="170"/>
        </w:trPr>
        <w:tc>
          <w:tcPr>
            <w:tcW w:w="5720" w:type="dxa"/>
            <w:vAlign w:val="bottom"/>
          </w:tcPr>
          <w:p>
            <w:pPr>
              <w:jc w:val="center"/>
              <w:ind w:left="116"/>
              <w:spacing w:after="0"/>
              <w:rPr>
                <w:sz w:val="20"/>
                <w:szCs w:val="20"/>
                <w:color w:val="auto"/>
              </w:rPr>
            </w:pPr>
            <w:r>
              <w:rPr>
                <w:rFonts w:ascii="Arial" w:cs="Arial" w:eastAsia="Arial" w:hAnsi="Arial"/>
                <w:sz w:val="13"/>
                <w:szCs w:val="13"/>
                <w:color w:val="auto"/>
                <w:w w:val="87"/>
              </w:rPr>
              <w:t>Ordinary Shares - £1.00 par value per share</w:t>
            </w:r>
          </w:p>
        </w:tc>
        <w:tc>
          <w:tcPr>
            <w:tcW w:w="5560" w:type="dxa"/>
            <w:vAlign w:val="bottom"/>
          </w:tcPr>
          <w:p>
            <w:pPr>
              <w:jc w:val="right"/>
              <w:ind w:right="2356"/>
              <w:spacing w:after="0"/>
              <w:rPr>
                <w:sz w:val="20"/>
                <w:szCs w:val="20"/>
                <w:color w:val="auto"/>
              </w:rPr>
            </w:pPr>
            <w:r>
              <w:rPr>
                <w:rFonts w:ascii="Arial" w:cs="Arial" w:eastAsia="Arial" w:hAnsi="Arial"/>
                <w:sz w:val="13"/>
                <w:szCs w:val="13"/>
                <w:color w:val="auto"/>
              </w:rPr>
              <w:t>53,882,976</w:t>
            </w:r>
          </w:p>
        </w:tc>
      </w:tr>
      <w:tr>
        <w:trPr>
          <w:trHeight w:val="536"/>
        </w:trPr>
        <w:tc>
          <w:tcPr>
            <w:tcW w:w="57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698"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4"/>
          <w:szCs w:val="14"/>
          <w:b w:val="1"/>
          <w:bCs w:val="1"/>
          <w:color w:val="auto"/>
        </w:rPr>
        <w:t>LIVANOVA PLC</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TABLE OF CONTENTS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160" w:type="dxa"/>
            <w:vAlign w:val="bottom"/>
            <w:gridSpan w:val="4"/>
          </w:tcPr>
          <w:p>
            <w:pPr>
              <w:jc w:val="center"/>
              <w:ind w:right="2920"/>
              <w:spacing w:after="0"/>
              <w:rPr>
                <w:sz w:val="20"/>
                <w:szCs w:val="20"/>
                <w:color w:val="auto"/>
              </w:rPr>
            </w:pPr>
            <w:r>
              <w:rPr>
                <w:rFonts w:ascii="Arial" w:cs="Arial" w:eastAsia="Arial" w:hAnsi="Arial"/>
                <w:sz w:val="14"/>
                <w:szCs w:val="14"/>
                <w:b w:val="1"/>
                <w:bCs w:val="1"/>
                <w:color w:val="auto"/>
              </w:rPr>
              <w:t>PART I. FINANCIAL INFORMATION</w:t>
            </w:r>
          </w:p>
        </w:tc>
        <w:tc>
          <w:tcPr>
            <w:tcW w:w="1120" w:type="dxa"/>
            <w:vAlign w:val="bottom"/>
            <w:gridSpan w:val="3"/>
          </w:tcPr>
          <w:p>
            <w:pPr>
              <w:ind w:left="300"/>
              <w:spacing w:after="0"/>
              <w:rPr>
                <w:sz w:val="20"/>
                <w:szCs w:val="20"/>
                <w:color w:val="auto"/>
              </w:rPr>
            </w:pPr>
            <w:r>
              <w:rPr>
                <w:rFonts w:ascii="Arial" w:cs="Arial" w:eastAsia="Arial" w:hAnsi="Arial"/>
                <w:sz w:val="14"/>
                <w:szCs w:val="14"/>
                <w:b w:val="1"/>
                <w:bCs w:val="1"/>
                <w:color w:val="auto"/>
              </w:rPr>
              <w:t>PAGE NO.</w:t>
            </w:r>
          </w:p>
        </w:tc>
      </w:tr>
      <w:tr>
        <w:trPr>
          <w:trHeight w:val="149"/>
        </w:trPr>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80" w:type="dxa"/>
            <w:vAlign w:val="bottom"/>
            <w:gridSpan w:val="14"/>
            <w:shd w:val="clear" w:color="auto" w:fill="CCEEFF"/>
          </w:tcPr>
          <w:p>
            <w:pPr>
              <w:spacing w:after="0" w:line="149" w:lineRule="exact"/>
              <w:rPr>
                <w:sz w:val="20"/>
                <w:szCs w:val="20"/>
                <w:color w:val="auto"/>
              </w:rPr>
            </w:pPr>
            <w:r>
              <w:rPr>
                <w:rFonts w:ascii="Arial" w:cs="Arial" w:eastAsia="Arial" w:hAnsi="Arial"/>
                <w:sz w:val="14"/>
                <w:szCs w:val="14"/>
                <w:color w:val="0000FF"/>
              </w:rPr>
              <w:t>Definitions</w:t>
            </w:r>
          </w:p>
        </w:tc>
        <w:tc>
          <w:tcPr>
            <w:tcW w:w="680" w:type="dxa"/>
            <w:vAlign w:val="bottom"/>
            <w:gridSpan w:val="2"/>
            <w:shd w:val="clear" w:color="auto" w:fill="CCEEFF"/>
          </w:tcPr>
          <w:p>
            <w:pPr>
              <w:jc w:val="center"/>
              <w:ind w:left="530"/>
              <w:spacing w:after="0" w:line="149" w:lineRule="exact"/>
              <w:rPr>
                <w:sz w:val="20"/>
                <w:szCs w:val="20"/>
                <w:color w:val="auto"/>
              </w:rPr>
            </w:pPr>
            <w:r>
              <w:rPr>
                <w:rFonts w:ascii="Arial" w:cs="Arial" w:eastAsia="Arial" w:hAnsi="Arial"/>
                <w:sz w:val="14"/>
                <w:szCs w:val="14"/>
                <w:color w:val="0000FF"/>
              </w:rPr>
              <w:t>3</w:t>
            </w:r>
          </w:p>
        </w:tc>
        <w:tc>
          <w:tcPr>
            <w:tcW w:w="440" w:type="dxa"/>
            <w:vAlign w:val="bottom"/>
            <w:tcBorders>
              <w:left w:val="single" w:sz="8" w:color="CCEEFF"/>
            </w:tcBorders>
            <w:shd w:val="clear" w:color="auto" w:fill="CCEEFF"/>
          </w:tcPr>
          <w:p>
            <w:pPr>
              <w:spacing w:after="0"/>
              <w:rPr>
                <w:sz w:val="12"/>
                <w:szCs w:val="12"/>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80" w:type="dxa"/>
            <w:vAlign w:val="bottom"/>
            <w:gridSpan w:val="14"/>
          </w:tcPr>
          <w:p>
            <w:pPr>
              <w:spacing w:after="0" w:line="149" w:lineRule="exact"/>
              <w:rPr>
                <w:sz w:val="20"/>
                <w:szCs w:val="20"/>
                <w:color w:val="auto"/>
              </w:rPr>
            </w:pPr>
            <w:r>
              <w:rPr>
                <w:rFonts w:ascii="Arial" w:cs="Arial" w:eastAsia="Arial" w:hAnsi="Arial"/>
                <w:sz w:val="14"/>
                <w:szCs w:val="14"/>
                <w:color w:val="0000FF"/>
              </w:rPr>
              <w:t>Note About Forward-Looking Statements</w:t>
            </w:r>
          </w:p>
        </w:tc>
        <w:tc>
          <w:tcPr>
            <w:tcW w:w="680" w:type="dxa"/>
            <w:vAlign w:val="bottom"/>
            <w:gridSpan w:val="2"/>
          </w:tcPr>
          <w:p>
            <w:pPr>
              <w:jc w:val="center"/>
              <w:ind w:left="530"/>
              <w:spacing w:after="0" w:line="149" w:lineRule="exact"/>
              <w:rPr>
                <w:sz w:val="20"/>
                <w:szCs w:val="20"/>
                <w:color w:val="auto"/>
              </w:rPr>
            </w:pPr>
            <w:r>
              <w:rPr>
                <w:rFonts w:ascii="Arial" w:cs="Arial" w:eastAsia="Arial" w:hAnsi="Arial"/>
                <w:sz w:val="14"/>
                <w:szCs w:val="14"/>
                <w:color w:val="0000FF"/>
              </w:rPr>
              <w:t>5</w:t>
            </w: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0000FF"/>
              </w:rPr>
              <w:t>Item 1</w:t>
            </w:r>
          </w:p>
        </w:tc>
        <w:tc>
          <w:tcPr>
            <w:tcW w:w="9080" w:type="dxa"/>
            <w:vAlign w:val="bottom"/>
            <w:gridSpan w:val="14"/>
            <w:shd w:val="clear" w:color="auto" w:fill="CCEEFF"/>
          </w:tcPr>
          <w:p>
            <w:pPr>
              <w:spacing w:after="0" w:line="155" w:lineRule="exact"/>
              <w:rPr>
                <w:sz w:val="20"/>
                <w:szCs w:val="20"/>
                <w:color w:val="auto"/>
              </w:rPr>
            </w:pPr>
            <w:r>
              <w:rPr>
                <w:rFonts w:ascii="Arial" w:cs="Arial" w:eastAsia="Arial" w:hAnsi="Arial"/>
                <w:sz w:val="14"/>
                <w:szCs w:val="14"/>
                <w:color w:val="0000FF"/>
              </w:rPr>
              <w:t>Condensed Consolidated Financial Statements</w:t>
            </w:r>
          </w:p>
        </w:tc>
        <w:tc>
          <w:tcPr>
            <w:tcW w:w="680" w:type="dxa"/>
            <w:vAlign w:val="bottom"/>
            <w:gridSpan w:val="2"/>
            <w:shd w:val="clear" w:color="auto" w:fill="CCEEFF"/>
          </w:tcPr>
          <w:p>
            <w:pPr>
              <w:jc w:val="center"/>
              <w:ind w:left="530"/>
              <w:spacing w:after="0" w:line="155" w:lineRule="exact"/>
              <w:rPr>
                <w:sz w:val="20"/>
                <w:szCs w:val="20"/>
                <w:color w:val="auto"/>
              </w:rPr>
            </w:pPr>
            <w:r>
              <w:rPr>
                <w:rFonts w:ascii="Arial" w:cs="Arial" w:eastAsia="Arial" w:hAnsi="Arial"/>
                <w:sz w:val="14"/>
                <w:szCs w:val="14"/>
                <w:color w:val="0000FF"/>
              </w:rPr>
              <w:t>7</w:t>
            </w:r>
          </w:p>
        </w:tc>
        <w:tc>
          <w:tcPr>
            <w:tcW w:w="44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60" w:type="dxa"/>
            <w:vAlign w:val="bottom"/>
            <w:tcBorders>
              <w:left w:val="single" w:sz="8" w:color="0000FF"/>
              <w:right w:val="single" w:sz="8" w:color="CCEEFF"/>
            </w:tcBorders>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80" w:type="dxa"/>
            <w:vAlign w:val="bottom"/>
            <w:gridSpan w:val="14"/>
          </w:tcPr>
          <w:p>
            <w:pPr>
              <w:spacing w:after="0" w:line="149" w:lineRule="exact"/>
              <w:rPr>
                <w:sz w:val="20"/>
                <w:szCs w:val="20"/>
                <w:color w:val="auto"/>
              </w:rPr>
            </w:pPr>
            <w:r>
              <w:rPr>
                <w:rFonts w:ascii="Arial" w:cs="Arial" w:eastAsia="Arial" w:hAnsi="Arial"/>
                <w:sz w:val="14"/>
                <w:szCs w:val="14"/>
                <w:color w:val="0000FF"/>
              </w:rPr>
              <w:t>Condensed Consolidated Statements of Income</w:t>
            </w:r>
          </w:p>
        </w:tc>
        <w:tc>
          <w:tcPr>
            <w:tcW w:w="680" w:type="dxa"/>
            <w:vAlign w:val="bottom"/>
            <w:gridSpan w:val="2"/>
          </w:tcPr>
          <w:p>
            <w:pPr>
              <w:jc w:val="center"/>
              <w:ind w:left="530"/>
              <w:spacing w:after="0" w:line="149" w:lineRule="exact"/>
              <w:rPr>
                <w:sz w:val="20"/>
                <w:szCs w:val="20"/>
                <w:color w:val="auto"/>
              </w:rPr>
            </w:pPr>
            <w:r>
              <w:rPr>
                <w:rFonts w:ascii="Arial" w:cs="Arial" w:eastAsia="Arial" w:hAnsi="Arial"/>
                <w:sz w:val="14"/>
                <w:szCs w:val="14"/>
                <w:color w:val="0000FF"/>
              </w:rPr>
              <w:t>7</w:t>
            </w:r>
          </w:p>
        </w:tc>
        <w:tc>
          <w:tcPr>
            <w:tcW w:w="44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80" w:type="dxa"/>
            <w:vAlign w:val="bottom"/>
            <w:gridSpan w:val="14"/>
            <w:shd w:val="clear" w:color="auto" w:fill="CCEEFF"/>
          </w:tcPr>
          <w:p>
            <w:pPr>
              <w:spacing w:after="0" w:line="149" w:lineRule="exact"/>
              <w:rPr>
                <w:sz w:val="20"/>
                <w:szCs w:val="20"/>
                <w:color w:val="auto"/>
              </w:rPr>
            </w:pPr>
            <w:r>
              <w:rPr>
                <w:rFonts w:ascii="Arial" w:cs="Arial" w:eastAsia="Arial" w:hAnsi="Arial"/>
                <w:sz w:val="14"/>
                <w:szCs w:val="14"/>
                <w:color w:val="0000FF"/>
              </w:rPr>
              <w:t>Condensed Consolidated Statements of Comprehensive Income (Loss)</w:t>
            </w:r>
          </w:p>
        </w:tc>
        <w:tc>
          <w:tcPr>
            <w:tcW w:w="680" w:type="dxa"/>
            <w:vAlign w:val="bottom"/>
            <w:gridSpan w:val="2"/>
            <w:shd w:val="clear" w:color="auto" w:fill="CCEEFF"/>
          </w:tcPr>
          <w:p>
            <w:pPr>
              <w:jc w:val="center"/>
              <w:ind w:left="530"/>
              <w:spacing w:after="0" w:line="149" w:lineRule="exact"/>
              <w:rPr>
                <w:sz w:val="20"/>
                <w:szCs w:val="20"/>
                <w:color w:val="auto"/>
              </w:rPr>
            </w:pPr>
            <w:r>
              <w:rPr>
                <w:rFonts w:ascii="Arial" w:cs="Arial" w:eastAsia="Arial" w:hAnsi="Arial"/>
                <w:sz w:val="14"/>
                <w:szCs w:val="14"/>
                <w:color w:val="0000FF"/>
              </w:rPr>
              <w:t>8</w:t>
            </w:r>
          </w:p>
        </w:tc>
        <w:tc>
          <w:tcPr>
            <w:tcW w:w="440" w:type="dxa"/>
            <w:vAlign w:val="bottom"/>
            <w:tcBorders>
              <w:left w:val="single" w:sz="8" w:color="CCEEFF"/>
            </w:tcBorders>
            <w:shd w:val="clear" w:color="auto" w:fill="CCEEFF"/>
          </w:tcPr>
          <w:p>
            <w:pPr>
              <w:spacing w:after="0"/>
              <w:rPr>
                <w:sz w:val="12"/>
                <w:szCs w:val="12"/>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00" w:type="dxa"/>
            <w:vAlign w:val="bottom"/>
            <w:tcBorders>
              <w:righ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320" w:type="dxa"/>
            <w:vAlign w:val="bottom"/>
            <w:gridSpan w:val="8"/>
          </w:tcPr>
          <w:p>
            <w:pPr>
              <w:spacing w:after="0" w:line="149" w:lineRule="exact"/>
              <w:rPr>
                <w:sz w:val="20"/>
                <w:szCs w:val="20"/>
                <w:color w:val="auto"/>
              </w:rPr>
            </w:pPr>
            <w:r>
              <w:rPr>
                <w:rFonts w:ascii="Arial" w:cs="Arial" w:eastAsia="Arial" w:hAnsi="Arial"/>
                <w:sz w:val="14"/>
                <w:szCs w:val="14"/>
                <w:color w:val="0000FF"/>
                <w:w w:val="87"/>
              </w:rPr>
              <w:t>Condensed Consolidated Balance Sheets</w:t>
            </w:r>
          </w:p>
        </w:tc>
        <w:tc>
          <w:tcPr>
            <w:tcW w:w="1680" w:type="dxa"/>
            <w:vAlign w:val="bottom"/>
            <w:gridSpan w:val="4"/>
          </w:tcPr>
          <w:p>
            <w:pPr>
              <w:spacing w:after="0"/>
              <w:rPr>
                <w:sz w:val="12"/>
                <w:szCs w:val="12"/>
                <w:color w:val="auto"/>
              </w:rPr>
            </w:pPr>
          </w:p>
        </w:tc>
        <w:tc>
          <w:tcPr>
            <w:tcW w:w="5080" w:type="dxa"/>
            <w:vAlign w:val="bottom"/>
            <w:gridSpan w:val="2"/>
          </w:tcPr>
          <w:p>
            <w:pPr>
              <w:spacing w:after="0"/>
              <w:rPr>
                <w:sz w:val="12"/>
                <w:szCs w:val="12"/>
                <w:color w:val="auto"/>
              </w:rPr>
            </w:pPr>
          </w:p>
        </w:tc>
        <w:tc>
          <w:tcPr>
            <w:tcW w:w="680" w:type="dxa"/>
            <w:vAlign w:val="bottom"/>
            <w:gridSpan w:val="2"/>
          </w:tcPr>
          <w:p>
            <w:pPr>
              <w:jc w:val="center"/>
              <w:ind w:left="530"/>
              <w:spacing w:after="0" w:line="149" w:lineRule="exact"/>
              <w:rPr>
                <w:sz w:val="20"/>
                <w:szCs w:val="20"/>
                <w:color w:val="auto"/>
              </w:rPr>
            </w:pPr>
            <w:r>
              <w:rPr>
                <w:rFonts w:ascii="Arial" w:cs="Arial" w:eastAsia="Arial" w:hAnsi="Arial"/>
                <w:sz w:val="14"/>
                <w:szCs w:val="14"/>
                <w:color w:val="0000FF"/>
              </w:rPr>
              <w:t>9</w:t>
            </w: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80" w:type="dxa"/>
            <w:vAlign w:val="bottom"/>
            <w:gridSpan w:val="14"/>
            <w:shd w:val="clear" w:color="auto" w:fill="CCEEFF"/>
          </w:tcPr>
          <w:p>
            <w:pPr>
              <w:spacing w:after="0" w:line="155" w:lineRule="exact"/>
              <w:rPr>
                <w:sz w:val="20"/>
                <w:szCs w:val="20"/>
                <w:color w:val="auto"/>
              </w:rPr>
            </w:pPr>
            <w:r>
              <w:rPr>
                <w:rFonts w:ascii="Arial" w:cs="Arial" w:eastAsia="Arial" w:hAnsi="Arial"/>
                <w:sz w:val="14"/>
                <w:szCs w:val="14"/>
                <w:color w:val="0000FF"/>
              </w:rPr>
              <w:t>Condensed Consolidated Statements of Cash Flows</w:t>
            </w:r>
          </w:p>
        </w:tc>
        <w:tc>
          <w:tcPr>
            <w:tcW w:w="1120" w:type="dxa"/>
            <w:vAlign w:val="bottom"/>
            <w:gridSpan w:val="3"/>
            <w:shd w:val="clear" w:color="auto" w:fill="CCEEFF"/>
          </w:tcPr>
          <w:p>
            <w:pPr>
              <w:jc w:val="center"/>
              <w:ind w:left="70"/>
              <w:spacing w:after="0" w:line="155" w:lineRule="exact"/>
              <w:rPr>
                <w:sz w:val="20"/>
                <w:szCs w:val="20"/>
                <w:color w:val="auto"/>
              </w:rPr>
            </w:pPr>
            <w:r>
              <w:rPr>
                <w:rFonts w:ascii="Arial" w:cs="Arial" w:eastAsia="Arial" w:hAnsi="Arial"/>
                <w:sz w:val="14"/>
                <w:szCs w:val="14"/>
                <w:color w:val="0000FF"/>
                <w:w w:val="89"/>
              </w:rPr>
              <w:t>10</w:t>
            </w: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20" w:type="dxa"/>
            <w:vAlign w:val="bottom"/>
            <w:tcBorders>
              <w:bottom w:val="single" w:sz="8" w:color="0000FF"/>
            </w:tcBorders>
            <w:gridSpan w:val="11"/>
          </w:tcPr>
          <w:p>
            <w:pPr>
              <w:spacing w:after="0" w:line="149" w:lineRule="exact"/>
              <w:rPr>
                <w:sz w:val="20"/>
                <w:szCs w:val="20"/>
                <w:color w:val="auto"/>
              </w:rPr>
            </w:pPr>
            <w:r>
              <w:rPr>
                <w:rFonts w:ascii="Arial" w:cs="Arial" w:eastAsia="Arial" w:hAnsi="Arial"/>
                <w:sz w:val="14"/>
                <w:szCs w:val="14"/>
                <w:color w:val="0000FF"/>
                <w:w w:val="91"/>
              </w:rPr>
              <w:t>Notes to the Condensed Consolidated Financial Statements</w:t>
            </w:r>
          </w:p>
        </w:tc>
        <w:tc>
          <w:tcPr>
            <w:tcW w:w="566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11</w:t>
            </w:r>
          </w:p>
        </w:tc>
        <w:tc>
          <w:tcPr>
            <w:tcW w:w="440" w:type="dxa"/>
            <w:vAlign w:val="bottom"/>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0000FF"/>
              </w:rPr>
              <w:t>Item 2</w:t>
            </w:r>
          </w:p>
        </w:tc>
        <w:tc>
          <w:tcPr>
            <w:tcW w:w="9080" w:type="dxa"/>
            <w:vAlign w:val="bottom"/>
            <w:gridSpan w:val="14"/>
            <w:shd w:val="clear" w:color="auto" w:fill="CCEEFF"/>
          </w:tcPr>
          <w:p>
            <w:pPr>
              <w:spacing w:after="0" w:line="155"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120" w:type="dxa"/>
            <w:vAlign w:val="bottom"/>
            <w:gridSpan w:val="3"/>
            <w:shd w:val="clear" w:color="auto" w:fill="CCEEFF"/>
          </w:tcPr>
          <w:p>
            <w:pPr>
              <w:jc w:val="center"/>
              <w:ind w:left="70"/>
              <w:spacing w:after="0" w:line="155" w:lineRule="exact"/>
              <w:rPr>
                <w:sz w:val="20"/>
                <w:szCs w:val="20"/>
                <w:color w:val="auto"/>
              </w:rPr>
            </w:pPr>
            <w:r>
              <w:rPr>
                <w:rFonts w:ascii="Arial" w:cs="Arial" w:eastAsia="Arial" w:hAnsi="Arial"/>
                <w:sz w:val="14"/>
                <w:szCs w:val="14"/>
                <w:color w:val="0000FF"/>
                <w:w w:val="89"/>
              </w:rPr>
              <w:t>31</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00" w:type="dxa"/>
            <w:vAlign w:val="bottom"/>
            <w:tcBorders>
              <w:righ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6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0000FF"/>
              </w:rPr>
              <w:t>Item 3</w:t>
            </w:r>
          </w:p>
        </w:tc>
        <w:tc>
          <w:tcPr>
            <w:tcW w:w="9080" w:type="dxa"/>
            <w:vAlign w:val="bottom"/>
            <w:gridSpan w:val="14"/>
          </w:tcPr>
          <w:p>
            <w:pPr>
              <w:spacing w:after="0" w:line="149" w:lineRule="exact"/>
              <w:rPr>
                <w:sz w:val="20"/>
                <w:szCs w:val="20"/>
                <w:color w:val="auto"/>
              </w:rPr>
            </w:pPr>
            <w:r>
              <w:rPr>
                <w:rFonts w:ascii="Arial" w:cs="Arial" w:eastAsia="Arial" w:hAnsi="Arial"/>
                <w:sz w:val="14"/>
                <w:szCs w:val="14"/>
                <w:color w:val="0000FF"/>
              </w:rPr>
              <w:t>Quantitative and Qualitative Disclosures About Market Risk</w:t>
            </w:r>
          </w:p>
        </w:tc>
        <w:tc>
          <w:tcPr>
            <w:tcW w:w="1120" w:type="dxa"/>
            <w:vAlign w:val="bottom"/>
            <w:gridSpan w:val="3"/>
          </w:tcPr>
          <w:p>
            <w:pPr>
              <w:jc w:val="center"/>
              <w:ind w:left="70"/>
              <w:spacing w:after="0" w:line="149" w:lineRule="exact"/>
              <w:rPr>
                <w:sz w:val="20"/>
                <w:szCs w:val="20"/>
                <w:color w:val="auto"/>
              </w:rPr>
            </w:pPr>
            <w:r>
              <w:rPr>
                <w:rFonts w:ascii="Arial" w:cs="Arial" w:eastAsia="Arial" w:hAnsi="Arial"/>
                <w:sz w:val="14"/>
                <w:szCs w:val="14"/>
                <w:color w:val="0000FF"/>
                <w:w w:val="89"/>
              </w:rPr>
              <w:t>39</w:t>
            </w:r>
          </w:p>
        </w:tc>
      </w:tr>
      <w:tr>
        <w:trPr>
          <w:trHeight w:val="22"/>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0000FF"/>
              </w:rPr>
              <w:t>Item 4</w:t>
            </w:r>
          </w:p>
        </w:tc>
        <w:tc>
          <w:tcPr>
            <w:tcW w:w="9080" w:type="dxa"/>
            <w:vAlign w:val="bottom"/>
            <w:gridSpan w:val="14"/>
            <w:shd w:val="clear" w:color="auto" w:fill="CCEEFF"/>
          </w:tcPr>
          <w:p>
            <w:pPr>
              <w:spacing w:after="0" w:line="149" w:lineRule="exact"/>
              <w:rPr>
                <w:sz w:val="20"/>
                <w:szCs w:val="20"/>
                <w:color w:val="auto"/>
              </w:rPr>
            </w:pPr>
            <w:r>
              <w:rPr>
                <w:rFonts w:ascii="Arial" w:cs="Arial" w:eastAsia="Arial" w:hAnsi="Arial"/>
                <w:sz w:val="14"/>
                <w:szCs w:val="14"/>
                <w:color w:val="0000FF"/>
              </w:rPr>
              <w:t>Controls and Procedures</w:t>
            </w:r>
          </w:p>
        </w:tc>
        <w:tc>
          <w:tcPr>
            <w:tcW w:w="1120" w:type="dxa"/>
            <w:vAlign w:val="bottom"/>
            <w:gridSpan w:val="3"/>
            <w:shd w:val="clear" w:color="auto" w:fill="CCEEFF"/>
          </w:tcPr>
          <w:p>
            <w:pPr>
              <w:jc w:val="center"/>
              <w:ind w:left="70"/>
              <w:spacing w:after="0" w:line="149" w:lineRule="exact"/>
              <w:rPr>
                <w:sz w:val="20"/>
                <w:szCs w:val="20"/>
                <w:color w:val="auto"/>
              </w:rPr>
            </w:pPr>
            <w:r>
              <w:rPr>
                <w:rFonts w:ascii="Arial" w:cs="Arial" w:eastAsia="Arial" w:hAnsi="Arial"/>
                <w:sz w:val="14"/>
                <w:szCs w:val="14"/>
                <w:color w:val="0000FF"/>
                <w:w w:val="89"/>
              </w:rPr>
              <w:t>39</w:t>
            </w:r>
          </w:p>
        </w:tc>
      </w:tr>
      <w:tr>
        <w:trPr>
          <w:trHeight w:val="182"/>
        </w:trPr>
        <w:tc>
          <w:tcPr>
            <w:tcW w:w="2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0000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580" w:type="dxa"/>
            <w:vAlign w:val="bottom"/>
            <w:tcBorders>
              <w:top w:val="single" w:sz="8" w:color="CCEEFF"/>
              <w:bottom w:val="single" w:sz="8" w:color="CCEEFF"/>
            </w:tcBorders>
          </w:tcPr>
          <w:p>
            <w:pPr>
              <w:spacing w:after="0"/>
              <w:rPr>
                <w:sz w:val="15"/>
                <w:szCs w:val="15"/>
                <w:color w:val="auto"/>
              </w:rPr>
            </w:pPr>
          </w:p>
        </w:tc>
        <w:tc>
          <w:tcPr>
            <w:tcW w:w="480" w:type="dxa"/>
            <w:vAlign w:val="bottom"/>
            <w:tcBorders>
              <w:top w:val="single" w:sz="8" w:color="0000FF"/>
              <w:bottom w:val="single" w:sz="8" w:color="auto"/>
            </w:tcBorders>
          </w:tcPr>
          <w:p>
            <w:pPr>
              <w:spacing w:after="0"/>
              <w:rPr>
                <w:sz w:val="15"/>
                <w:szCs w:val="15"/>
                <w:color w:val="auto"/>
              </w:rPr>
            </w:pPr>
          </w:p>
        </w:tc>
        <w:tc>
          <w:tcPr>
            <w:tcW w:w="160" w:type="dxa"/>
            <w:vAlign w:val="bottom"/>
            <w:tcBorders>
              <w:top w:val="single" w:sz="8" w:color="0000FF"/>
              <w:bottom w:val="single" w:sz="8" w:color="auto"/>
            </w:tcBorders>
          </w:tcPr>
          <w:p>
            <w:pPr>
              <w:spacing w:after="0"/>
              <w:rPr>
                <w:sz w:val="15"/>
                <w:szCs w:val="15"/>
                <w:color w:val="auto"/>
              </w:rPr>
            </w:pPr>
          </w:p>
        </w:tc>
        <w:tc>
          <w:tcPr>
            <w:tcW w:w="80" w:type="dxa"/>
            <w:vAlign w:val="bottom"/>
            <w:tcBorders>
              <w:top w:val="single" w:sz="8" w:color="0000FF"/>
              <w:bottom w:val="single" w:sz="8" w:color="auto"/>
            </w:tcBorders>
          </w:tcPr>
          <w:p>
            <w:pPr>
              <w:spacing w:after="0"/>
              <w:rPr>
                <w:sz w:val="15"/>
                <w:szCs w:val="15"/>
                <w:color w:val="auto"/>
              </w:rPr>
            </w:pPr>
          </w:p>
        </w:tc>
        <w:tc>
          <w:tcPr>
            <w:tcW w:w="320" w:type="dxa"/>
            <w:vAlign w:val="bottom"/>
            <w:tcBorders>
              <w:top w:val="single" w:sz="8" w:color="0000FF"/>
              <w:bottom w:val="single" w:sz="8" w:color="auto"/>
            </w:tcBorders>
          </w:tcPr>
          <w:p>
            <w:pPr>
              <w:spacing w:after="0"/>
              <w:rPr>
                <w:sz w:val="15"/>
                <w:szCs w:val="15"/>
                <w:color w:val="auto"/>
              </w:rPr>
            </w:pPr>
          </w:p>
        </w:tc>
        <w:tc>
          <w:tcPr>
            <w:tcW w:w="20" w:type="dxa"/>
            <w:vAlign w:val="bottom"/>
            <w:tcBorders>
              <w:top w:val="single" w:sz="8" w:color="0000FF"/>
              <w:bottom w:val="single" w:sz="8" w:color="auto"/>
            </w:tcBorders>
          </w:tcPr>
          <w:p>
            <w:pPr>
              <w:spacing w:after="0"/>
              <w:rPr>
                <w:sz w:val="15"/>
                <w:szCs w:val="15"/>
                <w:color w:val="auto"/>
              </w:rPr>
            </w:pPr>
          </w:p>
        </w:tc>
        <w:tc>
          <w:tcPr>
            <w:tcW w:w="340" w:type="dxa"/>
            <w:vAlign w:val="bottom"/>
            <w:tcBorders>
              <w:top w:val="single" w:sz="8" w:color="0000FF"/>
              <w:bottom w:val="single" w:sz="8" w:color="auto"/>
            </w:tcBorders>
          </w:tcPr>
          <w:p>
            <w:pPr>
              <w:spacing w:after="0"/>
              <w:rPr>
                <w:sz w:val="15"/>
                <w:szCs w:val="15"/>
                <w:color w:val="auto"/>
              </w:rPr>
            </w:pPr>
          </w:p>
        </w:tc>
        <w:tc>
          <w:tcPr>
            <w:tcW w:w="440" w:type="dxa"/>
            <w:vAlign w:val="bottom"/>
            <w:tcBorders>
              <w:top w:val="single" w:sz="8" w:color="CCEEFF"/>
              <w:bottom w:val="single" w:sz="8" w:color="auto"/>
            </w:tcBorders>
          </w:tcPr>
          <w:p>
            <w:pPr>
              <w:spacing w:after="0"/>
              <w:rPr>
                <w:sz w:val="15"/>
                <w:szCs w:val="15"/>
                <w:color w:val="auto"/>
              </w:rPr>
            </w:pPr>
          </w:p>
        </w:tc>
        <w:tc>
          <w:tcPr>
            <w:tcW w:w="480" w:type="dxa"/>
            <w:vAlign w:val="bottom"/>
            <w:tcBorders>
              <w:top w:val="single" w:sz="8" w:color="CCEEFF"/>
              <w:bottom w:val="single" w:sz="8" w:color="auto"/>
            </w:tcBorders>
          </w:tcPr>
          <w:p>
            <w:pPr>
              <w:spacing w:after="0"/>
              <w:rPr>
                <w:sz w:val="15"/>
                <w:szCs w:val="15"/>
                <w:color w:val="auto"/>
              </w:rPr>
            </w:pPr>
          </w:p>
        </w:tc>
        <w:tc>
          <w:tcPr>
            <w:tcW w:w="360" w:type="dxa"/>
            <w:vAlign w:val="bottom"/>
            <w:tcBorders>
              <w:top w:val="single" w:sz="8" w:color="CCEEFF"/>
              <w:bottom w:val="single" w:sz="8" w:color="auto"/>
            </w:tcBorders>
          </w:tcPr>
          <w:p>
            <w:pPr>
              <w:spacing w:after="0"/>
              <w:rPr>
                <w:sz w:val="15"/>
                <w:szCs w:val="15"/>
                <w:color w:val="auto"/>
              </w:rPr>
            </w:pPr>
          </w:p>
        </w:tc>
        <w:tc>
          <w:tcPr>
            <w:tcW w:w="240" w:type="dxa"/>
            <w:vAlign w:val="bottom"/>
            <w:tcBorders>
              <w:top w:val="single" w:sz="8" w:color="CCEEFF"/>
              <w:bottom w:val="single" w:sz="8" w:color="auto"/>
            </w:tcBorders>
          </w:tcPr>
          <w:p>
            <w:pPr>
              <w:spacing w:after="0"/>
              <w:rPr>
                <w:sz w:val="15"/>
                <w:szCs w:val="15"/>
                <w:color w:val="auto"/>
              </w:rPr>
            </w:pPr>
          </w:p>
        </w:tc>
        <w:tc>
          <w:tcPr>
            <w:tcW w:w="500" w:type="dxa"/>
            <w:vAlign w:val="bottom"/>
            <w:tcBorders>
              <w:top w:val="single" w:sz="8" w:color="CCEEFF"/>
              <w:bottom w:val="single" w:sz="8" w:color="auto"/>
            </w:tcBorders>
          </w:tcPr>
          <w:p>
            <w:pPr>
              <w:spacing w:after="0"/>
              <w:rPr>
                <w:sz w:val="15"/>
                <w:szCs w:val="15"/>
                <w:color w:val="auto"/>
              </w:rPr>
            </w:pPr>
          </w:p>
        </w:tc>
        <w:tc>
          <w:tcPr>
            <w:tcW w:w="5660" w:type="dxa"/>
            <w:vAlign w:val="bottom"/>
            <w:tcBorders>
              <w:top w:val="single" w:sz="8" w:color="CCEEFF"/>
              <w:bottom w:val="single" w:sz="8" w:color="auto"/>
            </w:tcBorders>
            <w:gridSpan w:val="3"/>
          </w:tcPr>
          <w:p>
            <w:pPr>
              <w:jc w:val="center"/>
              <w:ind w:right="3420"/>
              <w:spacing w:after="0"/>
              <w:rPr>
                <w:sz w:val="20"/>
                <w:szCs w:val="20"/>
                <w:color w:val="auto"/>
              </w:rPr>
            </w:pPr>
            <w:r>
              <w:rPr>
                <w:rFonts w:ascii="Arial" w:cs="Arial" w:eastAsia="Arial" w:hAnsi="Arial"/>
                <w:sz w:val="14"/>
                <w:szCs w:val="14"/>
                <w:b w:val="1"/>
                <w:bCs w:val="1"/>
                <w:color w:val="auto"/>
              </w:rPr>
              <w:t>PART II. OTHER INFORMATION</w:t>
            </w:r>
          </w:p>
        </w:tc>
        <w:tc>
          <w:tcPr>
            <w:tcW w:w="60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0000FF"/>
              <w:bottom w:val="single" w:sz="8" w:color="CCEEFF"/>
            </w:tcBorders>
          </w:tcPr>
          <w:p>
            <w:pPr>
              <w:spacing w:after="0"/>
              <w:rPr>
                <w:sz w:val="15"/>
                <w:szCs w:val="15"/>
                <w:color w:val="auto"/>
              </w:rPr>
            </w:pPr>
          </w:p>
        </w:tc>
        <w:tc>
          <w:tcPr>
            <w:tcW w:w="440" w:type="dxa"/>
            <w:vAlign w:val="bottom"/>
            <w:tcBorders>
              <w:top w:val="single" w:sz="8" w:color="CCEEFF"/>
              <w:bottom w:val="single" w:sz="8" w:color="CCEEFF"/>
            </w:tcBorders>
          </w:tcPr>
          <w:p>
            <w:pPr>
              <w:spacing w:after="0"/>
              <w:rPr>
                <w:sz w:val="15"/>
                <w:szCs w:val="15"/>
                <w:color w:val="auto"/>
              </w:rPr>
            </w:pPr>
          </w:p>
        </w:tc>
      </w:tr>
      <w:tr>
        <w:trPr>
          <w:trHeight w:val="158"/>
        </w:trPr>
        <w:tc>
          <w:tcPr>
            <w:tcW w:w="2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spacing w:after="0" w:line="118" w:lineRule="exact"/>
              <w:rPr>
                <w:sz w:val="20"/>
                <w:szCs w:val="20"/>
                <w:color w:val="auto"/>
              </w:rPr>
            </w:pPr>
            <w:r>
              <w:rPr>
                <w:rFonts w:ascii="Arial" w:cs="Arial" w:eastAsia="Arial" w:hAnsi="Arial"/>
                <w:sz w:val="13"/>
                <w:szCs w:val="13"/>
                <w:color w:val="0000FF"/>
              </w:rPr>
              <w:t>Item 1</w:t>
            </w:r>
          </w:p>
        </w:tc>
        <w:tc>
          <w:tcPr>
            <w:tcW w:w="9080" w:type="dxa"/>
            <w:vAlign w:val="bottom"/>
            <w:gridSpan w:val="14"/>
            <w:shd w:val="clear" w:color="auto" w:fill="CCEEFF"/>
          </w:tcPr>
          <w:p>
            <w:pPr>
              <w:spacing w:after="0" w:line="118" w:lineRule="exact"/>
              <w:rPr>
                <w:sz w:val="20"/>
                <w:szCs w:val="20"/>
                <w:color w:val="auto"/>
              </w:rPr>
            </w:pPr>
            <w:r>
              <w:rPr>
                <w:rFonts w:ascii="Arial" w:cs="Arial" w:eastAsia="Arial" w:hAnsi="Arial"/>
                <w:sz w:val="13"/>
                <w:szCs w:val="13"/>
                <w:color w:val="0000FF"/>
              </w:rPr>
              <w:t>Legal Proceedings</w:t>
            </w:r>
          </w:p>
        </w:tc>
        <w:tc>
          <w:tcPr>
            <w:tcW w:w="1120" w:type="dxa"/>
            <w:vAlign w:val="bottom"/>
            <w:gridSpan w:val="3"/>
            <w:shd w:val="clear" w:color="auto" w:fill="CCEEFF"/>
          </w:tcPr>
          <w:p>
            <w:pPr>
              <w:jc w:val="center"/>
              <w:ind w:left="70"/>
              <w:spacing w:after="0" w:line="118" w:lineRule="exact"/>
              <w:rPr>
                <w:sz w:val="20"/>
                <w:szCs w:val="20"/>
                <w:color w:val="auto"/>
              </w:rPr>
            </w:pPr>
            <w:r>
              <w:rPr>
                <w:rFonts w:ascii="Arial" w:cs="Arial" w:eastAsia="Arial" w:hAnsi="Arial"/>
                <w:sz w:val="13"/>
                <w:szCs w:val="13"/>
                <w:color w:val="0000FF"/>
                <w:w w:val="96"/>
              </w:rPr>
              <w:t>40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color w:val="0000FF"/>
              </w:rPr>
              <w:t>Item 1A</w:t>
            </w:r>
          </w:p>
        </w:tc>
        <w:tc>
          <w:tcPr>
            <w:tcW w:w="9080" w:type="dxa"/>
            <w:vAlign w:val="bottom"/>
            <w:gridSpan w:val="14"/>
          </w:tcPr>
          <w:p>
            <w:pPr>
              <w:spacing w:after="0" w:line="142" w:lineRule="exact"/>
              <w:rPr>
                <w:sz w:val="20"/>
                <w:szCs w:val="20"/>
                <w:color w:val="auto"/>
              </w:rPr>
            </w:pPr>
            <w:r>
              <w:rPr>
                <w:rFonts w:ascii="Arial" w:cs="Arial" w:eastAsia="Arial" w:hAnsi="Arial"/>
                <w:sz w:val="14"/>
                <w:szCs w:val="14"/>
                <w:color w:val="0000FF"/>
              </w:rPr>
              <w:t>Risk Factors</w:t>
            </w:r>
          </w:p>
        </w:tc>
        <w:tc>
          <w:tcPr>
            <w:tcW w:w="1120" w:type="dxa"/>
            <w:vAlign w:val="bottom"/>
            <w:gridSpan w:val="3"/>
          </w:tcPr>
          <w:p>
            <w:pPr>
              <w:jc w:val="center"/>
              <w:ind w:left="70"/>
              <w:spacing w:after="0" w:line="142" w:lineRule="exact"/>
              <w:rPr>
                <w:sz w:val="20"/>
                <w:szCs w:val="20"/>
                <w:color w:val="auto"/>
              </w:rPr>
            </w:pPr>
            <w:r>
              <w:rPr>
                <w:rFonts w:ascii="Arial" w:cs="Arial" w:eastAsia="Arial" w:hAnsi="Arial"/>
                <w:sz w:val="14"/>
                <w:szCs w:val="14"/>
                <w:color w:val="0000FF"/>
                <w:w w:val="89"/>
              </w:rPr>
              <w:t>40</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0000FF"/>
              </w:rPr>
              <w:t>Item 2</w:t>
            </w:r>
          </w:p>
        </w:tc>
        <w:tc>
          <w:tcPr>
            <w:tcW w:w="580" w:type="dxa"/>
            <w:vAlign w:val="bottom"/>
            <w:shd w:val="clear" w:color="auto" w:fill="CCEEFF"/>
          </w:tcPr>
          <w:p>
            <w:pPr>
              <w:spacing w:after="0"/>
              <w:rPr>
                <w:sz w:val="13"/>
                <w:szCs w:val="13"/>
                <w:color w:val="auto"/>
              </w:rPr>
            </w:pPr>
          </w:p>
        </w:tc>
        <w:tc>
          <w:tcPr>
            <w:tcW w:w="9080" w:type="dxa"/>
            <w:vAlign w:val="bottom"/>
            <w:gridSpan w:val="14"/>
            <w:shd w:val="clear" w:color="auto" w:fill="CCEEFF"/>
          </w:tcPr>
          <w:p>
            <w:pPr>
              <w:spacing w:after="0" w:line="155" w:lineRule="exact"/>
              <w:rPr>
                <w:sz w:val="20"/>
                <w:szCs w:val="20"/>
                <w:color w:val="auto"/>
              </w:rPr>
            </w:pPr>
            <w:r>
              <w:rPr>
                <w:rFonts w:ascii="Arial" w:cs="Arial" w:eastAsia="Arial" w:hAnsi="Arial"/>
                <w:sz w:val="14"/>
                <w:szCs w:val="14"/>
                <w:color w:val="0000FF"/>
              </w:rPr>
              <w:t>Unregistered Sales of Equity Securities and Use of Proceeds</w:t>
            </w:r>
          </w:p>
        </w:tc>
        <w:tc>
          <w:tcPr>
            <w:tcW w:w="1120" w:type="dxa"/>
            <w:vAlign w:val="bottom"/>
            <w:gridSpan w:val="3"/>
            <w:shd w:val="clear" w:color="auto" w:fill="CCEEFF"/>
          </w:tcPr>
          <w:p>
            <w:pPr>
              <w:jc w:val="center"/>
              <w:ind w:left="70"/>
              <w:spacing w:after="0" w:line="155" w:lineRule="exact"/>
              <w:rPr>
                <w:sz w:val="20"/>
                <w:szCs w:val="20"/>
                <w:color w:val="auto"/>
              </w:rPr>
            </w:pPr>
            <w:r>
              <w:rPr>
                <w:rFonts w:ascii="Arial" w:cs="Arial" w:eastAsia="Arial" w:hAnsi="Arial"/>
                <w:sz w:val="14"/>
                <w:szCs w:val="14"/>
                <w:color w:val="0000FF"/>
                <w:w w:val="89"/>
              </w:rPr>
              <w:t>40</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60" w:type="dxa"/>
            <w:vAlign w:val="bottom"/>
            <w:tcBorders>
              <w:left w:val="single" w:sz="8" w:color="0000FF"/>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00" w:type="dxa"/>
            <w:vAlign w:val="bottom"/>
            <w:tcBorders>
              <w:right w:val="single" w:sz="8" w:color="0000FF"/>
            </w:tcBorders>
            <w:shd w:val="clear" w:color="auto" w:fill="0000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6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0000FF"/>
              </w:rPr>
              <w:t>Item 3</w:t>
            </w:r>
          </w:p>
        </w:tc>
        <w:tc>
          <w:tcPr>
            <w:tcW w:w="9080" w:type="dxa"/>
            <w:vAlign w:val="bottom"/>
            <w:gridSpan w:val="14"/>
          </w:tcPr>
          <w:p>
            <w:pPr>
              <w:spacing w:after="0" w:line="149" w:lineRule="exact"/>
              <w:rPr>
                <w:sz w:val="20"/>
                <w:szCs w:val="20"/>
                <w:color w:val="auto"/>
              </w:rPr>
            </w:pPr>
            <w:r>
              <w:rPr>
                <w:rFonts w:ascii="Arial" w:cs="Arial" w:eastAsia="Arial" w:hAnsi="Arial"/>
                <w:sz w:val="14"/>
                <w:szCs w:val="14"/>
                <w:color w:val="0000FF"/>
              </w:rPr>
              <w:t>Defaults Upon Senior Securities</w:t>
            </w:r>
          </w:p>
        </w:tc>
        <w:tc>
          <w:tcPr>
            <w:tcW w:w="1120" w:type="dxa"/>
            <w:vAlign w:val="bottom"/>
            <w:gridSpan w:val="3"/>
          </w:tcPr>
          <w:p>
            <w:pPr>
              <w:jc w:val="center"/>
              <w:ind w:left="70"/>
              <w:spacing w:after="0" w:line="149" w:lineRule="exact"/>
              <w:rPr>
                <w:sz w:val="20"/>
                <w:szCs w:val="20"/>
                <w:color w:val="auto"/>
              </w:rPr>
            </w:pPr>
            <w:r>
              <w:rPr>
                <w:rFonts w:ascii="Arial" w:cs="Arial" w:eastAsia="Arial" w:hAnsi="Arial"/>
                <w:sz w:val="14"/>
                <w:szCs w:val="14"/>
                <w:color w:val="0000FF"/>
                <w:w w:val="89"/>
              </w:rPr>
              <w:t>40</w:t>
            </w:r>
          </w:p>
        </w:tc>
      </w:tr>
      <w:tr>
        <w:trPr>
          <w:trHeight w:val="22"/>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0000FF"/>
              </w:rPr>
              <w:t>Item 4</w:t>
            </w:r>
          </w:p>
        </w:tc>
        <w:tc>
          <w:tcPr>
            <w:tcW w:w="9080" w:type="dxa"/>
            <w:vAlign w:val="bottom"/>
            <w:gridSpan w:val="14"/>
            <w:shd w:val="clear" w:color="auto" w:fill="CCEEFF"/>
          </w:tcPr>
          <w:p>
            <w:pPr>
              <w:spacing w:after="0" w:line="149" w:lineRule="exact"/>
              <w:rPr>
                <w:sz w:val="20"/>
                <w:szCs w:val="20"/>
                <w:color w:val="auto"/>
              </w:rPr>
            </w:pPr>
            <w:r>
              <w:rPr>
                <w:rFonts w:ascii="Arial" w:cs="Arial" w:eastAsia="Arial" w:hAnsi="Arial"/>
                <w:sz w:val="14"/>
                <w:szCs w:val="14"/>
                <w:color w:val="0000FF"/>
              </w:rPr>
              <w:t>Mine Safety Disclosures</w:t>
            </w:r>
          </w:p>
        </w:tc>
        <w:tc>
          <w:tcPr>
            <w:tcW w:w="1120" w:type="dxa"/>
            <w:vAlign w:val="bottom"/>
            <w:gridSpan w:val="3"/>
            <w:shd w:val="clear" w:color="auto" w:fill="CCEEFF"/>
          </w:tcPr>
          <w:p>
            <w:pPr>
              <w:jc w:val="center"/>
              <w:ind w:left="70"/>
              <w:spacing w:after="0" w:line="149" w:lineRule="exact"/>
              <w:rPr>
                <w:sz w:val="20"/>
                <w:szCs w:val="20"/>
                <w:color w:val="auto"/>
              </w:rPr>
            </w:pPr>
            <w:r>
              <w:rPr>
                <w:rFonts w:ascii="Arial" w:cs="Arial" w:eastAsia="Arial" w:hAnsi="Arial"/>
                <w:sz w:val="14"/>
                <w:szCs w:val="14"/>
                <w:color w:val="0000FF"/>
                <w:w w:val="89"/>
              </w:rPr>
              <w:t>40</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60" w:type="dxa"/>
            <w:vAlign w:val="bottom"/>
            <w:tcBorders>
              <w:left w:val="single" w:sz="8" w:color="CCEEFF"/>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60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0000FF"/>
              </w:rPr>
              <w:t>Item 5</w:t>
            </w:r>
          </w:p>
        </w:tc>
        <w:tc>
          <w:tcPr>
            <w:tcW w:w="9080" w:type="dxa"/>
            <w:vAlign w:val="bottom"/>
            <w:gridSpan w:val="14"/>
          </w:tcPr>
          <w:p>
            <w:pPr>
              <w:spacing w:after="0" w:line="149" w:lineRule="exact"/>
              <w:rPr>
                <w:sz w:val="20"/>
                <w:szCs w:val="20"/>
                <w:color w:val="auto"/>
              </w:rPr>
            </w:pPr>
            <w:r>
              <w:rPr>
                <w:rFonts w:ascii="Arial" w:cs="Arial" w:eastAsia="Arial" w:hAnsi="Arial"/>
                <w:sz w:val="14"/>
                <w:szCs w:val="14"/>
                <w:color w:val="0000FF"/>
              </w:rPr>
              <w:t>Other Information</w:t>
            </w:r>
          </w:p>
        </w:tc>
        <w:tc>
          <w:tcPr>
            <w:tcW w:w="1120" w:type="dxa"/>
            <w:vAlign w:val="bottom"/>
            <w:gridSpan w:val="3"/>
          </w:tcPr>
          <w:p>
            <w:pPr>
              <w:jc w:val="center"/>
              <w:ind w:left="70"/>
              <w:spacing w:after="0" w:line="149" w:lineRule="exact"/>
              <w:rPr>
                <w:sz w:val="20"/>
                <w:szCs w:val="20"/>
                <w:color w:val="auto"/>
              </w:rPr>
            </w:pPr>
            <w:r>
              <w:rPr>
                <w:rFonts w:ascii="Arial" w:cs="Arial" w:eastAsia="Arial" w:hAnsi="Arial"/>
                <w:sz w:val="14"/>
                <w:szCs w:val="14"/>
                <w:color w:val="0000FF"/>
                <w:w w:val="89"/>
              </w:rPr>
              <w:t>40</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0000FF"/>
              </w:rPr>
              <w:t>Item 6</w:t>
            </w:r>
          </w:p>
        </w:tc>
        <w:tc>
          <w:tcPr>
            <w:tcW w:w="9080" w:type="dxa"/>
            <w:vAlign w:val="bottom"/>
            <w:gridSpan w:val="14"/>
            <w:shd w:val="clear" w:color="auto" w:fill="CCEEFF"/>
          </w:tcPr>
          <w:p>
            <w:pPr>
              <w:spacing w:after="0" w:line="155" w:lineRule="exact"/>
              <w:rPr>
                <w:sz w:val="20"/>
                <w:szCs w:val="20"/>
                <w:color w:val="auto"/>
              </w:rPr>
            </w:pPr>
            <w:r>
              <w:rPr>
                <w:rFonts w:ascii="Arial" w:cs="Arial" w:eastAsia="Arial" w:hAnsi="Arial"/>
                <w:sz w:val="14"/>
                <w:szCs w:val="14"/>
                <w:color w:val="0000FF"/>
              </w:rPr>
              <w:t>Exhibits</w:t>
            </w:r>
          </w:p>
        </w:tc>
        <w:tc>
          <w:tcPr>
            <w:tcW w:w="1120" w:type="dxa"/>
            <w:vAlign w:val="bottom"/>
            <w:gridSpan w:val="3"/>
            <w:shd w:val="clear" w:color="auto" w:fill="CCEEFF"/>
          </w:tcPr>
          <w:p>
            <w:pPr>
              <w:jc w:val="center"/>
              <w:ind w:left="70"/>
              <w:spacing w:after="0" w:line="155" w:lineRule="exact"/>
              <w:rPr>
                <w:sz w:val="20"/>
                <w:szCs w:val="20"/>
                <w:color w:val="auto"/>
              </w:rPr>
            </w:pPr>
            <w:r>
              <w:rPr>
                <w:rFonts w:ascii="Arial" w:cs="Arial" w:eastAsia="Arial" w:hAnsi="Arial"/>
                <w:sz w:val="14"/>
                <w:szCs w:val="14"/>
                <w:color w:val="0000FF"/>
                <w:w w:val="89"/>
              </w:rPr>
              <w:t>41</w:t>
            </w: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4"/>
          <w:szCs w:val="14"/>
          <w:b w:val="1"/>
          <w:bCs w:val="1"/>
          <w:color w:val="auto"/>
        </w:rPr>
        <w:t>DEFINITIONS</w:t>
      </w:r>
    </w:p>
    <w:p>
      <w:pPr>
        <w:spacing w:after="0" w:line="108" w:lineRule="exact"/>
        <w:rPr>
          <w:sz w:val="20"/>
          <w:szCs w:val="20"/>
          <w:color w:val="auto"/>
        </w:rPr>
      </w:pPr>
    </w:p>
    <w:p>
      <w:pPr>
        <w:ind w:right="100" w:firstLine="127"/>
        <w:spacing w:after="0" w:line="281" w:lineRule="auto"/>
        <w:rPr>
          <w:sz w:val="20"/>
          <w:szCs w:val="20"/>
          <w:color w:val="auto"/>
        </w:rPr>
      </w:pPr>
      <w:r>
        <w:rPr>
          <w:rFonts w:ascii="Arial" w:cs="Arial" w:eastAsia="Arial" w:hAnsi="Arial"/>
          <w:sz w:val="14"/>
          <w:szCs w:val="14"/>
          <w:color w:val="auto"/>
        </w:rPr>
        <w:t>In this Quarterly Report on Form 10-Q for the quarter ended June 30, 2023 (this “Report”), the following terms and abbreviations have the meanings listed below. “LivaNova” and “the Company” refer to LivaNova PLC and its consolidated subsidiaries.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Abbreviation</w:t>
            </w:r>
          </w:p>
        </w:tc>
        <w:tc>
          <w:tcPr>
            <w:tcW w:w="140" w:type="dxa"/>
            <w:vAlign w:val="bottom"/>
          </w:tcPr>
          <w:p>
            <w:pPr>
              <w:spacing w:after="0"/>
              <w:rPr>
                <w:sz w:val="16"/>
                <w:szCs w:val="16"/>
                <w:color w:val="auto"/>
              </w:rPr>
            </w:pPr>
          </w:p>
        </w:tc>
        <w:tc>
          <w:tcPr>
            <w:tcW w:w="8580" w:type="dxa"/>
            <w:vAlign w:val="bottom"/>
            <w:tcBorders>
              <w:bottom w:val="single" w:sz="8" w:color="auto"/>
            </w:tcBorders>
          </w:tcPr>
          <w:p>
            <w:pPr>
              <w:ind w:left="3980"/>
              <w:spacing w:after="0"/>
              <w:rPr>
                <w:sz w:val="20"/>
                <w:szCs w:val="20"/>
                <w:color w:val="auto"/>
              </w:rPr>
            </w:pPr>
            <w:r>
              <w:rPr>
                <w:rFonts w:ascii="Arial" w:cs="Arial" w:eastAsia="Arial" w:hAnsi="Arial"/>
                <w:sz w:val="14"/>
                <w:szCs w:val="14"/>
                <w:b w:val="1"/>
                <w:bCs w:val="1"/>
                <w:color w:val="auto"/>
              </w:rPr>
              <w:t>Definition</w:t>
            </w:r>
          </w:p>
        </w:tc>
      </w:tr>
      <w:tr>
        <w:trPr>
          <w:trHeight w:val="182"/>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2015 Plan</w:t>
            </w:r>
          </w:p>
        </w:tc>
        <w:tc>
          <w:tcPr>
            <w:tcW w:w="140" w:type="dxa"/>
            <w:vAlign w:val="bottom"/>
            <w:shd w:val="clear" w:color="auto" w:fill="CCEEFF"/>
          </w:tcPr>
          <w:p>
            <w:pPr>
              <w:spacing w:after="0"/>
              <w:rPr>
                <w:sz w:val="15"/>
                <w:szCs w:val="15"/>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LivaNova PLC 2015 Incentive Award Plan</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2022 Form 10-K</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LivaNova PLC’s Annual Report on Form 10-K for the year ended December 31, 2022, filed with the SEC on February 27, 2023</w:t>
            </w:r>
          </w:p>
        </w:tc>
      </w:tr>
      <w:tr>
        <w:trPr>
          <w:trHeight w:val="18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Plan</w:t>
            </w:r>
          </w:p>
        </w:tc>
        <w:tc>
          <w:tcPr>
            <w:tcW w:w="140" w:type="dxa"/>
            <w:vAlign w:val="bottom"/>
            <w:shd w:val="clear" w:color="auto" w:fill="CCEEFF"/>
          </w:tcPr>
          <w:p>
            <w:pPr>
              <w:spacing w:after="0"/>
              <w:rPr>
                <w:sz w:val="15"/>
                <w:szCs w:val="15"/>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LivaNova PLC 2022 Incentive Award Plan</w:t>
            </w:r>
          </w:p>
        </w:tc>
      </w:tr>
      <w:tr>
        <w:trPr>
          <w:trHeight w:val="185"/>
        </w:trPr>
        <w:tc>
          <w:tcPr>
            <w:tcW w:w="2560" w:type="dxa"/>
            <w:vAlign w:val="bottom"/>
          </w:tcPr>
          <w:p>
            <w:pPr>
              <w:ind w:left="20"/>
              <w:spacing w:after="0"/>
              <w:rPr>
                <w:sz w:val="20"/>
                <w:szCs w:val="20"/>
                <w:color w:val="auto"/>
              </w:rPr>
            </w:pPr>
            <w:r>
              <w:rPr>
                <w:rFonts w:ascii="Arial" w:cs="Arial" w:eastAsia="Arial" w:hAnsi="Arial"/>
                <w:sz w:val="14"/>
                <w:szCs w:val="14"/>
                <w:color w:val="auto"/>
              </w:rPr>
              <w:t>ACS</w:t>
            </w:r>
          </w:p>
        </w:tc>
        <w:tc>
          <w:tcPr>
            <w:tcW w:w="140" w:type="dxa"/>
            <w:vAlign w:val="bottom"/>
          </w:tcPr>
          <w:p>
            <w:pPr>
              <w:spacing w:after="0"/>
              <w:rPr>
                <w:sz w:val="16"/>
                <w:szCs w:val="16"/>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Advanced Circulatory Support</w:t>
            </w:r>
          </w:p>
        </w:tc>
      </w:tr>
      <w:tr>
        <w:trPr>
          <w:trHeight w:val="186"/>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ALung</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ALung Technologies, Inc.</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AOCI</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Accumulated other comprehensive income</w:t>
            </w:r>
          </w:p>
        </w:tc>
      </w:tr>
      <w:tr>
        <w:trPr>
          <w:trHeight w:val="19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A&amp;R 2022 Plan</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Amended and Restated LivaNova PLC 2022 Incentive Award Plan</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BEPS</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Base Erosion and Profit Shifting</w:t>
            </w:r>
          </w:p>
        </w:tc>
      </w:tr>
      <w:tr>
        <w:trPr>
          <w:trHeight w:val="138"/>
        </w:trPr>
        <w:tc>
          <w:tcPr>
            <w:tcW w:w="256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Bridge Loan Facility</w:t>
            </w:r>
          </w:p>
        </w:tc>
        <w:tc>
          <w:tcPr>
            <w:tcW w:w="140" w:type="dxa"/>
            <w:vAlign w:val="bottom"/>
            <w:shd w:val="clear" w:color="auto" w:fill="CCEEFF"/>
          </w:tcPr>
          <w:p>
            <w:pPr>
              <w:spacing w:after="0"/>
              <w:rPr>
                <w:sz w:val="12"/>
                <w:szCs w:val="12"/>
                <w:color w:val="auto"/>
              </w:rPr>
            </w:pPr>
          </w:p>
        </w:tc>
        <w:tc>
          <w:tcPr>
            <w:tcW w:w="858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6"/>
              </w:rPr>
              <w:t>Incremental Facility Amendment No. 1 to the 2021 First Lien Credit Agreement, relating to a €200 million bridge loan facility, dated February 24,</w:t>
            </w:r>
          </w:p>
        </w:tc>
      </w:tr>
      <w:tr>
        <w:trPr>
          <w:trHeight w:val="191"/>
        </w:trPr>
        <w:tc>
          <w:tcPr>
            <w:tcW w:w="2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and repaid on July 6, 2022</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CEO</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Chief Executive Officer</w:t>
            </w:r>
          </w:p>
        </w:tc>
      </w:tr>
      <w:tr>
        <w:trPr>
          <w:trHeight w:val="18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CFO</w:t>
            </w:r>
          </w:p>
        </w:tc>
        <w:tc>
          <w:tcPr>
            <w:tcW w:w="140" w:type="dxa"/>
            <w:vAlign w:val="bottom"/>
            <w:shd w:val="clear" w:color="auto" w:fill="CCEEFF"/>
          </w:tcPr>
          <w:p>
            <w:pPr>
              <w:spacing w:after="0"/>
              <w:rPr>
                <w:sz w:val="15"/>
                <w:szCs w:val="15"/>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Chief Financial Officer</w:t>
            </w:r>
          </w:p>
        </w:tc>
      </w:tr>
      <w:tr>
        <w:trPr>
          <w:trHeight w:val="185"/>
        </w:trPr>
        <w:tc>
          <w:tcPr>
            <w:tcW w:w="2560" w:type="dxa"/>
            <w:vAlign w:val="bottom"/>
          </w:tcPr>
          <w:p>
            <w:pPr>
              <w:ind w:left="20"/>
              <w:spacing w:after="0"/>
              <w:rPr>
                <w:sz w:val="20"/>
                <w:szCs w:val="20"/>
                <w:color w:val="auto"/>
              </w:rPr>
            </w:pPr>
            <w:r>
              <w:rPr>
                <w:rFonts w:ascii="Arial" w:cs="Arial" w:eastAsia="Arial" w:hAnsi="Arial"/>
                <w:sz w:val="14"/>
                <w:szCs w:val="14"/>
                <w:color w:val="auto"/>
              </w:rPr>
              <w:t>CMS</w:t>
            </w:r>
          </w:p>
        </w:tc>
        <w:tc>
          <w:tcPr>
            <w:tcW w:w="140" w:type="dxa"/>
            <w:vAlign w:val="bottom"/>
          </w:tcPr>
          <w:p>
            <w:pPr>
              <w:spacing w:after="0"/>
              <w:rPr>
                <w:sz w:val="16"/>
                <w:szCs w:val="16"/>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U.S. Centers for Medicare &amp; Medicaid Services</w:t>
            </w:r>
          </w:p>
        </w:tc>
      </w:tr>
      <w:tr>
        <w:trPr>
          <w:trHeight w:val="186"/>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Court of Appeal</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Court of Appeal in Milan</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Delayed Draw Term Facility</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w w:val="99"/>
              </w:rPr>
              <w:t>$50 million delayed draw term facility under the 2021 First Lien Credit Agreement resulting from the Incremental Facility Amendment No. 2</w:t>
            </w:r>
          </w:p>
        </w:tc>
      </w:tr>
      <w:tr>
        <w:trPr>
          <w:trHeight w:val="19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DRE</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Drug-resistant epilepsy</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DTD</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Difficult-to-treat depression</w:t>
            </w:r>
          </w:p>
        </w:tc>
      </w:tr>
      <w:tr>
        <w:trPr>
          <w:trHeight w:val="18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ECJ</w:t>
            </w:r>
          </w:p>
        </w:tc>
        <w:tc>
          <w:tcPr>
            <w:tcW w:w="140" w:type="dxa"/>
            <w:vAlign w:val="bottom"/>
            <w:shd w:val="clear" w:color="auto" w:fill="CCEEFF"/>
          </w:tcPr>
          <w:p>
            <w:pPr>
              <w:spacing w:after="0"/>
              <w:rPr>
                <w:sz w:val="15"/>
                <w:szCs w:val="15"/>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European Court of Justice</w:t>
            </w:r>
          </w:p>
        </w:tc>
      </w:tr>
      <w:tr>
        <w:trPr>
          <w:trHeight w:val="185"/>
        </w:trPr>
        <w:tc>
          <w:tcPr>
            <w:tcW w:w="2560" w:type="dxa"/>
            <w:vAlign w:val="bottom"/>
          </w:tcPr>
          <w:p>
            <w:pPr>
              <w:ind w:left="20"/>
              <w:spacing w:after="0"/>
              <w:rPr>
                <w:sz w:val="20"/>
                <w:szCs w:val="20"/>
                <w:color w:val="auto"/>
              </w:rPr>
            </w:pPr>
            <w:r>
              <w:rPr>
                <w:rFonts w:ascii="Arial" w:cs="Arial" w:eastAsia="Arial" w:hAnsi="Arial"/>
                <w:sz w:val="14"/>
                <w:szCs w:val="14"/>
                <w:color w:val="auto"/>
              </w:rPr>
              <w:t>Exchange Act</w:t>
            </w:r>
          </w:p>
        </w:tc>
        <w:tc>
          <w:tcPr>
            <w:tcW w:w="140" w:type="dxa"/>
            <w:vAlign w:val="bottom"/>
          </w:tcPr>
          <w:p>
            <w:pPr>
              <w:spacing w:after="0"/>
              <w:rPr>
                <w:sz w:val="16"/>
                <w:szCs w:val="16"/>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U.S. Securities Exchange Act of 1934, as amended</w:t>
            </w:r>
          </w:p>
        </w:tc>
      </w:tr>
      <w:tr>
        <w:trPr>
          <w:trHeight w:val="186"/>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ECMO</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Extracorporeal membrane oxygenation</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FDA</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U.S. Food and Drug Administration</w:t>
            </w:r>
          </w:p>
        </w:tc>
      </w:tr>
      <w:tr>
        <w:trPr>
          <w:trHeight w:val="19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FX</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Hemolung RAS</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Hemolung Respiratory Assist System</w:t>
            </w:r>
          </w:p>
        </w:tc>
      </w:tr>
      <w:tr>
        <w:trPr>
          <w:trHeight w:val="138"/>
        </w:trPr>
        <w:tc>
          <w:tcPr>
            <w:tcW w:w="256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ImThera</w:t>
            </w:r>
          </w:p>
        </w:tc>
        <w:tc>
          <w:tcPr>
            <w:tcW w:w="140" w:type="dxa"/>
            <w:vAlign w:val="bottom"/>
            <w:shd w:val="clear" w:color="auto" w:fill="CCEEFF"/>
          </w:tcPr>
          <w:p>
            <w:pPr>
              <w:spacing w:after="0"/>
              <w:rPr>
                <w:sz w:val="12"/>
                <w:szCs w:val="12"/>
                <w:color w:val="auto"/>
              </w:rPr>
            </w:pPr>
          </w:p>
        </w:tc>
        <w:tc>
          <w:tcPr>
            <w:tcW w:w="858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5"/>
              </w:rPr>
              <w:t>ImThera Medical, Inc., acquired by LivaNova in 2018, a company developing an implantable neurostimulation device system for the treatment of</w:t>
            </w:r>
          </w:p>
        </w:tc>
      </w:tr>
      <w:tr>
        <w:trPr>
          <w:trHeight w:val="191"/>
        </w:trPr>
        <w:tc>
          <w:tcPr>
            <w:tcW w:w="2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obstructive sleep apnea</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Incremental Facility Amendment No. 2</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An incremental facility amendment to the 2021 First Lien Credit Agreement, dated July 6, 2022</w:t>
            </w:r>
          </w:p>
        </w:tc>
      </w:tr>
      <w:tr>
        <w:trPr>
          <w:trHeight w:val="18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Initial Term Facility</w:t>
            </w:r>
          </w:p>
        </w:tc>
        <w:tc>
          <w:tcPr>
            <w:tcW w:w="140" w:type="dxa"/>
            <w:vAlign w:val="bottom"/>
            <w:shd w:val="clear" w:color="auto" w:fill="CCEEFF"/>
          </w:tcPr>
          <w:p>
            <w:pPr>
              <w:spacing w:after="0"/>
              <w:rPr>
                <w:sz w:val="15"/>
                <w:szCs w:val="15"/>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$300 million term facility under the 2021 First Lien Credit Agreement resulting from the Incremental Facility Amendment No. 2</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ISIN</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Sub-body of the Italian Ministry of Economic Development</w:t>
            </w:r>
          </w:p>
        </w:tc>
      </w:tr>
      <w:tr>
        <w:trPr>
          <w:trHeight w:val="19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LivaNova USA</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LivaNova USA, Inc.</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LSM</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LivaNova Site Management S.r.l.</w:t>
            </w:r>
          </w:p>
        </w:tc>
      </w:tr>
      <w:tr>
        <w:trPr>
          <w:trHeight w:val="18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MDL</w:t>
            </w:r>
          </w:p>
        </w:tc>
        <w:tc>
          <w:tcPr>
            <w:tcW w:w="140" w:type="dxa"/>
            <w:vAlign w:val="bottom"/>
            <w:shd w:val="clear" w:color="auto" w:fill="CCEEFF"/>
          </w:tcPr>
          <w:p>
            <w:pPr>
              <w:spacing w:after="0"/>
              <w:rPr>
                <w:sz w:val="15"/>
                <w:szCs w:val="15"/>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multi-district litigation in the U.S. District Court for the Middle District of Pennsylvania</w:t>
            </w:r>
          </w:p>
        </w:tc>
      </w:tr>
      <w:tr>
        <w:trPr>
          <w:trHeight w:val="185"/>
        </w:trPr>
        <w:tc>
          <w:tcPr>
            <w:tcW w:w="2560" w:type="dxa"/>
            <w:vAlign w:val="bottom"/>
          </w:tcPr>
          <w:p>
            <w:pPr>
              <w:ind w:left="20"/>
              <w:spacing w:after="0"/>
              <w:rPr>
                <w:sz w:val="20"/>
                <w:szCs w:val="20"/>
                <w:color w:val="auto"/>
              </w:rPr>
            </w:pPr>
            <w:r>
              <w:rPr>
                <w:rFonts w:ascii="Arial" w:cs="Arial" w:eastAsia="Arial" w:hAnsi="Arial"/>
                <w:sz w:val="14"/>
                <w:szCs w:val="14"/>
                <w:color w:val="auto"/>
              </w:rPr>
              <w:t>Mitral</w:t>
            </w:r>
          </w:p>
        </w:tc>
        <w:tc>
          <w:tcPr>
            <w:tcW w:w="140" w:type="dxa"/>
            <w:vAlign w:val="bottom"/>
          </w:tcPr>
          <w:p>
            <w:pPr>
              <w:spacing w:after="0"/>
              <w:rPr>
                <w:sz w:val="16"/>
                <w:szCs w:val="16"/>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Mitral Holdco S.à r.l.</w:t>
            </w:r>
          </w:p>
        </w:tc>
      </w:tr>
      <w:tr>
        <w:trPr>
          <w:trHeight w:val="186"/>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$287.5 million aggregate principal amount of 3.00% senior notes due December 2025, issued June 17, 2020</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OCI</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r>
      <w:tr>
        <w:trPr>
          <w:trHeight w:val="19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OECD</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Organisation for Economic Co-operation and Development</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Order</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Administrative order</w:t>
            </w:r>
          </w:p>
        </w:tc>
      </w:tr>
      <w:tr>
        <w:trPr>
          <w:trHeight w:val="18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OSA</w:t>
            </w:r>
          </w:p>
        </w:tc>
        <w:tc>
          <w:tcPr>
            <w:tcW w:w="140" w:type="dxa"/>
            <w:vAlign w:val="bottom"/>
            <w:shd w:val="clear" w:color="auto" w:fill="CCEEFF"/>
          </w:tcPr>
          <w:p>
            <w:pPr>
              <w:spacing w:after="0"/>
              <w:rPr>
                <w:sz w:val="15"/>
                <w:szCs w:val="15"/>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Obstructive sleep apnea</w:t>
            </w:r>
          </w:p>
        </w:tc>
      </w:tr>
      <w:tr>
        <w:trPr>
          <w:trHeight w:val="185"/>
        </w:trPr>
        <w:tc>
          <w:tcPr>
            <w:tcW w:w="2560" w:type="dxa"/>
            <w:vAlign w:val="bottom"/>
          </w:tcPr>
          <w:p>
            <w:pPr>
              <w:ind w:left="20"/>
              <w:spacing w:after="0"/>
              <w:rPr>
                <w:sz w:val="20"/>
                <w:szCs w:val="20"/>
                <w:color w:val="auto"/>
              </w:rPr>
            </w:pPr>
            <w:r>
              <w:rPr>
                <w:rFonts w:ascii="Arial" w:cs="Arial" w:eastAsia="Arial" w:hAnsi="Arial"/>
                <w:sz w:val="14"/>
                <w:szCs w:val="14"/>
                <w:color w:val="auto"/>
              </w:rPr>
              <w:t>OSPREY clinical trial</w:t>
            </w:r>
          </w:p>
        </w:tc>
        <w:tc>
          <w:tcPr>
            <w:tcW w:w="140" w:type="dxa"/>
            <w:vAlign w:val="bottom"/>
          </w:tcPr>
          <w:p>
            <w:pPr>
              <w:spacing w:after="0"/>
              <w:rPr>
                <w:sz w:val="16"/>
                <w:szCs w:val="16"/>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LivaNova’s clinical trial, “Treating Obstructive Sleep Apnea using Targeted Hypoglossal Neurostimulation”</w:t>
            </w:r>
          </w:p>
        </w:tc>
      </w:tr>
      <w:tr>
        <w:trPr>
          <w:trHeight w:val="186"/>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Public Administrations</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Italian Ministry of the Environment and other Italian government agencies</w:t>
            </w:r>
          </w:p>
        </w:tc>
      </w:tr>
      <w:tr>
        <w:trPr>
          <w:trHeight w:val="626"/>
        </w:trPr>
        <w:tc>
          <w:tcPr>
            <w:tcW w:w="2560" w:type="dxa"/>
            <w:vAlign w:val="bottom"/>
          </w:tcPr>
          <w:p>
            <w:pPr>
              <w:spacing w:after="0"/>
              <w:rPr>
                <w:sz w:val="24"/>
                <w:szCs w:val="24"/>
                <w:color w:val="auto"/>
              </w:rPr>
            </w:pPr>
          </w:p>
        </w:tc>
        <w:tc>
          <w:tcPr>
            <w:tcW w:w="8720" w:type="dxa"/>
            <w:vAlign w:val="bottom"/>
            <w:gridSpan w:val="2"/>
          </w:tcPr>
          <w:p>
            <w:pPr>
              <w:jc w:val="right"/>
              <w:ind w:right="5469"/>
              <w:spacing w:after="0"/>
              <w:rPr>
                <w:sz w:val="20"/>
                <w:szCs w:val="20"/>
                <w:color w:val="auto"/>
              </w:rPr>
            </w:pPr>
            <w:r>
              <w:rPr>
                <w:rFonts w:ascii="Arial" w:cs="Arial" w:eastAsia="Arial" w:hAnsi="Arial"/>
                <w:sz w:val="14"/>
                <w:szCs w:val="14"/>
                <w:color w:val="auto"/>
              </w:rPr>
              <w:t>3</w:t>
            </w:r>
          </w:p>
        </w:tc>
      </w:tr>
      <w:tr>
        <w:trPr>
          <w:trHeight w:val="182"/>
        </w:trPr>
        <w:tc>
          <w:tcPr>
            <w:tcW w:w="25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5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25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Abbreviation</w:t>
            </w:r>
          </w:p>
        </w:tc>
        <w:tc>
          <w:tcPr>
            <w:tcW w:w="140" w:type="dxa"/>
            <w:vAlign w:val="bottom"/>
          </w:tcPr>
          <w:p>
            <w:pPr>
              <w:spacing w:after="0"/>
              <w:rPr>
                <w:sz w:val="16"/>
                <w:szCs w:val="16"/>
                <w:color w:val="auto"/>
              </w:rPr>
            </w:pPr>
          </w:p>
        </w:tc>
        <w:tc>
          <w:tcPr>
            <w:tcW w:w="8580" w:type="dxa"/>
            <w:vAlign w:val="bottom"/>
            <w:tcBorders>
              <w:bottom w:val="single" w:sz="8" w:color="auto"/>
            </w:tcBorders>
          </w:tcPr>
          <w:p>
            <w:pPr>
              <w:ind w:left="3980"/>
              <w:spacing w:after="0"/>
              <w:rPr>
                <w:sz w:val="20"/>
                <w:szCs w:val="20"/>
                <w:color w:val="auto"/>
              </w:rPr>
            </w:pPr>
            <w:r>
              <w:rPr>
                <w:rFonts w:ascii="Arial" w:cs="Arial" w:eastAsia="Arial" w:hAnsi="Arial"/>
                <w:sz w:val="14"/>
                <w:szCs w:val="14"/>
                <w:b w:val="1"/>
                <w:bCs w:val="1"/>
                <w:color w:val="auto"/>
              </w:rPr>
              <w:t>Definition</w:t>
            </w:r>
          </w:p>
        </w:tc>
      </w:tr>
      <w:tr>
        <w:trPr>
          <w:trHeight w:val="176"/>
        </w:trPr>
        <w:tc>
          <w:tcPr>
            <w:tcW w:w="2560" w:type="dxa"/>
            <w:vAlign w:val="bottom"/>
          </w:tcPr>
          <w:p>
            <w:pPr>
              <w:ind w:left="20"/>
              <w:spacing w:after="0"/>
              <w:rPr>
                <w:sz w:val="20"/>
                <w:szCs w:val="20"/>
                <w:color w:val="auto"/>
              </w:rPr>
            </w:pPr>
            <w:r>
              <w:rPr>
                <w:rFonts w:ascii="Arial" w:cs="Arial" w:eastAsia="Arial" w:hAnsi="Arial"/>
                <w:sz w:val="14"/>
                <w:szCs w:val="14"/>
                <w:color w:val="auto"/>
              </w:rPr>
              <w:t>R&amp;D</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r>
      <w:tr>
        <w:trPr>
          <w:trHeight w:val="143"/>
        </w:trPr>
        <w:tc>
          <w:tcPr>
            <w:tcW w:w="25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RECOVER clinical study</w:t>
            </w:r>
          </w:p>
        </w:tc>
        <w:tc>
          <w:tcPr>
            <w:tcW w:w="140" w:type="dxa"/>
            <w:vAlign w:val="bottom"/>
            <w:shd w:val="clear" w:color="auto" w:fill="CCEEFF"/>
          </w:tcPr>
          <w:p>
            <w:pPr>
              <w:spacing w:after="0"/>
              <w:rPr>
                <w:sz w:val="12"/>
                <w:szCs w:val="12"/>
                <w:color w:val="auto"/>
              </w:rPr>
            </w:pPr>
          </w:p>
        </w:tc>
        <w:tc>
          <w:tcPr>
            <w:tcW w:w="85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6"/>
              </w:rPr>
              <w:t>LivaNova’s clinical study “A Prospective, Multi-center, Randomized Controlled Blinded Trial Demonstrating the Safety and Effectiveness of VNS</w:t>
            </w:r>
          </w:p>
        </w:tc>
      </w:tr>
      <w:tr>
        <w:trPr>
          <w:trHeight w:val="180"/>
        </w:trPr>
        <w:tc>
          <w:tcPr>
            <w:tcW w:w="2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Therapy System as Adjunctive Therapy Versus a No Stimulation Control in Subjects With Treatment-Resistant Depression”</w:t>
            </w:r>
          </w:p>
        </w:tc>
      </w:tr>
      <w:tr>
        <w:trPr>
          <w:trHeight w:val="185"/>
        </w:trPr>
        <w:tc>
          <w:tcPr>
            <w:tcW w:w="2560" w:type="dxa"/>
            <w:vAlign w:val="bottom"/>
          </w:tcPr>
          <w:p>
            <w:pPr>
              <w:ind w:left="20"/>
              <w:spacing w:after="0"/>
              <w:rPr>
                <w:sz w:val="20"/>
                <w:szCs w:val="20"/>
                <w:color w:val="auto"/>
              </w:rPr>
            </w:pPr>
            <w:r>
              <w:rPr>
                <w:rFonts w:ascii="Arial" w:cs="Arial" w:eastAsia="Arial" w:hAnsi="Arial"/>
                <w:sz w:val="14"/>
                <w:szCs w:val="14"/>
                <w:color w:val="auto"/>
              </w:rPr>
              <w:t>RSUs</w:t>
            </w:r>
          </w:p>
        </w:tc>
        <w:tc>
          <w:tcPr>
            <w:tcW w:w="140" w:type="dxa"/>
            <w:vAlign w:val="bottom"/>
          </w:tcPr>
          <w:p>
            <w:pPr>
              <w:spacing w:after="0"/>
              <w:rPr>
                <w:sz w:val="16"/>
                <w:szCs w:val="16"/>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Service-based restricted stock units</w:t>
            </w:r>
          </w:p>
        </w:tc>
      </w:tr>
      <w:tr>
        <w:trPr>
          <w:trHeight w:val="186"/>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SARs</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Service-based stock appreciation rights</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SEC</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U.S. Securities and Exchange Commission</w:t>
            </w:r>
          </w:p>
        </w:tc>
      </w:tr>
      <w:tr>
        <w:trPr>
          <w:trHeight w:val="19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 Act</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Securities Act of 1933, as amended</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SG&amp;A</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w:t>
            </w:r>
          </w:p>
        </w:tc>
      </w:tr>
      <w:tr>
        <w:trPr>
          <w:trHeight w:val="18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SNIA</w:t>
            </w:r>
          </w:p>
        </w:tc>
        <w:tc>
          <w:tcPr>
            <w:tcW w:w="140" w:type="dxa"/>
            <w:vAlign w:val="bottom"/>
            <w:shd w:val="clear" w:color="auto" w:fill="CCEEFF"/>
          </w:tcPr>
          <w:p>
            <w:pPr>
              <w:spacing w:after="0"/>
              <w:rPr>
                <w:sz w:val="15"/>
                <w:szCs w:val="15"/>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SNIA S.p.A.</w:t>
            </w:r>
          </w:p>
        </w:tc>
      </w:tr>
      <w:tr>
        <w:trPr>
          <w:trHeight w:val="185"/>
        </w:trPr>
        <w:tc>
          <w:tcPr>
            <w:tcW w:w="2560" w:type="dxa"/>
            <w:vAlign w:val="bottom"/>
          </w:tcPr>
          <w:p>
            <w:pPr>
              <w:ind w:left="20"/>
              <w:spacing w:after="0"/>
              <w:rPr>
                <w:sz w:val="20"/>
                <w:szCs w:val="20"/>
                <w:color w:val="auto"/>
              </w:rPr>
            </w:pPr>
            <w:r>
              <w:rPr>
                <w:rFonts w:ascii="Arial" w:cs="Arial" w:eastAsia="Arial" w:hAnsi="Arial"/>
                <w:sz w:val="14"/>
                <w:szCs w:val="14"/>
                <w:color w:val="auto"/>
              </w:rPr>
              <w:t>SNIA Litigation Guarantee</w:t>
            </w:r>
          </w:p>
        </w:tc>
        <w:tc>
          <w:tcPr>
            <w:tcW w:w="140" w:type="dxa"/>
            <w:vAlign w:val="bottom"/>
          </w:tcPr>
          <w:p>
            <w:pPr>
              <w:spacing w:after="0"/>
              <w:rPr>
                <w:sz w:val="16"/>
                <w:szCs w:val="16"/>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A first demand bank guarantee of €270.0 million in connection with the SNIA litigation</w:t>
            </w:r>
          </w:p>
        </w:tc>
      </w:tr>
      <w:tr>
        <w:trPr>
          <w:trHeight w:val="186"/>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SOFR</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Secured Overnight Financing Rate</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Sorin spin-off</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The spin-off of Sorin from SNIA in 2004</w:t>
            </w:r>
          </w:p>
        </w:tc>
      </w:tr>
      <w:tr>
        <w:trPr>
          <w:trHeight w:val="19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Facilities</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Initial Term Facility, together with the Delayed Draw Term Facility</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UK</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8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UK Act</w:t>
            </w:r>
          </w:p>
        </w:tc>
        <w:tc>
          <w:tcPr>
            <w:tcW w:w="140" w:type="dxa"/>
            <w:vAlign w:val="bottom"/>
            <w:shd w:val="clear" w:color="auto" w:fill="CCEEFF"/>
          </w:tcPr>
          <w:p>
            <w:pPr>
              <w:spacing w:after="0"/>
              <w:rPr>
                <w:sz w:val="15"/>
                <w:szCs w:val="15"/>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(No.2) Act 2023</w:t>
            </w:r>
          </w:p>
        </w:tc>
      </w:tr>
      <w:tr>
        <w:trPr>
          <w:trHeight w:val="185"/>
        </w:trPr>
        <w:tc>
          <w:tcPr>
            <w:tcW w:w="2560" w:type="dxa"/>
            <w:vAlign w:val="bottom"/>
          </w:tcPr>
          <w:p>
            <w:pPr>
              <w:ind w:left="20"/>
              <w:spacing w:after="0"/>
              <w:rPr>
                <w:sz w:val="20"/>
                <w:szCs w:val="20"/>
                <w:color w:val="auto"/>
              </w:rPr>
            </w:pPr>
            <w:r>
              <w:rPr>
                <w:rFonts w:ascii="Arial" w:cs="Arial" w:eastAsia="Arial" w:hAnsi="Arial"/>
                <w:sz w:val="14"/>
                <w:szCs w:val="14"/>
                <w:color w:val="auto"/>
              </w:rPr>
              <w:t>U.S.</w:t>
            </w:r>
          </w:p>
        </w:tc>
        <w:tc>
          <w:tcPr>
            <w:tcW w:w="140" w:type="dxa"/>
            <w:vAlign w:val="bottom"/>
          </w:tcPr>
          <w:p>
            <w:pPr>
              <w:spacing w:after="0"/>
              <w:rPr>
                <w:sz w:val="16"/>
                <w:szCs w:val="16"/>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United States of America</w:t>
            </w:r>
          </w:p>
        </w:tc>
      </w:tr>
      <w:tr>
        <w:trPr>
          <w:trHeight w:val="186"/>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Generally Accepted Accounting Principles in the U.S.</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USD</w:t>
            </w:r>
          </w:p>
        </w:tc>
        <w:tc>
          <w:tcPr>
            <w:tcW w:w="140" w:type="dxa"/>
            <w:vAlign w:val="bottom"/>
          </w:tcPr>
          <w:p>
            <w:pPr>
              <w:spacing w:after="0"/>
              <w:rPr>
                <w:sz w:val="15"/>
                <w:szCs w:val="15"/>
                <w:color w:val="auto"/>
              </w:rPr>
            </w:pPr>
          </w:p>
        </w:tc>
        <w:tc>
          <w:tcPr>
            <w:tcW w:w="8580" w:type="dxa"/>
            <w:vAlign w:val="bottom"/>
          </w:tcPr>
          <w:p>
            <w:pPr>
              <w:ind w:left="20"/>
              <w:spacing w:after="0"/>
              <w:rPr>
                <w:sz w:val="20"/>
                <w:szCs w:val="20"/>
                <w:color w:val="auto"/>
              </w:rPr>
            </w:pPr>
            <w:r>
              <w:rPr>
                <w:rFonts w:ascii="Arial" w:cs="Arial" w:eastAsia="Arial" w:hAnsi="Arial"/>
                <w:sz w:val="14"/>
                <w:szCs w:val="14"/>
                <w:color w:val="auto"/>
              </w:rPr>
              <w:t>U.S. dollar</w:t>
            </w:r>
          </w:p>
        </w:tc>
      </w:tr>
      <w:tr>
        <w:trPr>
          <w:trHeight w:val="19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VNS</w:t>
            </w:r>
          </w:p>
        </w:tc>
        <w:tc>
          <w:tcPr>
            <w:tcW w:w="140" w:type="dxa"/>
            <w:vAlign w:val="bottom"/>
            <w:shd w:val="clear" w:color="auto" w:fill="CCEEFF"/>
          </w:tcPr>
          <w:p>
            <w:pPr>
              <w:spacing w:after="0"/>
              <w:rPr>
                <w:sz w:val="16"/>
                <w:szCs w:val="16"/>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Vagus nerve stimulation</w:t>
            </w:r>
          </w:p>
        </w:tc>
      </w:tr>
    </w:tbl>
    <w:p>
      <w:pPr>
        <w:spacing w:after="0" w:line="325" w:lineRule="exact"/>
        <w:rPr>
          <w:sz w:val="20"/>
          <w:szCs w:val="20"/>
          <w:color w:val="auto"/>
        </w:rPr>
      </w:pPr>
    </w:p>
    <w:p>
      <w:pPr>
        <w:ind w:left="140" w:right="3360" w:firstLine="3371"/>
        <w:spacing w:after="0" w:line="303" w:lineRule="auto"/>
        <w:rPr>
          <w:sz w:val="20"/>
          <w:szCs w:val="20"/>
          <w:color w:val="auto"/>
        </w:rPr>
      </w:pPr>
      <w:r>
        <w:rPr>
          <w:rFonts w:ascii="Arial" w:cs="Arial" w:eastAsia="Arial" w:hAnsi="Arial"/>
          <w:sz w:val="14"/>
          <w:szCs w:val="14"/>
          <w:b w:val="1"/>
          <w:bCs w:val="1"/>
          <w:color w:val="auto"/>
        </w:rPr>
        <w:t xml:space="preserve">INTELLECTUAL PROPERTY, TRADEMARKS AND TRADE NAMES </w:t>
      </w:r>
      <w:r>
        <w:rPr>
          <w:rFonts w:ascii="Arial" w:cs="Arial" w:eastAsia="Arial" w:hAnsi="Arial"/>
          <w:sz w:val="14"/>
          <w:szCs w:val="14"/>
          <w:color w:val="auto"/>
        </w:rPr>
        <w:t>This report may contain references to LivaNova’s proprietary intellectual property, including among others:</w:t>
      </w:r>
    </w:p>
    <w:p>
      <w:pPr>
        <w:spacing w:after="0" w:line="1" w:lineRule="exact"/>
        <w:rPr>
          <w:sz w:val="20"/>
          <w:szCs w:val="20"/>
          <w:color w:val="auto"/>
        </w:rPr>
      </w:pPr>
    </w:p>
    <w:p>
      <w:pPr>
        <w:ind w:left="520" w:right="300" w:hanging="260"/>
        <w:spacing w:after="0" w:line="187" w:lineRule="auto"/>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Trademarks for LivaNova’s Neuromodulation systems, the VNS Therapy</w:t>
      </w:r>
      <w:r>
        <w:rPr>
          <w:rFonts w:ascii="Arial" w:cs="Arial" w:eastAsia="Arial" w:hAnsi="Arial"/>
          <w:sz w:val="19"/>
          <w:szCs w:val="19"/>
          <w:color w:val="auto"/>
          <w:vertAlign w:val="superscript"/>
        </w:rPr>
        <w:t>™</w:t>
      </w:r>
      <w:r>
        <w:rPr>
          <w:rFonts w:ascii="Arial" w:cs="Arial" w:eastAsia="Arial" w:hAnsi="Arial"/>
          <w:sz w:val="13"/>
          <w:szCs w:val="13"/>
          <w:color w:val="auto"/>
        </w:rPr>
        <w:t xml:space="preserve"> System, the VITARIA</w:t>
      </w:r>
      <w:r>
        <w:rPr>
          <w:rFonts w:ascii="Arial" w:cs="Arial" w:eastAsia="Arial" w:hAnsi="Arial"/>
          <w:sz w:val="19"/>
          <w:szCs w:val="19"/>
          <w:color w:val="auto"/>
          <w:vertAlign w:val="superscript"/>
        </w:rPr>
        <w:t>™</w:t>
      </w:r>
      <w:r>
        <w:rPr>
          <w:rFonts w:ascii="Arial" w:cs="Arial" w:eastAsia="Arial" w:hAnsi="Arial"/>
          <w:sz w:val="13"/>
          <w:szCs w:val="13"/>
          <w:color w:val="auto"/>
        </w:rPr>
        <w:t xml:space="preserve"> System and LivaNova’s proprietary pulse generator products: Model 102 (Pulse</w:t>
      </w:r>
      <w:r>
        <w:rPr>
          <w:rFonts w:ascii="Arial" w:cs="Arial" w:eastAsia="Arial" w:hAnsi="Arial"/>
          <w:sz w:val="19"/>
          <w:szCs w:val="19"/>
          <w:color w:val="auto"/>
          <w:vertAlign w:val="superscript"/>
        </w:rPr>
        <w:t>™</w:t>
      </w:r>
      <w:r>
        <w:rPr>
          <w:rFonts w:ascii="Arial" w:cs="Arial" w:eastAsia="Arial" w:hAnsi="Arial"/>
          <w:sz w:val="13"/>
          <w:szCs w:val="13"/>
          <w:color w:val="auto"/>
        </w:rPr>
        <w:t>), Model 102R (Pulse Duo</w:t>
      </w:r>
      <w:r>
        <w:rPr>
          <w:rFonts w:ascii="Arial" w:cs="Arial" w:eastAsia="Arial" w:hAnsi="Arial"/>
          <w:sz w:val="19"/>
          <w:szCs w:val="19"/>
          <w:color w:val="auto"/>
          <w:vertAlign w:val="superscript"/>
        </w:rPr>
        <w:t>™</w:t>
      </w:r>
      <w:r>
        <w:rPr>
          <w:rFonts w:ascii="Arial" w:cs="Arial" w:eastAsia="Arial" w:hAnsi="Arial"/>
          <w:sz w:val="13"/>
          <w:szCs w:val="13"/>
          <w:color w:val="auto"/>
        </w:rPr>
        <w:t>), Model 103 (Demipulse</w:t>
      </w:r>
      <w:r>
        <w:rPr>
          <w:rFonts w:ascii="Arial" w:cs="Arial" w:eastAsia="Arial" w:hAnsi="Arial"/>
          <w:sz w:val="19"/>
          <w:szCs w:val="19"/>
          <w:color w:val="auto"/>
          <w:vertAlign w:val="superscript"/>
        </w:rPr>
        <w:t>™</w:t>
      </w:r>
      <w:r>
        <w:rPr>
          <w:rFonts w:ascii="Arial" w:cs="Arial" w:eastAsia="Arial" w:hAnsi="Arial"/>
          <w:sz w:val="13"/>
          <w:szCs w:val="13"/>
          <w:color w:val="auto"/>
        </w:rPr>
        <w:t>), Model 104 (Demipulse Duo</w:t>
      </w:r>
      <w:r>
        <w:rPr>
          <w:rFonts w:ascii="Arial" w:cs="Arial" w:eastAsia="Arial" w:hAnsi="Arial"/>
          <w:sz w:val="19"/>
          <w:szCs w:val="19"/>
          <w:color w:val="auto"/>
          <w:vertAlign w:val="superscript"/>
        </w:rPr>
        <w:t>™</w:t>
      </w:r>
      <w:r>
        <w:rPr>
          <w:rFonts w:ascii="Arial" w:cs="Arial" w:eastAsia="Arial" w:hAnsi="Arial"/>
          <w:sz w:val="13"/>
          <w:szCs w:val="13"/>
          <w:color w:val="auto"/>
        </w:rPr>
        <w:t>), Model 106 (AspireSR</w:t>
      </w:r>
      <w:r>
        <w:rPr>
          <w:rFonts w:ascii="Arial" w:cs="Arial" w:eastAsia="Arial" w:hAnsi="Arial"/>
          <w:sz w:val="19"/>
          <w:szCs w:val="19"/>
          <w:color w:val="auto"/>
          <w:vertAlign w:val="superscript"/>
        </w:rPr>
        <w:t>™</w:t>
      </w:r>
      <w:r>
        <w:rPr>
          <w:rFonts w:ascii="Arial" w:cs="Arial" w:eastAsia="Arial" w:hAnsi="Arial"/>
          <w:sz w:val="13"/>
          <w:szCs w:val="13"/>
          <w:color w:val="auto"/>
        </w:rPr>
        <w:t>), Model 1000 (SenTiva</w:t>
      </w:r>
      <w:r>
        <w:rPr>
          <w:rFonts w:ascii="Arial" w:cs="Arial" w:eastAsia="Arial" w:hAnsi="Arial"/>
          <w:sz w:val="19"/>
          <w:szCs w:val="19"/>
          <w:color w:val="auto"/>
          <w:vertAlign w:val="superscript"/>
        </w:rPr>
        <w:t>™</w:t>
      </w:r>
      <w:r>
        <w:rPr>
          <w:rFonts w:ascii="Arial" w:cs="Arial" w:eastAsia="Arial" w:hAnsi="Arial"/>
          <w:sz w:val="13"/>
          <w:szCs w:val="13"/>
          <w:color w:val="auto"/>
        </w:rPr>
        <w:t>), Model 1000-D (SenTiva</w:t>
      </w:r>
      <w:r>
        <w:rPr>
          <w:rFonts w:ascii="Arial" w:cs="Arial" w:eastAsia="Arial" w:hAnsi="Arial"/>
          <w:sz w:val="19"/>
          <w:szCs w:val="19"/>
          <w:color w:val="auto"/>
          <w:vertAlign w:val="superscript"/>
        </w:rPr>
        <w:t>™</w:t>
      </w:r>
      <w:r>
        <w:rPr>
          <w:rFonts w:ascii="Arial" w:cs="Arial" w:eastAsia="Arial" w:hAnsi="Arial"/>
          <w:sz w:val="13"/>
          <w:szCs w:val="13"/>
          <w:color w:val="auto"/>
        </w:rPr>
        <w:t xml:space="preserve"> Duo), Model 7103 (VITARIA</w:t>
      </w:r>
      <w:r>
        <w:rPr>
          <w:rFonts w:ascii="Arial" w:cs="Arial" w:eastAsia="Arial" w:hAnsi="Arial"/>
          <w:sz w:val="19"/>
          <w:szCs w:val="19"/>
          <w:color w:val="auto"/>
          <w:vertAlign w:val="superscript"/>
        </w:rPr>
        <w:t>™</w:t>
      </w:r>
      <w:r>
        <w:rPr>
          <w:rFonts w:ascii="Arial" w:cs="Arial" w:eastAsia="Arial" w:hAnsi="Arial"/>
          <w:sz w:val="13"/>
          <w:szCs w:val="13"/>
          <w:color w:val="auto"/>
        </w:rPr>
        <w:t xml:space="preserve"> and TitrationAssist</w:t>
      </w:r>
      <w:r>
        <w:rPr>
          <w:rFonts w:ascii="Arial" w:cs="Arial" w:eastAsia="Arial" w:hAnsi="Arial"/>
          <w:sz w:val="19"/>
          <w:szCs w:val="19"/>
          <w:color w:val="auto"/>
          <w:vertAlign w:val="superscript"/>
        </w:rPr>
        <w:t>™</w:t>
      </w:r>
      <w:r>
        <w:rPr>
          <w:rFonts w:ascii="Arial" w:cs="Arial" w:eastAsia="Arial" w:hAnsi="Arial"/>
          <w:sz w:val="13"/>
          <w:szCs w:val="13"/>
          <w:color w:val="auto"/>
        </w:rPr>
        <w:t>) and Model 8103 (Symmetry</w:t>
      </w:r>
      <w:r>
        <w:rPr>
          <w:rFonts w:ascii="Arial" w:cs="Arial" w:eastAsia="Arial" w:hAnsi="Arial"/>
          <w:sz w:val="19"/>
          <w:szCs w:val="19"/>
          <w:color w:val="auto"/>
          <w:vertAlign w:val="superscript"/>
        </w:rPr>
        <w:t>™</w:t>
      </w:r>
      <w:r>
        <w:rPr>
          <w:rFonts w:ascii="Arial" w:cs="Arial" w:eastAsia="Arial" w:hAnsi="Arial"/>
          <w:sz w:val="13"/>
          <w:szCs w:val="13"/>
          <w:color w:val="auto"/>
        </w:rPr>
        <w:t>).</w:t>
      </w:r>
    </w:p>
    <w:p>
      <w:pPr>
        <w:ind w:left="520" w:right="480" w:hanging="260"/>
        <w:spacing w:after="0" w:line="182" w:lineRule="auto"/>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Trademarks for LivaNova’s Cardiopulmonary products and systems: Essenz™, S5</w:t>
      </w:r>
      <w:r>
        <w:rPr>
          <w:rFonts w:ascii="Arial" w:cs="Arial" w:eastAsia="Arial" w:hAnsi="Arial"/>
          <w:sz w:val="20"/>
          <w:szCs w:val="20"/>
          <w:color w:val="auto"/>
          <w:vertAlign w:val="superscript"/>
        </w:rPr>
        <w:t>™</w:t>
      </w:r>
      <w:r>
        <w:rPr>
          <w:rFonts w:ascii="Arial" w:cs="Arial" w:eastAsia="Arial" w:hAnsi="Arial"/>
          <w:sz w:val="13"/>
          <w:szCs w:val="13"/>
          <w:color w:val="auto"/>
        </w:rPr>
        <w:t>, S3</w:t>
      </w:r>
      <w:r>
        <w:rPr>
          <w:rFonts w:ascii="Arial" w:cs="Arial" w:eastAsia="Arial" w:hAnsi="Arial"/>
          <w:sz w:val="20"/>
          <w:szCs w:val="20"/>
          <w:color w:val="auto"/>
          <w:vertAlign w:val="superscript"/>
        </w:rPr>
        <w:t>™</w:t>
      </w:r>
      <w:r>
        <w:rPr>
          <w:rFonts w:ascii="Arial" w:cs="Arial" w:eastAsia="Arial" w:hAnsi="Arial"/>
          <w:sz w:val="13"/>
          <w:szCs w:val="13"/>
          <w:color w:val="auto"/>
        </w:rPr>
        <w:t>, S5 Pro™, B-Capta</w:t>
      </w:r>
      <w:r>
        <w:rPr>
          <w:rFonts w:ascii="Arial" w:cs="Arial" w:eastAsia="Arial" w:hAnsi="Arial"/>
          <w:sz w:val="20"/>
          <w:szCs w:val="20"/>
          <w:color w:val="auto"/>
          <w:vertAlign w:val="superscript"/>
        </w:rPr>
        <w:t>™</w:t>
      </w:r>
      <w:r>
        <w:rPr>
          <w:rFonts w:ascii="Arial" w:cs="Arial" w:eastAsia="Arial" w:hAnsi="Arial"/>
          <w:sz w:val="13"/>
          <w:szCs w:val="13"/>
          <w:color w:val="auto"/>
        </w:rPr>
        <w:t>, Inspire</w:t>
      </w:r>
      <w:r>
        <w:rPr>
          <w:rFonts w:ascii="Arial" w:cs="Arial" w:eastAsia="Arial" w:hAnsi="Arial"/>
          <w:sz w:val="20"/>
          <w:szCs w:val="20"/>
          <w:color w:val="auto"/>
          <w:vertAlign w:val="superscript"/>
        </w:rPr>
        <w:t>™</w:t>
      </w:r>
      <w:r>
        <w:rPr>
          <w:rFonts w:ascii="Arial" w:cs="Arial" w:eastAsia="Arial" w:hAnsi="Arial"/>
          <w:sz w:val="13"/>
          <w:szCs w:val="13"/>
          <w:color w:val="auto"/>
        </w:rPr>
        <w:t>, Heartlink</w:t>
      </w:r>
      <w:r>
        <w:rPr>
          <w:rFonts w:ascii="Arial" w:cs="Arial" w:eastAsia="Arial" w:hAnsi="Arial"/>
          <w:sz w:val="20"/>
          <w:szCs w:val="20"/>
          <w:color w:val="auto"/>
          <w:vertAlign w:val="superscript"/>
        </w:rPr>
        <w:t>™</w:t>
      </w:r>
      <w:r>
        <w:rPr>
          <w:rFonts w:ascii="Arial" w:cs="Arial" w:eastAsia="Arial" w:hAnsi="Arial"/>
          <w:sz w:val="13"/>
          <w:szCs w:val="13"/>
          <w:color w:val="auto"/>
        </w:rPr>
        <w:t>, XTRA</w:t>
      </w:r>
      <w:r>
        <w:rPr>
          <w:rFonts w:ascii="Arial" w:cs="Arial" w:eastAsia="Arial" w:hAnsi="Arial"/>
          <w:sz w:val="20"/>
          <w:szCs w:val="20"/>
          <w:color w:val="auto"/>
          <w:vertAlign w:val="superscript"/>
        </w:rPr>
        <w:t>™</w:t>
      </w:r>
      <w:r>
        <w:rPr>
          <w:rFonts w:ascii="Arial" w:cs="Arial" w:eastAsia="Arial" w:hAnsi="Arial"/>
          <w:sz w:val="13"/>
          <w:szCs w:val="13"/>
          <w:color w:val="auto"/>
        </w:rPr>
        <w:t>, 3T Heater-Cooler</w:t>
      </w:r>
      <w:r>
        <w:rPr>
          <w:rFonts w:ascii="Arial" w:cs="Arial" w:eastAsia="Arial" w:hAnsi="Arial"/>
          <w:sz w:val="20"/>
          <w:szCs w:val="20"/>
          <w:color w:val="auto"/>
          <w:vertAlign w:val="superscript"/>
        </w:rPr>
        <w:t>™</w:t>
      </w:r>
      <w:r>
        <w:rPr>
          <w:rFonts w:ascii="Arial" w:cs="Arial" w:eastAsia="Arial" w:hAnsi="Arial"/>
          <w:sz w:val="13"/>
          <w:szCs w:val="13"/>
          <w:color w:val="auto"/>
        </w:rPr>
        <w:t>, Connect™ and Revolution</w:t>
      </w:r>
      <w:r>
        <w:rPr>
          <w:rFonts w:ascii="Arial" w:cs="Arial" w:eastAsia="Arial" w:hAnsi="Arial"/>
          <w:sz w:val="20"/>
          <w:szCs w:val="20"/>
          <w:color w:val="auto"/>
          <w:vertAlign w:val="superscript"/>
        </w:rPr>
        <w:t>™</w:t>
      </w:r>
      <w:r>
        <w:rPr>
          <w:rFonts w:ascii="Arial" w:cs="Arial" w:eastAsia="Arial" w:hAnsi="Arial"/>
          <w:sz w:val="15"/>
          <w:szCs w:val="15"/>
          <w:color w:val="auto"/>
        </w:rPr>
        <w:t>.</w:t>
      </w:r>
    </w:p>
    <w:p>
      <w:pPr>
        <w:spacing w:after="0" w:line="1" w:lineRule="exact"/>
        <w:rPr>
          <w:rFonts w:ascii="Arial" w:cs="Arial" w:eastAsia="Arial" w:hAnsi="Arial"/>
          <w:sz w:val="13"/>
          <w:szCs w:val="13"/>
          <w:color w:val="auto"/>
        </w:rPr>
      </w:pPr>
    </w:p>
    <w:p>
      <w:pPr>
        <w:ind w:left="520" w:right="500" w:hanging="260"/>
        <w:spacing w:after="0" w:line="182" w:lineRule="auto"/>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Trademarks for LivaNova’s advanced circulatory support systems: TandemLife</w:t>
      </w:r>
      <w:r>
        <w:rPr>
          <w:rFonts w:ascii="Arial" w:cs="Arial" w:eastAsia="Arial" w:hAnsi="Arial"/>
          <w:sz w:val="21"/>
          <w:szCs w:val="21"/>
          <w:color w:val="auto"/>
          <w:vertAlign w:val="superscript"/>
        </w:rPr>
        <w:t>™</w:t>
      </w:r>
      <w:r>
        <w:rPr>
          <w:rFonts w:ascii="Arial" w:cs="Arial" w:eastAsia="Arial" w:hAnsi="Arial"/>
          <w:sz w:val="14"/>
          <w:szCs w:val="14"/>
          <w:color w:val="auto"/>
        </w:rPr>
        <w:t>, TandemHeart</w:t>
      </w:r>
      <w:r>
        <w:rPr>
          <w:rFonts w:ascii="Arial" w:cs="Arial" w:eastAsia="Arial" w:hAnsi="Arial"/>
          <w:sz w:val="21"/>
          <w:szCs w:val="21"/>
          <w:color w:val="auto"/>
          <w:vertAlign w:val="superscript"/>
        </w:rPr>
        <w:t>™</w:t>
      </w:r>
      <w:r>
        <w:rPr>
          <w:rFonts w:ascii="Arial" w:cs="Arial" w:eastAsia="Arial" w:hAnsi="Arial"/>
          <w:sz w:val="14"/>
          <w:szCs w:val="14"/>
          <w:color w:val="auto"/>
        </w:rPr>
        <w:t>, TandemLung</w:t>
      </w:r>
      <w:r>
        <w:rPr>
          <w:rFonts w:ascii="Arial" w:cs="Arial" w:eastAsia="Arial" w:hAnsi="Arial"/>
          <w:sz w:val="21"/>
          <w:szCs w:val="21"/>
          <w:color w:val="auto"/>
          <w:vertAlign w:val="superscript"/>
        </w:rPr>
        <w:t>™</w:t>
      </w:r>
      <w:r>
        <w:rPr>
          <w:rFonts w:ascii="Arial" w:cs="Arial" w:eastAsia="Arial" w:hAnsi="Arial"/>
          <w:sz w:val="14"/>
          <w:szCs w:val="14"/>
          <w:color w:val="auto"/>
        </w:rPr>
        <w:t>, ProtekDuo</w:t>
      </w:r>
      <w:r>
        <w:rPr>
          <w:rFonts w:ascii="Arial" w:cs="Arial" w:eastAsia="Arial" w:hAnsi="Arial"/>
          <w:sz w:val="21"/>
          <w:szCs w:val="21"/>
          <w:color w:val="auto"/>
          <w:vertAlign w:val="superscript"/>
        </w:rPr>
        <w:t>™,</w:t>
      </w:r>
      <w:r>
        <w:rPr>
          <w:rFonts w:ascii="Arial" w:cs="Arial" w:eastAsia="Arial" w:hAnsi="Arial"/>
          <w:sz w:val="14"/>
          <w:szCs w:val="14"/>
          <w:color w:val="auto"/>
        </w:rPr>
        <w:t xml:space="preserve"> LifeSPARC™, ALung™, Hemolung™, Respiratory Dialysis™ and ActivMix™.</w:t>
      </w: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Trademarks for LivaNova’s obstructive sleep apnea system: ImThera</w:t>
      </w:r>
      <w:r>
        <w:rPr>
          <w:rFonts w:ascii="Arial" w:cs="Arial" w:eastAsia="Arial" w:hAnsi="Arial"/>
          <w:sz w:val="22"/>
          <w:szCs w:val="22"/>
          <w:color w:val="auto"/>
          <w:vertAlign w:val="superscript"/>
        </w:rPr>
        <w:t>™</w:t>
      </w:r>
      <w:r>
        <w:rPr>
          <w:rFonts w:ascii="Arial" w:cs="Arial" w:eastAsia="Arial" w:hAnsi="Arial"/>
          <w:sz w:val="14"/>
          <w:szCs w:val="14"/>
          <w:color w:val="auto"/>
        </w:rPr>
        <w:t xml:space="preserve"> and aura6000</w:t>
      </w:r>
      <w:r>
        <w:rPr>
          <w:rFonts w:ascii="Arial" w:cs="Arial" w:eastAsia="Arial" w:hAnsi="Arial"/>
          <w:sz w:val="22"/>
          <w:szCs w:val="22"/>
          <w:color w:val="auto"/>
          <w:vertAlign w:val="superscript"/>
        </w:rPr>
        <w:t>™</w:t>
      </w:r>
      <w:r>
        <w:rPr>
          <w:rFonts w:ascii="Arial" w:cs="Arial" w:eastAsia="Arial" w:hAnsi="Arial"/>
          <w:sz w:val="14"/>
          <w:szCs w:val="14"/>
          <w:color w:val="auto"/>
        </w:rPr>
        <w:t>.</w:t>
      </w:r>
    </w:p>
    <w:p>
      <w:pPr>
        <w:spacing w:after="0" w:line="3" w:lineRule="exact"/>
        <w:rPr>
          <w:sz w:val="20"/>
          <w:szCs w:val="20"/>
          <w:color w:val="auto"/>
        </w:rPr>
      </w:pPr>
    </w:p>
    <w:p>
      <w:pPr>
        <w:ind w:right="20" w:firstLine="127"/>
        <w:spacing w:after="0" w:line="211" w:lineRule="auto"/>
        <w:rPr>
          <w:sz w:val="20"/>
          <w:szCs w:val="20"/>
          <w:color w:val="auto"/>
        </w:rPr>
      </w:pPr>
      <w:r>
        <w:rPr>
          <w:rFonts w:ascii="Arial" w:cs="Arial" w:eastAsia="Arial" w:hAnsi="Arial"/>
          <w:sz w:val="14"/>
          <w:szCs w:val="14"/>
          <w:color w:val="auto"/>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Quarterly Report on Form 10-Q may appear without the </w:t>
      </w:r>
      <w:r>
        <w:rPr>
          <w:rFonts w:ascii="Arial" w:cs="Arial" w:eastAsia="Arial" w:hAnsi="Arial"/>
          <w:sz w:val="22"/>
          <w:szCs w:val="22"/>
          <w:color w:val="auto"/>
          <w:vertAlign w:val="superscript"/>
        </w:rPr>
        <w:t>™</w:t>
      </w:r>
      <w:r>
        <w:rPr>
          <w:rFonts w:ascii="Arial" w:cs="Arial" w:eastAsia="Arial" w:hAnsi="Arial"/>
          <w:sz w:val="14"/>
          <w:szCs w:val="14"/>
          <w:color w:val="auto"/>
        </w:rPr>
        <w:t xml:space="preserve"> symbol, but such references are not intended to indicate in any way that the Company will not assert, to the fullest extent under applicable law, LivaNova’s rights to these trademarks and trade names.</w:t>
      </w: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4"/>
          <w:szCs w:val="14"/>
          <w:b w:val="1"/>
          <w:bCs w:val="1"/>
          <w:color w:val="auto"/>
        </w:rPr>
        <w:t>CAUTIONARY NOTE ABOUT FORWARD-LOOKING STATEMENTS</w:t>
      </w:r>
    </w:p>
    <w:p>
      <w:pPr>
        <w:spacing w:after="0" w:line="129" w:lineRule="exact"/>
        <w:rPr>
          <w:sz w:val="20"/>
          <w:szCs w:val="20"/>
          <w:color w:val="auto"/>
        </w:rPr>
      </w:pPr>
    </w:p>
    <w:p>
      <w:pPr>
        <w:ind w:firstLine="127"/>
        <w:spacing w:after="0" w:line="310" w:lineRule="auto"/>
        <w:rPr>
          <w:sz w:val="20"/>
          <w:szCs w:val="20"/>
          <w:color w:val="auto"/>
        </w:rPr>
      </w:pPr>
      <w:r>
        <w:rPr>
          <w:rFonts w:ascii="Arial" w:cs="Arial" w:eastAsia="Arial" w:hAnsi="Arial"/>
          <w:sz w:val="12"/>
          <w:szCs w:val="12"/>
          <w:color w:val="auto"/>
        </w:rPr>
        <w:t>Certain statements in this Quarterly Report on Form 10-Q,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Quarterly Report on Form 10-Q, and include, but are not limited to, the following risks and uncertainties: risks related to reductions, interruptions or increasing costs related to the supply of raw materials and components and the distribution of finished products, including as a result of inflation, war and extreme weather; volatility in the global market and worldwide economic conditions, including as caused by the invasion of Ukraine, inflation, foreign exchange fluctuations, changes to existing trade agreements and relationships between the U.S. and other countries including the implementation of sanctions; changes in technology, including the development of superior or alternative 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risks relating to recalls, enforcement actions or product liability claims; changes or reduction in reimbursement for the Company’s products or failure to comply with rules relating to reimbursement of healthcare goods and services; cyber-attacks or other disruptions to the Company’s information technology systems or those of third parties with which the Company interacts; costs of complying with privacy and security of personal information requirements and laws; failure to comply with anti-bribery laws; risks associated with environmental laws and regulations as well as environmental liabilities, violations, protest voting and litigation; losses or costs from pending or future lawsuits and governmental investigations, including in the case of the Company’s 3T Heater-Cooler and SNIA litigations;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the impact of climate change and the risk of environmental, social and governance pressures from internal and external stakeholders; the risk of quality concerns and the impacts thereof; failure to protect the Company’s proprietary intellectual property; the potential loss of funds resulting from recent and potential future bank failures; failure of new acquisitions to further the Company’s strategic objectives or strengthen the Company’s existing businesses; the potential for impairments of intangible assets and goodwill; risks relating to the Company’s indebtedness including under the exchangeable senior notes, the Company’s revolving credit facility and the Company’s 2022 Term Facilities, as defined herein;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spacing w:after="0" w:line="200" w:lineRule="exact"/>
        <w:rPr>
          <w:sz w:val="20"/>
          <w:szCs w:val="20"/>
          <w:color w:val="auto"/>
        </w:rPr>
      </w:pPr>
    </w:p>
    <w:p>
      <w:pPr>
        <w:spacing w:after="0" w:line="205" w:lineRule="exact"/>
        <w:rPr>
          <w:sz w:val="20"/>
          <w:szCs w:val="20"/>
          <w:color w:val="auto"/>
        </w:rPr>
      </w:pPr>
    </w:p>
    <w:p>
      <w:pPr>
        <w:jc w:val="both"/>
        <w:ind w:right="480" w:firstLine="127"/>
        <w:spacing w:after="0" w:line="275" w:lineRule="auto"/>
        <w:rPr>
          <w:sz w:val="20"/>
          <w:szCs w:val="20"/>
          <w:color w:val="auto"/>
        </w:rPr>
      </w:pPr>
      <w:r>
        <w:rPr>
          <w:rFonts w:ascii="Arial" w:cs="Arial" w:eastAsia="Arial" w:hAnsi="Arial"/>
          <w:sz w:val="14"/>
          <w:szCs w:val="14"/>
          <w:color w:val="auto"/>
        </w:rPr>
        <w:t>Other factors that could cause LivaNova’s actual results to differ from projected results are described in (1) “Part II, Item 1A. Risk Factors” and elsewhere in this and the Company’s other Quarterly Reports on Form 10-Q, (2) the Company’s 2022 Form 10-K, (3) the Company’s reports and registration statements filed and furnished from time to time with the SEC and (4) other announcements LivaNova makes from time to time.</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72" w:right="359" w:bottom="1440" w:gutter="0" w:footer="0" w:header="0"/>
        </w:sectPr>
      </w:pPr>
    </w:p>
    <w:bookmarkStart w:id="5" w:name="page6"/>
    <w:bookmarkEnd w:id="5"/>
    <w:p>
      <w:pPr>
        <w:ind w:firstLine="127"/>
        <w:spacing w:after="0" w:line="327" w:lineRule="auto"/>
        <w:rPr>
          <w:sz w:val="20"/>
          <w:szCs w:val="20"/>
          <w:color w:val="auto"/>
        </w:rPr>
      </w:pPr>
      <w:r>
        <w:rPr>
          <w:rFonts w:ascii="Arial" w:cs="Arial" w:eastAsia="Arial" w:hAnsi="Arial"/>
          <w:sz w:val="12"/>
          <w:szCs w:val="12"/>
          <w:color w:val="auto"/>
        </w:rPr>
        <w:t>Readers are cautioned not to place undue reliance on the Company’s forward-looking statements, which speak only as of the date hereof. The Company undertakes no obligation to update or revise any forward-looking statements after the date they are made, whether as a result of new information, future events or otherwise. You should read the following discussion and analysis in conjunction with the Company’s unaudited condensed consolidated financial statements and related notes included elsewhere in this report. Operating results for the six months ended June 30, 2023 are not necessarily indicative of future results, including the full fiscal year. You should also refer to the Company’s “Annual Consolidated Financial Statements,” “Notes” thereto, “Management’s Discussion and Analysis of Financial Condition and Results of Operations” and “Risk Factors” contained in LivaNova’s 2022 Form 10-K and in the Company’s Quarterly Reports on Form 10-Q.</w:t>
      </w:r>
    </w:p>
    <w:p>
      <w:pPr>
        <w:spacing w:after="0" w:line="64"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Financial Information and Currency of Financial Statements</w:t>
      </w:r>
    </w:p>
    <w:p>
      <w:pPr>
        <w:spacing w:after="0" w:line="129" w:lineRule="exact"/>
        <w:rPr>
          <w:sz w:val="20"/>
          <w:szCs w:val="20"/>
          <w:color w:val="auto"/>
        </w:rPr>
      </w:pPr>
    </w:p>
    <w:p>
      <w:pPr>
        <w:ind w:right="380" w:firstLine="127"/>
        <w:spacing w:after="0" w:line="297" w:lineRule="auto"/>
        <w:rPr>
          <w:sz w:val="20"/>
          <w:szCs w:val="20"/>
          <w:color w:val="auto"/>
        </w:rPr>
      </w:pPr>
      <w:r>
        <w:rPr>
          <w:rFonts w:ascii="Arial" w:cs="Arial" w:eastAsia="Arial" w:hAnsi="Arial"/>
          <w:sz w:val="14"/>
          <w:szCs w:val="14"/>
          <w:color w:val="auto"/>
        </w:rPr>
        <w:t>All of the financial information included in this quarterly report has been prepared in accordance with U.S. GAAP. The reporting currency of the Company’s condensed consolidated financial statements is USD.</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PART I. FINANCIAL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58"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LIVANOVA PLC AND SUBSIDIARIES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CONDENSED CONSOLIDATED STATEMENTS OF INCOME</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(UNAUDITED)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49"/>
              <w:spacing w:after="0"/>
              <w:rPr>
                <w:sz w:val="20"/>
                <w:szCs w:val="20"/>
                <w:color w:val="auto"/>
              </w:rPr>
            </w:pPr>
            <w:r>
              <w:rPr>
                <w:rFonts w:ascii="Arial" w:cs="Arial" w:eastAsia="Arial" w:hAnsi="Arial"/>
                <w:sz w:val="14"/>
                <w:szCs w:val="14"/>
                <w:b w:val="1"/>
                <w:bCs w:val="1"/>
                <w:color w:val="auto"/>
              </w:rPr>
              <w:t>Six Months Ended June 30,</w:t>
            </w:r>
          </w:p>
        </w:tc>
      </w:tr>
      <w:tr>
        <w:trPr>
          <w:trHeight w:val="178"/>
        </w:trPr>
        <w:tc>
          <w:tcPr>
            <w:tcW w:w="50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r>
      <w:tr>
        <w:trPr>
          <w:trHeight w:val="174"/>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940" w:type="dxa"/>
            <w:vAlign w:val="bottom"/>
            <w:tcBorders>
              <w:top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293,882</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254,151</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557,300</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494,326</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88,685</w:t>
            </w: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69,801</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178,020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141,533</w:t>
            </w:r>
          </w:p>
        </w:tc>
      </w:tr>
      <w:tr>
        <w:trPr>
          <w:trHeight w:val="182"/>
        </w:trPr>
        <w:tc>
          <w:tcPr>
            <w:tcW w:w="5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Gross profit</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205,197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184,350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379,280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352,793</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1"/>
        </w:trPr>
        <w:tc>
          <w:tcPr>
            <w:tcW w:w="5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Selling, general and administrative</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125,872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116,482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235,007</w:t>
            </w:r>
          </w:p>
        </w:tc>
      </w:tr>
      <w:tr>
        <w:trPr>
          <w:trHeight w:val="185"/>
        </w:trPr>
        <w:tc>
          <w:tcPr>
            <w:tcW w:w="5000" w:type="dxa"/>
            <w:vAlign w:val="bottom"/>
          </w:tcPr>
          <w:p>
            <w:pPr>
              <w:ind w:left="120"/>
              <w:spacing w:after="0"/>
              <w:rPr>
                <w:sz w:val="20"/>
                <w:szCs w:val="20"/>
                <w:color w:val="auto"/>
              </w:rPr>
            </w:pPr>
            <w:r>
              <w:rPr>
                <w:rFonts w:ascii="Arial" w:cs="Arial" w:eastAsia="Arial" w:hAnsi="Arial"/>
                <w:sz w:val="14"/>
                <w:szCs w:val="14"/>
                <w:color w:val="auto"/>
              </w:rPr>
              <w:t>Research and development</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51,124</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34,229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101,110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75,147</w:t>
            </w:r>
          </w:p>
        </w:tc>
      </w:tr>
      <w:tr>
        <w:trPr>
          <w:trHeight w:val="186"/>
        </w:trPr>
        <w:tc>
          <w:tcPr>
            <w:tcW w:w="5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operating expense</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10,825</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1,378</w:t>
            </w:r>
          </w:p>
        </w:tc>
      </w:tr>
      <w:tr>
        <w:trPr>
          <w:trHeight w:val="171"/>
        </w:trPr>
        <w:tc>
          <w:tcPr>
            <w:tcW w:w="5000" w:type="dxa"/>
            <w:vAlign w:val="bottom"/>
          </w:tcPr>
          <w:p>
            <w:pPr>
              <w:ind w:left="180"/>
              <w:spacing w:after="0"/>
              <w:rPr>
                <w:sz w:val="20"/>
                <w:szCs w:val="20"/>
                <w:color w:val="auto"/>
              </w:rPr>
            </w:pPr>
            <w:r>
              <w:rPr>
                <w:rFonts w:ascii="Arial" w:cs="Arial" w:eastAsia="Arial" w:hAnsi="Arial"/>
                <w:sz w:val="14"/>
                <w:szCs w:val="14"/>
                <w:color w:val="auto"/>
              </w:rPr>
              <w:t>Operating income</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17,376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31,756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15,034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41,261</w:t>
            </w:r>
          </w:p>
        </w:tc>
      </w:tr>
      <w:tr>
        <w:trPr>
          <w:trHeight w:val="19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(14,809)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(14,388)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(28,246)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(22,228)</w:t>
            </w:r>
          </w:p>
        </w:tc>
      </w:tr>
      <w:tr>
        <w:trPr>
          <w:trHeight w:val="18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exchange and other income/(expense)</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28,260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5,537</w:t>
            </w:r>
          </w:p>
        </w:tc>
      </w:tr>
      <w:tr>
        <w:trPr>
          <w:trHeight w:val="171"/>
        </w:trPr>
        <w:tc>
          <w:tcPr>
            <w:tcW w:w="5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before tax</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19,001</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24,570</w:t>
            </w:r>
          </w:p>
        </w:tc>
      </w:tr>
      <w:tr>
        <w:trPr>
          <w:trHeight w:val="185"/>
        </w:trPr>
        <w:tc>
          <w:tcPr>
            <w:tcW w:w="50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4,097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5,052</w:t>
            </w:r>
          </w:p>
        </w:tc>
      </w:tr>
      <w:tr>
        <w:trPr>
          <w:trHeight w:val="186"/>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Losses from equity method investments</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71"/>
        </w:trPr>
        <w:tc>
          <w:tcPr>
            <w:tcW w:w="50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16,444</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19,437</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5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5"/>
        </w:trPr>
        <w:tc>
          <w:tcPr>
            <w:tcW w:w="5000" w:type="dxa"/>
            <w:vAlign w:val="bottom"/>
          </w:tcPr>
          <w:p>
            <w:pPr>
              <w:ind w:left="20"/>
              <w:spacing w:after="0"/>
              <w:rPr>
                <w:sz w:val="20"/>
                <w:szCs w:val="20"/>
                <w:color w:val="auto"/>
              </w:rPr>
            </w:pPr>
            <w:r>
              <w:rPr>
                <w:rFonts w:ascii="Arial" w:cs="Arial" w:eastAsia="Arial" w:hAnsi="Arial"/>
                <w:sz w:val="14"/>
                <w:szCs w:val="14"/>
                <w:color w:val="auto"/>
              </w:rPr>
              <w:t>Basic income per share</w:t>
            </w:r>
          </w:p>
        </w:tc>
        <w:tc>
          <w:tcPr>
            <w:tcW w:w="940" w:type="dxa"/>
            <w:vAlign w:val="bottom"/>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0.02</w:t>
            </w:r>
          </w:p>
        </w:tc>
        <w:tc>
          <w:tcPr>
            <w:tcW w:w="1020" w:type="dxa"/>
            <w:vAlign w:val="bottom"/>
            <w:gridSpan w:val="2"/>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0.31</w:t>
            </w: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0.16</w:t>
            </w: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0.36</w:t>
            </w:r>
          </w:p>
        </w:tc>
      </w:tr>
      <w:tr>
        <w:trPr>
          <w:trHeight w:val="186"/>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income per share</w:t>
            </w: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20" w:type="dxa"/>
            <w:vAlign w:val="bottom"/>
            <w:gridSpan w:val="2"/>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r>
      <w:tr>
        <w:trPr>
          <w:trHeight w:val="212"/>
        </w:trPr>
        <w:tc>
          <w:tcPr>
            <w:tcW w:w="5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0"/>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used in computing basic income per share</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53,803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53,506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53,420</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Shares used in computing diluted income per share</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53,977</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54,080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53,942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54,144</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4"/>
          <w:szCs w:val="14"/>
          <w:b w:val="1"/>
          <w:bCs w:val="1"/>
          <w:color w:val="auto"/>
        </w:rPr>
        <w:t>LIVANOVA PLC AND SUBSIDIARIES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CONDENSED CONSOLIDATED STATEMENTS OF COMPREHENSIVE INCOME (LOSS)</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(UNAUDITED)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49"/>
              <w:spacing w:after="0"/>
              <w:rPr>
                <w:sz w:val="20"/>
                <w:szCs w:val="20"/>
                <w:color w:val="auto"/>
              </w:rPr>
            </w:pPr>
            <w:r>
              <w:rPr>
                <w:rFonts w:ascii="Arial" w:cs="Arial" w:eastAsia="Arial" w:hAnsi="Arial"/>
                <w:sz w:val="14"/>
                <w:szCs w:val="14"/>
                <w:b w:val="1"/>
                <w:bCs w:val="1"/>
                <w:color w:val="auto"/>
              </w:rPr>
              <w:t>Six Months Ended June 30,</w:t>
            </w:r>
          </w:p>
        </w:tc>
      </w:tr>
      <w:tr>
        <w:trPr>
          <w:trHeight w:val="178"/>
        </w:trPr>
        <w:tc>
          <w:tcPr>
            <w:tcW w:w="500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Arial" w:cs="Arial" w:eastAsia="Arial" w:hAnsi="Arial"/>
                <w:sz w:val="14"/>
                <w:szCs w:val="14"/>
                <w:b w:val="1"/>
                <w:bCs w:val="1"/>
                <w:color w:val="auto"/>
              </w:rPr>
              <w:t>2022</w:t>
            </w:r>
          </w:p>
        </w:tc>
      </w:tr>
      <w:tr>
        <w:trPr>
          <w:trHeight w:val="174"/>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tcBorders>
              <w:top w:val="single" w:sz="8" w:color="auto"/>
            </w:tcBorders>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16,444</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8,525</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19,437</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unrealized loss on derivatives</w:t>
            </w: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w:t>
            </w:r>
          </w:p>
        </w:tc>
      </w:tr>
      <w:tr>
        <w:trPr>
          <w:trHeight w:val="180"/>
        </w:trPr>
        <w:tc>
          <w:tcPr>
            <w:tcW w:w="50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Tax effect</w:t>
            </w: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5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of tax</w:t>
            </w: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w:t>
            </w:r>
          </w:p>
        </w:tc>
      </w:tr>
      <w:tr>
        <w:trPr>
          <w:trHeight w:val="191"/>
        </w:trPr>
        <w:tc>
          <w:tcPr>
            <w:tcW w:w="50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5,453</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(37,506)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(45,766)</w:t>
            </w:r>
          </w:p>
        </w:tc>
      </w:tr>
      <w:tr>
        <w:trPr>
          <w:trHeight w:val="17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w:t>
            </w:r>
          </w:p>
        </w:tc>
        <w:tc>
          <w:tcPr>
            <w:tcW w:w="10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5,453</w:t>
            </w: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(38,738)</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12,540</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(47,693)</w:t>
            </w:r>
          </w:p>
        </w:tc>
      </w:tr>
      <w:tr>
        <w:trPr>
          <w:trHeight w:val="171"/>
        </w:trPr>
        <w:tc>
          <w:tcPr>
            <w:tcW w:w="5000" w:type="dxa"/>
            <w:vAlign w:val="bottom"/>
          </w:tcPr>
          <w:p>
            <w:pPr>
              <w:ind w:left="20"/>
              <w:spacing w:after="0"/>
              <w:rPr>
                <w:sz w:val="20"/>
                <w:szCs w:val="20"/>
                <w:color w:val="auto"/>
              </w:rPr>
            </w:pPr>
            <w:r>
              <w:rPr>
                <w:rFonts w:ascii="Arial" w:cs="Arial" w:eastAsia="Arial" w:hAnsi="Arial"/>
                <w:sz w:val="14"/>
                <w:szCs w:val="14"/>
                <w:color w:val="auto"/>
              </w:rPr>
              <w:t>Total comprehensive income (loss)</w:t>
            </w:r>
          </w:p>
        </w:tc>
        <w:tc>
          <w:tcPr>
            <w:tcW w:w="100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6,608</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(22,294)</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21,065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(28,256)</w:t>
            </w:r>
          </w:p>
        </w:tc>
      </w:tr>
      <w:tr>
        <w:trPr>
          <w:trHeight w:val="20"/>
        </w:trPr>
        <w:tc>
          <w:tcPr>
            <w:tcW w:w="5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See accompanying notes to the condensed consolidated financial statements</w:t>
      </w:r>
    </w:p>
    <w:p>
      <w:pPr>
        <w:jc w:val="center"/>
        <w:ind w:right="-1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4"/>
          <w:szCs w:val="14"/>
          <w:b w:val="1"/>
          <w:bCs w:val="1"/>
          <w:color w:val="auto"/>
        </w:rPr>
        <w:t>LIVANOVA PLC AND SUBSIDIARIES</w:t>
      </w:r>
    </w:p>
    <w:p>
      <w:pPr>
        <w:jc w:val="center"/>
        <w:ind w:right="-139"/>
        <w:spacing w:after="0" w:line="221" w:lineRule="auto"/>
        <w:rPr>
          <w:sz w:val="20"/>
          <w:szCs w:val="20"/>
          <w:color w:val="auto"/>
        </w:rPr>
      </w:pPr>
      <w:r>
        <w:rPr>
          <w:rFonts w:ascii="Arial" w:cs="Arial" w:eastAsia="Arial" w:hAnsi="Arial"/>
          <w:sz w:val="14"/>
          <w:szCs w:val="14"/>
          <w:b w:val="1"/>
          <w:bCs w:val="1"/>
          <w:color w:val="auto"/>
        </w:rPr>
        <w:t>CONDENSED CONSOLIDATED BALANCE SHEETS</w:t>
      </w:r>
    </w:p>
    <w:p>
      <w:pPr>
        <w:jc w:val="center"/>
        <w:ind w:right="-139"/>
        <w:spacing w:after="0" w:line="208"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(In thousands, except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1"/>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1380" w:type="dxa"/>
            <w:vAlign w:val="bottom"/>
            <w:shd w:val="clear" w:color="auto" w:fill="CCEEFF"/>
          </w:tcPr>
          <w:p>
            <w:pPr>
              <w:jc w:val="right"/>
              <w:ind w:right="1235"/>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222,935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214,172</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Arial" w:cs="Arial" w:eastAsia="Arial" w:hAnsi="Arial"/>
                <w:sz w:val="13"/>
                <w:szCs w:val="13"/>
                <w:color w:val="auto"/>
              </w:rPr>
              <w:t>Restricted cash</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311,425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301,446</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receivable, net of allowance of $11,610 at June 30, 2023 and $11,862 at December 31, 2022</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185,881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183,110</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Arial" w:cs="Arial" w:eastAsia="Arial" w:hAnsi="Arial"/>
                <w:sz w:val="13"/>
                <w:szCs w:val="13"/>
                <w:color w:val="auto"/>
              </w:rPr>
              <w:t>Inventories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156,446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129,379</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Prepaid and refundable taxes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26,302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31,708</w:t>
            </w:r>
          </w:p>
        </w:tc>
        <w:tc>
          <w:tcPr>
            <w:tcW w:w="0" w:type="dxa"/>
            <w:vAlign w:val="bottom"/>
          </w:tcPr>
          <w:p>
            <w:pPr>
              <w:spacing w:after="0"/>
              <w:rPr>
                <w:sz w:val="1"/>
                <w:szCs w:val="1"/>
                <w:color w:val="auto"/>
              </w:rPr>
            </w:pPr>
          </w:p>
        </w:tc>
      </w:tr>
      <w:tr>
        <w:trPr>
          <w:trHeight w:val="170"/>
        </w:trPr>
        <w:tc>
          <w:tcPr>
            <w:tcW w:w="7300" w:type="dxa"/>
            <w:vAlign w:val="bottom"/>
          </w:tcPr>
          <w:p>
            <w:pPr>
              <w:ind w:left="120"/>
              <w:spacing w:after="0"/>
              <w:rPr>
                <w:sz w:val="20"/>
                <w:szCs w:val="20"/>
                <w:color w:val="auto"/>
              </w:rPr>
            </w:pPr>
            <w:r>
              <w:rPr>
                <w:rFonts w:ascii="Arial" w:cs="Arial" w:eastAsia="Arial" w:hAnsi="Arial"/>
                <w:sz w:val="13"/>
                <w:szCs w:val="13"/>
                <w:color w:val="auto"/>
              </w:rPr>
              <w:t>Prepaid expenses and other current assets</w:t>
            </w:r>
          </w:p>
        </w:tc>
        <w:tc>
          <w:tcPr>
            <w:tcW w:w="1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38,846</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26,321</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Current Assets</w:t>
            </w:r>
          </w:p>
        </w:tc>
        <w:tc>
          <w:tcPr>
            <w:tcW w:w="13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941,835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886,136</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Arial" w:cs="Arial" w:eastAsia="Arial" w:hAnsi="Arial"/>
                <w:sz w:val="13"/>
                <w:szCs w:val="13"/>
                <w:color w:val="auto"/>
              </w:rPr>
              <w:t>Property, plant and equipment, net</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149,568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147,187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779,212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768,787</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357,420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368,559</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assets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35,830</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Arial" w:cs="Arial" w:eastAsia="Arial" w:hAnsi="Arial"/>
                <w:sz w:val="13"/>
                <w:szCs w:val="13"/>
                <w:color w:val="auto"/>
              </w:rPr>
              <w:t>Investments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21,726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16,266</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1,384</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Arial" w:cs="Arial" w:eastAsia="Arial" w:hAnsi="Arial"/>
                <w:sz w:val="13"/>
                <w:szCs w:val="13"/>
                <w:color w:val="auto"/>
              </w:rPr>
              <w:t>Long-term derivative assets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42,034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54,393</w:t>
            </w:r>
          </w:p>
        </w:tc>
        <w:tc>
          <w:tcPr>
            <w:tcW w:w="0" w:type="dxa"/>
            <w:vAlign w:val="bottom"/>
          </w:tcPr>
          <w:p>
            <w:pPr>
              <w:spacing w:after="0"/>
              <w:rPr>
                <w:sz w:val="1"/>
                <w:szCs w:val="1"/>
                <w:color w:val="auto"/>
              </w:rPr>
            </w:pPr>
          </w:p>
        </w:tc>
      </w:tr>
      <w:tr>
        <w:trPr>
          <w:trHeight w:val="172"/>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13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13,478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16,231</w:t>
            </w:r>
          </w:p>
        </w:tc>
        <w:tc>
          <w:tcPr>
            <w:tcW w:w="0" w:type="dxa"/>
            <w:vAlign w:val="bottom"/>
          </w:tcPr>
          <w:p>
            <w:pPr>
              <w:spacing w:after="0"/>
              <w:rPr>
                <w:sz w:val="1"/>
                <w:szCs w:val="1"/>
                <w:color w:val="auto"/>
              </w:rPr>
            </w:pPr>
          </w:p>
        </w:tc>
      </w:tr>
      <w:tr>
        <w:trPr>
          <w:trHeight w:val="160"/>
        </w:trPr>
        <w:tc>
          <w:tcPr>
            <w:tcW w:w="7300" w:type="dxa"/>
            <w:vAlign w:val="bottom"/>
          </w:tcPr>
          <w:p>
            <w:pPr>
              <w:ind w:left="180"/>
              <w:spacing w:after="0"/>
              <w:rPr>
                <w:sz w:val="20"/>
                <w:szCs w:val="20"/>
                <w:color w:val="auto"/>
              </w:rPr>
            </w:pPr>
            <w:r>
              <w:rPr>
                <w:rFonts w:ascii="Arial" w:cs="Arial" w:eastAsia="Arial" w:hAnsi="Arial"/>
                <w:sz w:val="13"/>
                <w:szCs w:val="13"/>
                <w:color w:val="auto"/>
              </w:rPr>
              <w:t>Total Assets</w:t>
            </w:r>
          </w:p>
        </w:tc>
        <w:tc>
          <w:tcPr>
            <w:tcW w:w="1380" w:type="dxa"/>
            <w:vAlign w:val="bottom"/>
          </w:tcPr>
          <w:p>
            <w:pPr>
              <w:jc w:val="right"/>
              <w:ind w:right="1235"/>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82"/>
              </w:rPr>
              <w:t>2,341,555</w:t>
            </w: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2,294,773</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LIABILITIES AND STOCKHOLDERS' EQUITY</w:t>
            </w:r>
          </w:p>
        </w:tc>
        <w:tc>
          <w:tcPr>
            <w:tcW w:w="1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Current debt obligations</w:t>
            </w:r>
          </w:p>
        </w:tc>
        <w:tc>
          <w:tcPr>
            <w:tcW w:w="1380" w:type="dxa"/>
            <w:vAlign w:val="bottom"/>
            <w:shd w:val="clear" w:color="auto" w:fill="CCEEFF"/>
          </w:tcPr>
          <w:p>
            <w:pPr>
              <w:jc w:val="right"/>
              <w:ind w:right="1235"/>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19,074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23,434</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Arial" w:cs="Arial" w:eastAsia="Arial" w:hAnsi="Arial"/>
                <w:sz w:val="13"/>
                <w:szCs w:val="13"/>
                <w:color w:val="auto"/>
              </w:rPr>
              <w:t>Accounts payable</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78,212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74,310</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Accrued liabilities and other</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82,038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81,481</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Arial" w:cs="Arial" w:eastAsia="Arial" w:hAnsi="Arial"/>
                <w:sz w:val="13"/>
                <w:szCs w:val="13"/>
                <w:color w:val="auto"/>
              </w:rPr>
              <w:t>Current litigation provision liability</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22,352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29,481</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Taxes payable</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16,505</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Accrued employee compensation and related benefits</w:t>
            </w:r>
          </w:p>
        </w:tc>
        <w:tc>
          <w:tcPr>
            <w:tcW w:w="1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66,646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72,187</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Current Liabilities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288,164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297,398</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Arial" w:cs="Arial" w:eastAsia="Arial" w:hAnsi="Arial"/>
                <w:sz w:val="13"/>
                <w:szCs w:val="13"/>
                <w:color w:val="auto"/>
              </w:rPr>
              <w:t>Long-term debt obligations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567,951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518,067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Contingent consideration</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85,292</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Arial" w:cs="Arial" w:eastAsia="Arial" w:hAnsi="Arial"/>
                <w:sz w:val="13"/>
                <w:szCs w:val="13"/>
                <w:color w:val="auto"/>
              </w:rPr>
              <w:t>Deferred tax liabilities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8,924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8,516</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operating lease liabilities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29,548</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Arial" w:cs="Arial" w:eastAsia="Arial" w:hAnsi="Arial"/>
                <w:sz w:val="13"/>
                <w:szCs w:val="13"/>
                <w:color w:val="auto"/>
              </w:rPr>
              <w:t>Long-term employee compensation and related benefits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16,720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16,804</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derivative liabilities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85,675</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liabilities</w:t>
            </w:r>
          </w:p>
        </w:tc>
        <w:tc>
          <w:tcPr>
            <w:tcW w:w="1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45,628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45,849</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Liabilities</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1,100,947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1,087,149</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Arial" w:cs="Arial" w:eastAsia="Arial" w:hAnsi="Arial"/>
                <w:sz w:val="13"/>
                <w:szCs w:val="13"/>
                <w:color w:val="auto"/>
              </w:rPr>
              <w:t>Commitments and contingencies (Note 7)</w:t>
            </w: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Stockholders’ Equity:</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300" w:type="dxa"/>
            <w:vAlign w:val="bottom"/>
          </w:tcPr>
          <w:p>
            <w:pPr>
              <w:ind w:left="20"/>
              <w:spacing w:after="0" w:line="131" w:lineRule="exact"/>
              <w:rPr>
                <w:sz w:val="20"/>
                <w:szCs w:val="20"/>
                <w:color w:val="auto"/>
              </w:rPr>
            </w:pPr>
            <w:r>
              <w:rPr>
                <w:rFonts w:ascii="Arial" w:cs="Arial" w:eastAsia="Arial" w:hAnsi="Arial"/>
                <w:sz w:val="13"/>
                <w:szCs w:val="13"/>
                <w:color w:val="auto"/>
                <w:w w:val="92"/>
              </w:rPr>
              <w:t>Ordinary Shares, £1.00 par value: unlimited shares authorized; 53,903,564 shares issued and 53,830,387 shares outstanding at June 30,</w:t>
            </w:r>
          </w:p>
        </w:tc>
        <w:tc>
          <w:tcPr>
            <w:tcW w:w="13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82,441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vMerge w:val="restart"/>
          </w:tcPr>
          <w:p>
            <w:pPr>
              <w:jc w:val="right"/>
              <w:spacing w:after="0"/>
              <w:rPr>
                <w:sz w:val="20"/>
                <w:szCs w:val="20"/>
                <w:color w:val="auto"/>
              </w:rPr>
            </w:pPr>
            <w:r>
              <w:rPr>
                <w:rFonts w:ascii="Arial" w:cs="Arial" w:eastAsia="Arial" w:hAnsi="Arial"/>
                <w:sz w:val="13"/>
                <w:szCs w:val="13"/>
                <w:color w:val="auto"/>
              </w:rPr>
              <w:t>82,424</w:t>
            </w:r>
          </w:p>
        </w:tc>
        <w:tc>
          <w:tcPr>
            <w:tcW w:w="0" w:type="dxa"/>
            <w:vAlign w:val="bottom"/>
          </w:tcPr>
          <w:p>
            <w:pPr>
              <w:spacing w:after="0"/>
              <w:rPr>
                <w:sz w:val="1"/>
                <w:szCs w:val="1"/>
                <w:color w:val="auto"/>
              </w:rPr>
            </w:pPr>
          </w:p>
        </w:tc>
      </w:tr>
      <w:tr>
        <w:trPr>
          <w:trHeight w:val="164"/>
        </w:trPr>
        <w:tc>
          <w:tcPr>
            <w:tcW w:w="7300" w:type="dxa"/>
            <w:vAlign w:val="bottom"/>
          </w:tcPr>
          <w:p>
            <w:pPr>
              <w:ind w:left="20"/>
              <w:spacing w:after="0"/>
              <w:rPr>
                <w:sz w:val="20"/>
                <w:szCs w:val="20"/>
                <w:color w:val="auto"/>
              </w:rPr>
            </w:pPr>
            <w:r>
              <w:rPr>
                <w:rFonts w:ascii="Arial" w:cs="Arial" w:eastAsia="Arial" w:hAnsi="Arial"/>
                <w:sz w:val="13"/>
                <w:szCs w:val="13"/>
                <w:color w:val="auto"/>
              </w:rPr>
              <w:t>2023; 53,851,979 shares issued and 53,564,664 shares outstanding at December 31, 2022</w:t>
            </w:r>
          </w:p>
        </w:tc>
        <w:tc>
          <w:tcPr>
            <w:tcW w:w="1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Additional paid-in capital</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2,169,346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2,157,724</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Arial" w:cs="Arial" w:eastAsia="Arial" w:hAnsi="Arial"/>
                <w:sz w:val="13"/>
                <w:szCs w:val="13"/>
                <w:color w:val="auto"/>
              </w:rPr>
              <w:t>Accumulated other comprehensive loss</w:t>
            </w:r>
          </w:p>
        </w:tc>
        <w:tc>
          <w:tcPr>
            <w:tcW w:w="1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(35,579)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(48,119)</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deficit</w:t>
            </w: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(975,505)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(984,030)</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Treasury stock at cost, 73,177 ordinary shares at June 30, 2023; 287,315 ordinary shares at December 31, 2022</w:t>
            </w:r>
          </w:p>
        </w:tc>
        <w:tc>
          <w:tcPr>
            <w:tcW w:w="1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Stockholders’ Equity</w:t>
            </w:r>
          </w:p>
        </w:tc>
        <w:tc>
          <w:tcPr>
            <w:tcW w:w="13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1,240,608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1,207,624</w:t>
            </w:r>
          </w:p>
        </w:tc>
        <w:tc>
          <w:tcPr>
            <w:tcW w:w="0" w:type="dxa"/>
            <w:vAlign w:val="bottom"/>
          </w:tcPr>
          <w:p>
            <w:pPr>
              <w:spacing w:after="0"/>
              <w:rPr>
                <w:sz w:val="1"/>
                <w:szCs w:val="1"/>
                <w:color w:val="auto"/>
              </w:rPr>
            </w:pPr>
          </w:p>
        </w:tc>
      </w:tr>
      <w:tr>
        <w:trPr>
          <w:trHeight w:val="163"/>
        </w:trPr>
        <w:tc>
          <w:tcPr>
            <w:tcW w:w="7300" w:type="dxa"/>
            <w:vAlign w:val="bottom"/>
          </w:tcPr>
          <w:p>
            <w:pPr>
              <w:ind w:left="180"/>
              <w:spacing w:after="0"/>
              <w:rPr>
                <w:sz w:val="20"/>
                <w:szCs w:val="20"/>
                <w:color w:val="auto"/>
              </w:rPr>
            </w:pPr>
            <w:r>
              <w:rPr>
                <w:rFonts w:ascii="Arial" w:cs="Arial" w:eastAsia="Arial" w:hAnsi="Arial"/>
                <w:sz w:val="13"/>
                <w:szCs w:val="13"/>
                <w:color w:val="auto"/>
              </w:rPr>
              <w:t>Total Liabilities and Stockholders’ Equity</w:t>
            </w:r>
          </w:p>
        </w:tc>
        <w:tc>
          <w:tcPr>
            <w:tcW w:w="1380" w:type="dxa"/>
            <w:vAlign w:val="bottom"/>
          </w:tcPr>
          <w:p>
            <w:pPr>
              <w:jc w:val="right"/>
              <w:ind w:right="1235"/>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82"/>
              </w:rPr>
              <w:t>2,341,555</w:t>
            </w: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2,294,773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16"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0"/>
        </w:trPr>
        <w:tc>
          <w:tcPr>
            <w:tcW w:w="4360" w:type="dxa"/>
            <w:vAlign w:val="bottom"/>
          </w:tcPr>
          <w:p>
            <w:pPr>
              <w:spacing w:after="0"/>
              <w:rPr>
                <w:sz w:val="15"/>
                <w:szCs w:val="15"/>
                <w:color w:val="auto"/>
              </w:rPr>
            </w:pPr>
          </w:p>
        </w:tc>
        <w:tc>
          <w:tcPr>
            <w:tcW w:w="4080" w:type="dxa"/>
            <w:vAlign w:val="bottom"/>
            <w:gridSpan w:val="2"/>
          </w:tcPr>
          <w:p>
            <w:pPr>
              <w:jc w:val="center"/>
              <w:ind w:right="1309"/>
              <w:spacing w:after="0"/>
              <w:rPr>
                <w:sz w:val="20"/>
                <w:szCs w:val="20"/>
                <w:color w:val="auto"/>
              </w:rPr>
            </w:pPr>
            <w:r>
              <w:rPr>
                <w:rFonts w:ascii="Arial" w:cs="Arial" w:eastAsia="Arial" w:hAnsi="Arial"/>
                <w:sz w:val="14"/>
                <w:szCs w:val="14"/>
                <w:b w:val="1"/>
                <w:bCs w:val="1"/>
                <w:color w:val="auto"/>
              </w:rPr>
              <w:t>LIVANOVA PLC AND SUBSIDIARIES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8440" w:type="dxa"/>
            <w:vAlign w:val="bottom"/>
            <w:gridSpan w:val="3"/>
          </w:tcPr>
          <w:p>
            <w:pPr>
              <w:jc w:val="center"/>
              <w:ind w:left="2916"/>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4360" w:type="dxa"/>
            <w:vAlign w:val="bottom"/>
          </w:tcPr>
          <w:p>
            <w:pPr>
              <w:spacing w:after="0"/>
              <w:rPr>
                <w:sz w:val="16"/>
                <w:szCs w:val="16"/>
                <w:color w:val="auto"/>
              </w:rPr>
            </w:pPr>
          </w:p>
        </w:tc>
        <w:tc>
          <w:tcPr>
            <w:tcW w:w="4080" w:type="dxa"/>
            <w:vAlign w:val="bottom"/>
            <w:gridSpan w:val="2"/>
          </w:tcPr>
          <w:p>
            <w:pPr>
              <w:jc w:val="center"/>
              <w:ind w:right="1309"/>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4"/>
        </w:trPr>
        <w:tc>
          <w:tcPr>
            <w:tcW w:w="4360" w:type="dxa"/>
            <w:vAlign w:val="bottom"/>
          </w:tcPr>
          <w:p>
            <w:pPr>
              <w:spacing w:after="0"/>
              <w:rPr>
                <w:sz w:val="16"/>
                <w:szCs w:val="16"/>
                <w:color w:val="auto"/>
              </w:rPr>
            </w:pPr>
          </w:p>
        </w:tc>
        <w:tc>
          <w:tcPr>
            <w:tcW w:w="4080" w:type="dxa"/>
            <w:vAlign w:val="bottom"/>
            <w:gridSpan w:val="2"/>
          </w:tcPr>
          <w:p>
            <w:pPr>
              <w:jc w:val="center"/>
              <w:ind w:right="1329"/>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43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1"/>
              </w:rPr>
              <w:t>Six Months Ended June 30,</w:t>
            </w:r>
          </w:p>
        </w:tc>
        <w:tc>
          <w:tcPr>
            <w:tcW w:w="1140" w:type="dxa"/>
            <w:vAlign w:val="bottom"/>
            <w:tcBorders>
              <w:bottom w:val="single" w:sz="8" w:color="auto"/>
            </w:tcBorders>
          </w:tcPr>
          <w:p>
            <w:pPr>
              <w:spacing w:after="0"/>
              <w:rPr>
                <w:sz w:val="19"/>
                <w:szCs w:val="19"/>
                <w:color w:val="auto"/>
              </w:rPr>
            </w:pPr>
          </w:p>
        </w:tc>
      </w:tr>
      <w:tr>
        <w:trPr>
          <w:trHeight w:val="177"/>
        </w:trPr>
        <w:tc>
          <w:tcPr>
            <w:tcW w:w="43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w w:val="96"/>
              </w:rPr>
              <w:t>2022</w:t>
            </w:r>
          </w:p>
        </w:tc>
      </w:tr>
      <w:tr>
        <w:trPr>
          <w:trHeight w:val="148"/>
        </w:trPr>
        <w:tc>
          <w:tcPr>
            <w:tcW w:w="436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Operating Activities:</w:t>
            </w:r>
          </w:p>
        </w:tc>
        <w:tc>
          <w:tcPr>
            <w:tcW w:w="2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2"/>
        </w:trPr>
        <w:tc>
          <w:tcPr>
            <w:tcW w:w="4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4080" w:type="dxa"/>
            <w:vAlign w:val="bottom"/>
            <w:gridSpan w:val="2"/>
            <w:shd w:val="clear" w:color="auto" w:fill="CCEEFF"/>
          </w:tcPr>
          <w:p>
            <w:pPr>
              <w:jc w:val="right"/>
              <w:ind w:right="989"/>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8,525</w:t>
            </w:r>
          </w:p>
        </w:tc>
        <w:tc>
          <w:tcPr>
            <w:tcW w:w="900" w:type="dxa"/>
            <w:vAlign w:val="bottom"/>
            <w:gridSpan w:val="2"/>
            <w:shd w:val="clear" w:color="auto" w:fill="CCEEFF"/>
          </w:tcPr>
          <w:p>
            <w:pPr>
              <w:jc w:val="right"/>
              <w:ind w:right="72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19,437</w:t>
            </w:r>
          </w:p>
        </w:tc>
      </w:tr>
      <w:tr>
        <w:trPr>
          <w:trHeight w:val="168"/>
        </w:trPr>
        <w:tc>
          <w:tcPr>
            <w:tcW w:w="4360" w:type="dxa"/>
            <w:vAlign w:val="bottom"/>
          </w:tcPr>
          <w:p>
            <w:pPr>
              <w:ind w:left="100"/>
              <w:spacing w:after="0"/>
              <w:rPr>
                <w:sz w:val="20"/>
                <w:szCs w:val="20"/>
                <w:color w:val="auto"/>
              </w:rPr>
            </w:pPr>
            <w:r>
              <w:rPr>
                <w:rFonts w:ascii="Arial" w:cs="Arial" w:eastAsia="Arial" w:hAnsi="Arial"/>
                <w:sz w:val="13"/>
                <w:szCs w:val="13"/>
                <w:color w:val="auto"/>
                <w:w w:val="91"/>
              </w:rPr>
              <w:t>Adjustments to reconcile net income to net cash provided by operating activities:</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4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Remeasurement of derivative instruments</w:t>
            </w:r>
          </w:p>
        </w:tc>
        <w:tc>
          <w:tcPr>
            <w:tcW w:w="2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(25,332)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(5,098)</w:t>
            </w:r>
          </w:p>
        </w:tc>
      </w:tr>
      <w:tr>
        <w:trPr>
          <w:trHeight w:val="168"/>
        </w:trPr>
        <w:tc>
          <w:tcPr>
            <w:tcW w:w="4360" w:type="dxa"/>
            <w:vAlign w:val="bottom"/>
          </w:tcPr>
          <w:p>
            <w:pPr>
              <w:ind w:left="180"/>
              <w:spacing w:after="0"/>
              <w:rPr>
                <w:sz w:val="20"/>
                <w:szCs w:val="20"/>
                <w:color w:val="auto"/>
              </w:rPr>
            </w:pPr>
            <w:r>
              <w:rPr>
                <w:rFonts w:ascii="Arial" w:cs="Arial" w:eastAsia="Arial" w:hAnsi="Arial"/>
                <w:sz w:val="13"/>
                <w:szCs w:val="13"/>
                <w:color w:val="auto"/>
              </w:rPr>
              <w:t>Stock-based compensation</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16,290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21,765</w:t>
            </w:r>
          </w:p>
        </w:tc>
      </w:tr>
      <w:tr>
        <w:trPr>
          <w:trHeight w:val="172"/>
        </w:trPr>
        <w:tc>
          <w:tcPr>
            <w:tcW w:w="4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w:t>
            </w:r>
          </w:p>
        </w:tc>
        <w:tc>
          <w:tcPr>
            <w:tcW w:w="2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12,747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12,917</w:t>
            </w:r>
          </w:p>
        </w:tc>
      </w:tr>
      <w:tr>
        <w:trPr>
          <w:trHeight w:val="168"/>
        </w:trPr>
        <w:tc>
          <w:tcPr>
            <w:tcW w:w="4360" w:type="dxa"/>
            <w:vAlign w:val="bottom"/>
          </w:tcPr>
          <w:p>
            <w:pPr>
              <w:ind w:left="180"/>
              <w:spacing w:after="0"/>
              <w:rPr>
                <w:sz w:val="20"/>
                <w:szCs w:val="20"/>
                <w:color w:val="auto"/>
              </w:rPr>
            </w:pPr>
            <w:r>
              <w:rPr>
                <w:rFonts w:ascii="Arial" w:cs="Arial" w:eastAsia="Arial" w:hAnsi="Arial"/>
                <w:sz w:val="13"/>
                <w:szCs w:val="13"/>
                <w:color w:val="auto"/>
              </w:rPr>
              <w:t>Depreciation</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12,040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11,096</w:t>
            </w:r>
          </w:p>
        </w:tc>
      </w:tr>
      <w:tr>
        <w:trPr>
          <w:trHeight w:val="172"/>
        </w:trPr>
        <w:tc>
          <w:tcPr>
            <w:tcW w:w="4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of debt issuance costs</w:t>
            </w:r>
          </w:p>
        </w:tc>
        <w:tc>
          <w:tcPr>
            <w:tcW w:w="2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9,535</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11,721</w:t>
            </w:r>
          </w:p>
        </w:tc>
      </w:tr>
      <w:tr>
        <w:trPr>
          <w:trHeight w:val="168"/>
        </w:trPr>
        <w:tc>
          <w:tcPr>
            <w:tcW w:w="4360" w:type="dxa"/>
            <w:vAlign w:val="bottom"/>
          </w:tcPr>
          <w:p>
            <w:pPr>
              <w:ind w:left="180"/>
              <w:spacing w:after="0"/>
              <w:rPr>
                <w:sz w:val="20"/>
                <w:szCs w:val="20"/>
                <w:color w:val="auto"/>
              </w:rPr>
            </w:pPr>
            <w:r>
              <w:rPr>
                <w:rFonts w:ascii="Arial" w:cs="Arial" w:eastAsia="Arial" w:hAnsi="Arial"/>
                <w:sz w:val="13"/>
                <w:szCs w:val="13"/>
                <w:color w:val="auto"/>
              </w:rPr>
              <w:t>Remeasurement of contingent consideration to fair value</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7,334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(27,359)</w:t>
            </w:r>
          </w:p>
        </w:tc>
      </w:tr>
      <w:tr>
        <w:trPr>
          <w:trHeight w:val="172"/>
        </w:trPr>
        <w:tc>
          <w:tcPr>
            <w:tcW w:w="4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of operating lease assets</w:t>
            </w:r>
          </w:p>
        </w:tc>
        <w:tc>
          <w:tcPr>
            <w:tcW w:w="2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4,939</w:t>
            </w:r>
          </w:p>
        </w:tc>
      </w:tr>
      <w:tr>
        <w:trPr>
          <w:trHeight w:val="168"/>
        </w:trPr>
        <w:tc>
          <w:tcPr>
            <w:tcW w:w="4360" w:type="dxa"/>
            <w:vAlign w:val="bottom"/>
          </w:tcPr>
          <w:p>
            <w:pPr>
              <w:ind w:left="180"/>
              <w:spacing w:after="0"/>
              <w:rPr>
                <w:sz w:val="20"/>
                <w:szCs w:val="20"/>
                <w:color w:val="auto"/>
              </w:rPr>
            </w:pPr>
            <w:r>
              <w:rPr>
                <w:rFonts w:ascii="Arial" w:cs="Arial" w:eastAsia="Arial" w:hAnsi="Arial"/>
                <w:sz w:val="13"/>
                <w:szCs w:val="13"/>
                <w:color w:val="auto"/>
              </w:rPr>
              <w:t>Other</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1,987</w:t>
            </w:r>
          </w:p>
        </w:tc>
      </w:tr>
      <w:tr>
        <w:trPr>
          <w:trHeight w:val="172"/>
        </w:trPr>
        <w:tc>
          <w:tcPr>
            <w:tcW w:w="43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Changes in operating assets and liabilities:</w:t>
            </w:r>
          </w:p>
        </w:tc>
        <w:tc>
          <w:tcPr>
            <w:tcW w:w="2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4360" w:type="dxa"/>
            <w:vAlign w:val="bottom"/>
          </w:tcPr>
          <w:p>
            <w:pPr>
              <w:ind w:left="180"/>
              <w:spacing w:after="0"/>
              <w:rPr>
                <w:sz w:val="20"/>
                <w:szCs w:val="20"/>
                <w:color w:val="auto"/>
              </w:rPr>
            </w:pPr>
            <w:r>
              <w:rPr>
                <w:rFonts w:ascii="Arial" w:cs="Arial" w:eastAsia="Arial" w:hAnsi="Arial"/>
                <w:sz w:val="13"/>
                <w:szCs w:val="13"/>
                <w:color w:val="auto"/>
              </w:rPr>
              <w:t>Accounts receivable, net</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(875)</w:t>
            </w:r>
          </w:p>
        </w:tc>
      </w:tr>
      <w:tr>
        <w:trPr>
          <w:trHeight w:val="172"/>
        </w:trPr>
        <w:tc>
          <w:tcPr>
            <w:tcW w:w="4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Inventories</w:t>
            </w:r>
          </w:p>
        </w:tc>
        <w:tc>
          <w:tcPr>
            <w:tcW w:w="2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(25,439)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(16,461)</w:t>
            </w:r>
          </w:p>
        </w:tc>
      </w:tr>
      <w:tr>
        <w:trPr>
          <w:trHeight w:val="168"/>
        </w:trPr>
        <w:tc>
          <w:tcPr>
            <w:tcW w:w="4360" w:type="dxa"/>
            <w:vAlign w:val="bottom"/>
          </w:tcPr>
          <w:p>
            <w:pPr>
              <w:ind w:left="180"/>
              <w:spacing w:after="0"/>
              <w:rPr>
                <w:sz w:val="20"/>
                <w:szCs w:val="20"/>
                <w:color w:val="auto"/>
              </w:rPr>
            </w:pPr>
            <w:r>
              <w:rPr>
                <w:rFonts w:ascii="Arial" w:cs="Arial" w:eastAsia="Arial" w:hAnsi="Arial"/>
                <w:sz w:val="13"/>
                <w:szCs w:val="13"/>
                <w:color w:val="auto"/>
              </w:rPr>
              <w:t>Other current and non-current assets</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(8,321)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2,846</w:t>
            </w:r>
          </w:p>
        </w:tc>
      </w:tr>
      <w:tr>
        <w:trPr>
          <w:trHeight w:val="172"/>
        </w:trPr>
        <w:tc>
          <w:tcPr>
            <w:tcW w:w="4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 and accrued current and non-current liabilities</w:t>
            </w:r>
          </w:p>
        </w:tc>
        <w:tc>
          <w:tcPr>
            <w:tcW w:w="2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(19,387)</w:t>
            </w:r>
          </w:p>
        </w:tc>
      </w:tr>
      <w:tr>
        <w:trPr>
          <w:trHeight w:val="168"/>
        </w:trPr>
        <w:tc>
          <w:tcPr>
            <w:tcW w:w="4360" w:type="dxa"/>
            <w:vAlign w:val="bottom"/>
          </w:tcPr>
          <w:p>
            <w:pPr>
              <w:ind w:left="180"/>
              <w:spacing w:after="0"/>
              <w:rPr>
                <w:sz w:val="20"/>
                <w:szCs w:val="20"/>
                <w:color w:val="auto"/>
              </w:rPr>
            </w:pPr>
            <w:r>
              <w:rPr>
                <w:rFonts w:ascii="Arial" w:cs="Arial" w:eastAsia="Arial" w:hAnsi="Arial"/>
                <w:sz w:val="13"/>
                <w:szCs w:val="13"/>
                <w:color w:val="auto"/>
              </w:rPr>
              <w:t>Taxes payable</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2,738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116</w:t>
            </w:r>
          </w:p>
        </w:tc>
      </w:tr>
      <w:tr>
        <w:trPr>
          <w:trHeight w:val="172"/>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Litigation provision liability</w:t>
            </w:r>
          </w:p>
        </w:tc>
        <w:tc>
          <w:tcPr>
            <w:tcW w:w="29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(7,257)</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(2,064)</w:t>
            </w:r>
          </w:p>
        </w:tc>
      </w:tr>
      <w:tr>
        <w:trPr>
          <w:trHeight w:val="160"/>
        </w:trPr>
        <w:tc>
          <w:tcPr>
            <w:tcW w:w="4360" w:type="dxa"/>
            <w:vAlign w:val="bottom"/>
          </w:tcPr>
          <w:p>
            <w:pPr>
              <w:ind w:left="280"/>
              <w:spacing w:after="0"/>
              <w:rPr>
                <w:sz w:val="20"/>
                <w:szCs w:val="20"/>
                <w:color w:val="auto"/>
              </w:rPr>
            </w:pPr>
            <w:r>
              <w:rPr>
                <w:rFonts w:ascii="Arial" w:cs="Arial" w:eastAsia="Arial" w:hAnsi="Arial"/>
                <w:sz w:val="13"/>
                <w:szCs w:val="13"/>
                <w:b w:val="1"/>
                <w:bCs w:val="1"/>
                <w:color w:val="auto"/>
              </w:rPr>
              <w:t>Net cash provided by operating activities</w:t>
            </w:r>
          </w:p>
        </w:tc>
        <w:tc>
          <w:tcPr>
            <w:tcW w:w="29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2,820</w:t>
            </w: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15,580</w:t>
            </w:r>
          </w:p>
        </w:tc>
      </w:tr>
      <w:tr>
        <w:trPr>
          <w:trHeight w:val="160"/>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4360" w:type="dxa"/>
            <w:vAlign w:val="bottom"/>
          </w:tcPr>
          <w:p>
            <w:pPr>
              <w:ind w:left="100"/>
              <w:spacing w:after="0"/>
              <w:rPr>
                <w:sz w:val="20"/>
                <w:szCs w:val="20"/>
                <w:color w:val="auto"/>
              </w:rPr>
            </w:pPr>
            <w:r>
              <w:rPr>
                <w:rFonts w:ascii="Arial" w:cs="Arial" w:eastAsia="Arial" w:hAnsi="Arial"/>
                <w:sz w:val="13"/>
                <w:szCs w:val="13"/>
                <w:color w:val="auto"/>
              </w:rPr>
              <w:t>Purchases of property, plant and equipment</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(13,344)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(11,342)</w:t>
            </w:r>
          </w:p>
        </w:tc>
      </w:tr>
      <w:tr>
        <w:trPr>
          <w:trHeight w:val="172"/>
        </w:trPr>
        <w:tc>
          <w:tcPr>
            <w:tcW w:w="4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 of investments</w:t>
            </w:r>
          </w:p>
        </w:tc>
        <w:tc>
          <w:tcPr>
            <w:tcW w:w="2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w:t>
            </w:r>
          </w:p>
        </w:tc>
      </w:tr>
      <w:tr>
        <w:trPr>
          <w:trHeight w:val="168"/>
        </w:trPr>
        <w:tc>
          <w:tcPr>
            <w:tcW w:w="4360" w:type="dxa"/>
            <w:vAlign w:val="bottom"/>
          </w:tcPr>
          <w:p>
            <w:pPr>
              <w:ind w:left="100"/>
              <w:spacing w:after="0"/>
              <w:rPr>
                <w:sz w:val="20"/>
                <w:szCs w:val="20"/>
                <w:color w:val="auto"/>
              </w:rPr>
            </w:pPr>
            <w:r>
              <w:rPr>
                <w:rFonts w:ascii="Arial" w:cs="Arial" w:eastAsia="Arial" w:hAnsi="Arial"/>
                <w:sz w:val="13"/>
                <w:szCs w:val="13"/>
                <w:color w:val="auto"/>
              </w:rPr>
              <w:t>Acquisition, net of cash acquired</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(8,857)</w:t>
            </w:r>
          </w:p>
        </w:tc>
      </w:tr>
      <w:tr>
        <w:trPr>
          <w:trHeight w:val="172"/>
        </w:trPr>
        <w:tc>
          <w:tcPr>
            <w:tcW w:w="4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294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614</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(650)</w:t>
            </w:r>
          </w:p>
        </w:tc>
      </w:tr>
      <w:tr>
        <w:trPr>
          <w:trHeight w:val="158"/>
        </w:trPr>
        <w:tc>
          <w:tcPr>
            <w:tcW w:w="4360" w:type="dxa"/>
            <w:vAlign w:val="bottom"/>
            <w:tcBorders>
              <w:bottom w:val="single" w:sz="8" w:color="CCEEFF"/>
            </w:tcBorders>
          </w:tcPr>
          <w:p>
            <w:pPr>
              <w:ind w:left="280"/>
              <w:spacing w:after="0"/>
              <w:rPr>
                <w:sz w:val="20"/>
                <w:szCs w:val="20"/>
                <w:color w:val="auto"/>
              </w:rPr>
            </w:pPr>
            <w:r>
              <w:rPr>
                <w:rFonts w:ascii="Arial" w:cs="Arial" w:eastAsia="Arial" w:hAnsi="Arial"/>
                <w:sz w:val="13"/>
                <w:szCs w:val="13"/>
                <w:b w:val="1"/>
                <w:bCs w:val="1"/>
                <w:color w:val="auto"/>
              </w:rPr>
              <w:t>Net cash used in investing activities</w:t>
            </w:r>
          </w:p>
        </w:tc>
        <w:tc>
          <w:tcPr>
            <w:tcW w:w="29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(18,139)</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(21,630)</w:t>
            </w:r>
          </w:p>
        </w:tc>
      </w:tr>
      <w:tr>
        <w:trPr>
          <w:trHeight w:val="152"/>
        </w:trPr>
        <w:tc>
          <w:tcPr>
            <w:tcW w:w="43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Financing Activities:</w:t>
            </w:r>
          </w:p>
        </w:tc>
        <w:tc>
          <w:tcPr>
            <w:tcW w:w="2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4360" w:type="dxa"/>
            <w:vAlign w:val="bottom"/>
          </w:tcPr>
          <w:p>
            <w:pPr>
              <w:ind w:left="100"/>
              <w:spacing w:after="0"/>
              <w:rPr>
                <w:sz w:val="20"/>
                <w:szCs w:val="20"/>
                <w:color w:val="auto"/>
              </w:rPr>
            </w:pPr>
            <w:r>
              <w:rPr>
                <w:rFonts w:ascii="Arial" w:cs="Arial" w:eastAsia="Arial" w:hAnsi="Arial"/>
                <w:sz w:val="13"/>
                <w:szCs w:val="13"/>
                <w:color w:val="auto"/>
              </w:rPr>
              <w:t>Proceeds from long-term debt obligations</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218,342</w:t>
            </w:r>
          </w:p>
        </w:tc>
      </w:tr>
      <w:tr>
        <w:trPr>
          <w:trHeight w:val="172"/>
        </w:trPr>
        <w:tc>
          <w:tcPr>
            <w:tcW w:w="4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Repayment of long-term debt obligations</w:t>
            </w:r>
          </w:p>
        </w:tc>
        <w:tc>
          <w:tcPr>
            <w:tcW w:w="2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w:t>
            </w:r>
          </w:p>
        </w:tc>
      </w:tr>
      <w:tr>
        <w:trPr>
          <w:trHeight w:val="168"/>
        </w:trPr>
        <w:tc>
          <w:tcPr>
            <w:tcW w:w="4360" w:type="dxa"/>
            <w:vAlign w:val="bottom"/>
          </w:tcPr>
          <w:p>
            <w:pPr>
              <w:ind w:left="100"/>
              <w:spacing w:after="0"/>
              <w:rPr>
                <w:sz w:val="20"/>
                <w:szCs w:val="20"/>
                <w:color w:val="auto"/>
              </w:rPr>
            </w:pPr>
            <w:r>
              <w:rPr>
                <w:rFonts w:ascii="Arial" w:cs="Arial" w:eastAsia="Arial" w:hAnsi="Arial"/>
                <w:sz w:val="13"/>
                <w:szCs w:val="13"/>
                <w:color w:val="auto"/>
              </w:rPr>
              <w:t>Shares repurchased from employees for minimum tax withholding</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(5,841)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(8,223)</w:t>
            </w:r>
          </w:p>
        </w:tc>
      </w:tr>
      <w:tr>
        <w:trPr>
          <w:trHeight w:val="172"/>
        </w:trPr>
        <w:tc>
          <w:tcPr>
            <w:tcW w:w="4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Repayments of short-term borrowings (maturities greater than 90 days)</w:t>
            </w:r>
          </w:p>
        </w:tc>
        <w:tc>
          <w:tcPr>
            <w:tcW w:w="2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360" w:type="dxa"/>
            <w:vAlign w:val="bottom"/>
          </w:tcPr>
          <w:p>
            <w:pPr>
              <w:ind w:left="100"/>
              <w:spacing w:after="0"/>
              <w:rPr>
                <w:sz w:val="20"/>
                <w:szCs w:val="20"/>
                <w:color w:val="auto"/>
              </w:rPr>
            </w:pPr>
            <w:r>
              <w:rPr>
                <w:rFonts w:ascii="Arial" w:cs="Arial" w:eastAsia="Arial" w:hAnsi="Arial"/>
                <w:sz w:val="13"/>
                <w:szCs w:val="13"/>
                <w:color w:val="auto"/>
              </w:rPr>
              <w:t>Proceeds from share issuances under ESPP</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1,788</w:t>
            </w:r>
          </w:p>
        </w:tc>
      </w:tr>
      <w:tr>
        <w:trPr>
          <w:trHeight w:val="172"/>
        </w:trPr>
        <w:tc>
          <w:tcPr>
            <w:tcW w:w="4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Payment of debt issuance costs</w:t>
            </w:r>
          </w:p>
        </w:tc>
        <w:tc>
          <w:tcPr>
            <w:tcW w:w="2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(2,861)</w:t>
            </w:r>
          </w:p>
        </w:tc>
      </w:tr>
      <w:tr>
        <w:trPr>
          <w:trHeight w:val="170"/>
        </w:trPr>
        <w:tc>
          <w:tcPr>
            <w:tcW w:w="4360" w:type="dxa"/>
            <w:vAlign w:val="bottom"/>
          </w:tcPr>
          <w:p>
            <w:pPr>
              <w:ind w:left="100"/>
              <w:spacing w:after="0"/>
              <w:rPr>
                <w:sz w:val="20"/>
                <w:szCs w:val="20"/>
                <w:color w:val="auto"/>
              </w:rPr>
            </w:pPr>
            <w:r>
              <w:rPr>
                <w:rFonts w:ascii="Arial" w:cs="Arial" w:eastAsia="Arial" w:hAnsi="Arial"/>
                <w:sz w:val="13"/>
                <w:szCs w:val="13"/>
                <w:color w:val="auto"/>
              </w:rPr>
              <w:t>Other</w:t>
            </w:r>
          </w:p>
        </w:tc>
        <w:tc>
          <w:tcPr>
            <w:tcW w:w="29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w:t>
            </w:r>
          </w:p>
        </w:tc>
      </w:tr>
      <w:tr>
        <w:trPr>
          <w:trHeight w:val="16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Net cash provided by financing activities</w:t>
            </w:r>
          </w:p>
        </w:tc>
        <w:tc>
          <w:tcPr>
            <w:tcW w:w="29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30,779</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208,557</w:t>
            </w:r>
          </w:p>
        </w:tc>
      </w:tr>
      <w:tr>
        <w:trPr>
          <w:trHeight w:val="160"/>
        </w:trPr>
        <w:tc>
          <w:tcPr>
            <w:tcW w:w="4360" w:type="dxa"/>
            <w:vAlign w:val="bottom"/>
          </w:tcPr>
          <w:p>
            <w:pPr>
              <w:ind w:left="20"/>
              <w:spacing w:after="0"/>
              <w:rPr>
                <w:sz w:val="20"/>
                <w:szCs w:val="20"/>
                <w:color w:val="auto"/>
              </w:rPr>
            </w:pPr>
            <w:r>
              <w:rPr>
                <w:rFonts w:ascii="Arial" w:cs="Arial" w:eastAsia="Arial" w:hAnsi="Arial"/>
                <w:sz w:val="13"/>
                <w:szCs w:val="13"/>
                <w:color w:val="auto"/>
                <w:w w:val="95"/>
              </w:rPr>
              <w:t>Effect of exchange rate changes on cash, cash equivalents and restricted cash</w:t>
            </w:r>
          </w:p>
        </w:tc>
        <w:tc>
          <w:tcPr>
            <w:tcW w:w="29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3,282</w:t>
            </w: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(3,730)</w:t>
            </w:r>
          </w:p>
        </w:tc>
      </w:tr>
      <w:tr>
        <w:trPr>
          <w:trHeight w:val="160"/>
        </w:trPr>
        <w:tc>
          <w:tcPr>
            <w:tcW w:w="436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increase in cash, cash equivalents and restricted cash</w:t>
            </w:r>
          </w:p>
        </w:tc>
        <w:tc>
          <w:tcPr>
            <w:tcW w:w="29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18,742</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198,777</w:t>
            </w:r>
          </w:p>
        </w:tc>
      </w:tr>
      <w:tr>
        <w:trPr>
          <w:trHeight w:val="170"/>
        </w:trPr>
        <w:tc>
          <w:tcPr>
            <w:tcW w:w="436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29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515,618</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207,992</w:t>
            </w:r>
          </w:p>
        </w:tc>
      </w:tr>
      <w:tr>
        <w:trPr>
          <w:trHeight w:val="180"/>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at end of period</w:t>
            </w:r>
          </w:p>
        </w:tc>
        <w:tc>
          <w:tcPr>
            <w:tcW w:w="4080" w:type="dxa"/>
            <w:vAlign w:val="bottom"/>
            <w:gridSpan w:val="2"/>
            <w:shd w:val="clear" w:color="auto" w:fill="CCEEFF"/>
          </w:tcPr>
          <w:p>
            <w:pPr>
              <w:jc w:val="right"/>
              <w:ind w:right="989"/>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534,360</w:t>
            </w:r>
          </w:p>
        </w:tc>
        <w:tc>
          <w:tcPr>
            <w:tcW w:w="900" w:type="dxa"/>
            <w:vAlign w:val="bottom"/>
            <w:gridSpan w:val="2"/>
            <w:shd w:val="clear" w:color="auto" w:fill="CCEEFF"/>
          </w:tcPr>
          <w:p>
            <w:pPr>
              <w:jc w:val="right"/>
              <w:ind w:right="72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406,769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See accompanying notes to the condensed consolidated financial statements</w:t>
      </w:r>
    </w:p>
    <w:p>
      <w:pPr>
        <w:jc w:val="center"/>
        <w:ind w:right="-1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10" w:name="page11"/>
    <w:bookmarkEnd w:id="10"/>
    <w:p>
      <w:pPr>
        <w:jc w:val="center"/>
        <w:ind w:right="-139"/>
        <w:spacing w:after="0"/>
        <w:rPr>
          <w:sz w:val="20"/>
          <w:szCs w:val="20"/>
          <w:color w:val="auto"/>
        </w:rPr>
      </w:pPr>
      <w:r>
        <w:rPr>
          <w:rFonts w:ascii="Arial" w:cs="Arial" w:eastAsia="Arial" w:hAnsi="Arial"/>
          <w:sz w:val="14"/>
          <w:szCs w:val="14"/>
          <w:b w:val="1"/>
          <w:bCs w:val="1"/>
          <w:color w:val="auto"/>
        </w:rPr>
        <w:t>LIVANOVA PLC AND SUBSIDIARIES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(Unaudited)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Unaudited Condensed Consolidated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Basis of Presentation</w:t>
      </w:r>
    </w:p>
    <w:p>
      <w:pPr>
        <w:spacing w:after="0" w:line="94" w:lineRule="exact"/>
        <w:rPr>
          <w:sz w:val="20"/>
          <w:szCs w:val="20"/>
          <w:color w:val="auto"/>
        </w:rPr>
      </w:pPr>
    </w:p>
    <w:p>
      <w:pPr>
        <w:ind w:right="120" w:firstLine="127"/>
        <w:spacing w:after="0" w:line="320" w:lineRule="auto"/>
        <w:rPr>
          <w:sz w:val="20"/>
          <w:szCs w:val="20"/>
          <w:color w:val="auto"/>
        </w:rPr>
      </w:pPr>
      <w:r>
        <w:rPr>
          <w:rFonts w:ascii="Arial" w:cs="Arial" w:eastAsia="Arial" w:hAnsi="Arial"/>
          <w:sz w:val="12"/>
          <w:szCs w:val="12"/>
          <w:color w:val="auto"/>
        </w:rPr>
        <w:t>The accompanying condensed consolidated financial statements of LivaNova as of, and for the three and six months ended June 30, 2023 and 2022, have been prepared in accordance with U.S. GAAP for interim financial information and the instructions to Form 10-Q and Article 10 of Regulation S-X. The accompanying condensed consolidated balance sheet of LivaNova at December 31, 2022 has been derived from audited financial statements contained in LivaNova’s 2022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and six months ended June 30, 2023 and are not necessarily indicative of the results that may be expected for the year ending December 31, 2023. The financial information presented herein should be read in conjunction with the audited consolidated financial statements and notes thereto accompanying LivaNova’s 2022 Form 10-K.</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Macroeconomic Environment</w:t>
      </w:r>
    </w:p>
    <w:p>
      <w:pPr>
        <w:spacing w:after="0" w:line="83" w:lineRule="exact"/>
        <w:rPr>
          <w:sz w:val="20"/>
          <w:szCs w:val="20"/>
          <w:color w:val="auto"/>
        </w:rPr>
      </w:pPr>
    </w:p>
    <w:p>
      <w:pPr>
        <w:ind w:right="100" w:firstLine="127"/>
        <w:spacing w:after="0" w:line="268" w:lineRule="auto"/>
        <w:rPr>
          <w:sz w:val="20"/>
          <w:szCs w:val="20"/>
          <w:color w:val="auto"/>
        </w:rPr>
      </w:pPr>
      <w:r>
        <w:rPr>
          <w:rFonts w:ascii="Arial" w:cs="Arial" w:eastAsia="Arial" w:hAnsi="Arial"/>
          <w:sz w:val="14"/>
          <w:szCs w:val="14"/>
          <w:color w:val="auto"/>
        </w:rPr>
        <w:t>The current macroeconomic environment, including foreign exchange volatility, supply chain challenges, inflationary pressures, and geopolitical instability, has impacted and may continue to impact LivaNova’s business. LivaNova’s net revenue and profitability have been negatively affected by the unfavorable foreign currency exchange impact of the strengthened USD against a number of currencies. Furthermore, LivaNova continues to experience supply chain delays and interruptions, labor shortages, inflationary pressures and logistical issues. Though, to date, the Company’s supply of raw materials and the production and distribution of finished products have not been materially affected, demand and low capacity worldwide have caused longer lead times and put price pressure on key raw materials. Moreover, freight and labor costs at LivaNova’s manufacturing facilities have increased substantially in the wake of inflation globally. The Company continues to respond to such challenges, and while LivaNova has business continuity plans in place, the impact of the ongoing challenges the Company is navigating, along with their potential escalation, may adversely affect its business.</w:t>
      </w:r>
    </w:p>
    <w:p>
      <w:pPr>
        <w:spacing w:after="0" w:line="68" w:lineRule="exact"/>
        <w:rPr>
          <w:sz w:val="20"/>
          <w:szCs w:val="20"/>
          <w:color w:val="auto"/>
        </w:rPr>
      </w:pPr>
    </w:p>
    <w:p>
      <w:pPr>
        <w:ind w:right="160" w:firstLine="127"/>
        <w:spacing w:after="0" w:line="267" w:lineRule="auto"/>
        <w:rPr>
          <w:sz w:val="20"/>
          <w:szCs w:val="20"/>
          <w:color w:val="auto"/>
        </w:rPr>
      </w:pPr>
      <w:r>
        <w:rPr>
          <w:rFonts w:ascii="Arial" w:cs="Arial" w:eastAsia="Arial" w:hAnsi="Arial"/>
          <w:sz w:val="14"/>
          <w:szCs w:val="14"/>
          <w:color w:val="auto"/>
        </w:rPr>
        <w:t>In February 2022, Russia launched an invasion in Ukraine, which caused the Company to assess its ability to sell in the market due to international sanctions, consider the potential impact of raw material sourced from the region, and determine whether LivaNova is able to transact in a compliant fashion. Although business across Russia, Ukraine and Belarus represented 1% of LivaNova’s total net revenue for 2022, the invasion of Ukraine has increased economic uncertainties, and a significant escalation or continuation of the conflict could have a material, global impact on the Company’s operating results.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w:t>
      </w:r>
    </w:p>
    <w:p>
      <w:pPr>
        <w:spacing w:after="0" w:line="83" w:lineRule="exact"/>
        <w:rPr>
          <w:sz w:val="20"/>
          <w:szCs w:val="20"/>
          <w:color w:val="auto"/>
        </w:rPr>
      </w:pPr>
    </w:p>
    <w:p>
      <w:pPr>
        <w:ind w:right="500" w:firstLine="127"/>
        <w:spacing w:after="0" w:line="297" w:lineRule="auto"/>
        <w:rPr>
          <w:sz w:val="20"/>
          <w:szCs w:val="20"/>
          <w:color w:val="auto"/>
        </w:rPr>
      </w:pPr>
      <w:r>
        <w:rPr>
          <w:rFonts w:ascii="Arial" w:cs="Arial" w:eastAsia="Arial" w:hAnsi="Arial"/>
          <w:sz w:val="14"/>
          <w:szCs w:val="14"/>
          <w:color w:val="auto"/>
        </w:rPr>
        <w:t>The Company has reclassified certain prior period amounts on the condensed consolidated balance sheets for comparative purposes. These reclassifications did not have a material effect on LivaNova’s financial condition.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Significant Accounting Policies</w:t>
      </w:r>
    </w:p>
    <w:p>
      <w:pPr>
        <w:spacing w:after="0" w:line="83" w:lineRule="exact"/>
        <w:rPr>
          <w:sz w:val="20"/>
          <w:szCs w:val="20"/>
          <w:color w:val="auto"/>
        </w:rPr>
      </w:pPr>
    </w:p>
    <w:p>
      <w:pPr>
        <w:ind w:right="400" w:firstLine="127"/>
        <w:spacing w:after="0" w:line="297" w:lineRule="auto"/>
        <w:rPr>
          <w:sz w:val="20"/>
          <w:szCs w:val="20"/>
          <w:color w:val="auto"/>
        </w:rPr>
      </w:pPr>
      <w:r>
        <w:rPr>
          <w:rFonts w:ascii="Arial" w:cs="Arial" w:eastAsia="Arial" w:hAnsi="Arial"/>
          <w:sz w:val="14"/>
          <w:szCs w:val="14"/>
          <w:color w:val="auto"/>
        </w:rPr>
        <w:t>LivaNova’s significant accounting policies are detailed below and in “Note 2. Basis of Presentation, Use of Accounting Estimates and Significant Accounting Policies” and “Note 3. Revenue Recognition” of LivaNova’s 2022 Form 10-K.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Combinations</w:t>
      </w:r>
    </w:p>
    <w:p>
      <w:pPr>
        <w:spacing w:after="0" w:line="100" w:lineRule="exact"/>
        <w:rPr>
          <w:sz w:val="20"/>
          <w:szCs w:val="20"/>
          <w:color w:val="auto"/>
        </w:rPr>
      </w:pPr>
    </w:p>
    <w:p>
      <w:pPr>
        <w:jc w:val="both"/>
        <w:ind w:firstLine="127"/>
        <w:spacing w:after="0" w:line="273" w:lineRule="auto"/>
        <w:rPr>
          <w:sz w:val="20"/>
          <w:szCs w:val="20"/>
          <w:color w:val="auto"/>
        </w:rPr>
      </w:pPr>
      <w:r>
        <w:rPr>
          <w:rFonts w:ascii="Arial" w:cs="Arial" w:eastAsia="Arial" w:hAnsi="Arial"/>
          <w:sz w:val="14"/>
          <w:szCs w:val="14"/>
          <w:color w:val="auto"/>
        </w:rPr>
        <w:t>As of December 31, 2021, LivaNova owned a 3% investment in ALung, a privately held medical device company focused on creating advanced medical devices for treating respiratory failure. On May 2, 2022, LivaNova acquired the remaining 97% of equity interests in ALung for a purchase price of up to $110.0 million, consisting of $10.0 million paid at closing, subject to customary adjustments, and contingent consideration of up to $100.0 million payable upon achievement of certain sales-based milestones beginning in 2023 and ending in 2027. Total consideration included approximately $5.5 million of non-cash consideration.</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1" w:name="page12"/>
    <w:bookmarkEnd w:id="11"/>
    <w:p>
      <w:pPr>
        <w:ind w:firstLine="127"/>
        <w:spacing w:after="0" w:line="297" w:lineRule="auto"/>
        <w:rPr>
          <w:sz w:val="20"/>
          <w:szCs w:val="20"/>
          <w:color w:val="auto"/>
        </w:rPr>
      </w:pPr>
      <w:r>
        <w:rPr>
          <w:rFonts w:ascii="Arial" w:cs="Arial" w:eastAsia="Arial" w:hAnsi="Arial"/>
          <w:sz w:val="14"/>
          <w:szCs w:val="14"/>
          <w:color w:val="auto"/>
        </w:rPr>
        <w:t>The following table presents the acquisition date fair value of the consideration transferred and the fair value of LivaNova’s interest in ALung prior to the acquisition, including certain measurement period adjustments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2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Initial Fair Value of Consideration</w:t>
            </w:r>
          </w:p>
        </w:tc>
        <w:tc>
          <w:tcPr>
            <w:tcW w:w="100" w:type="dxa"/>
            <w:vAlign w:val="bottom"/>
          </w:tcPr>
          <w:p>
            <w:pPr>
              <w:spacing w:after="0"/>
              <w:rPr>
                <w:sz w:val="16"/>
                <w:szCs w:val="16"/>
                <w:color w:val="auto"/>
              </w:rPr>
            </w:pPr>
          </w:p>
        </w:tc>
        <w:tc>
          <w:tcPr>
            <w:tcW w:w="222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3"/>
              </w:rPr>
              <w:t>Measurement Period Adjustments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tcPr>
          <w:p>
            <w:pPr>
              <w:jc w:val="right"/>
              <w:ind w:right="349"/>
              <w:spacing w:after="0"/>
              <w:rPr>
                <w:sz w:val="20"/>
                <w:szCs w:val="20"/>
                <w:color w:val="auto"/>
              </w:rPr>
            </w:pPr>
            <w:r>
              <w:rPr>
                <w:rFonts w:ascii="Arial" w:cs="Arial" w:eastAsia="Arial" w:hAnsi="Arial"/>
                <w:sz w:val="14"/>
                <w:szCs w:val="14"/>
                <w:b w:val="1"/>
                <w:bCs w:val="1"/>
                <w:color w:val="auto"/>
              </w:rPr>
              <w:t>Adjusted Fair Value of</w:t>
            </w:r>
          </w:p>
        </w:tc>
        <w:tc>
          <w:tcPr>
            <w:tcW w:w="0" w:type="dxa"/>
            <w:vAlign w:val="bottom"/>
          </w:tcPr>
          <w:p>
            <w:pPr>
              <w:spacing w:after="0"/>
              <w:rPr>
                <w:sz w:val="1"/>
                <w:szCs w:val="1"/>
                <w:color w:val="auto"/>
              </w:rPr>
            </w:pPr>
          </w:p>
        </w:tc>
      </w:tr>
      <w:tr>
        <w:trPr>
          <w:trHeight w:val="138"/>
        </w:trPr>
        <w:tc>
          <w:tcPr>
            <w:tcW w:w="4420" w:type="dxa"/>
            <w:vAlign w:val="bottom"/>
            <w:tcBorders>
              <w:bottom w:val="single" w:sz="8" w:color="CCEEFF"/>
            </w:tcBorders>
          </w:tcPr>
          <w:p>
            <w:pPr>
              <w:spacing w:after="0"/>
              <w:rPr>
                <w:sz w:val="11"/>
                <w:szCs w:val="11"/>
                <w:color w:val="auto"/>
              </w:rPr>
            </w:pPr>
          </w:p>
        </w:tc>
        <w:tc>
          <w:tcPr>
            <w:tcW w:w="222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995"/>
              <w:spacing w:after="0"/>
              <w:rPr>
                <w:sz w:val="20"/>
                <w:szCs w:val="20"/>
                <w:color w:val="auto"/>
              </w:rPr>
            </w:pP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jc w:val="right"/>
              <w:ind w:right="609"/>
              <w:spacing w:after="0" w:line="138" w:lineRule="exact"/>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other considerations</w:t>
            </w: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15,586</w:t>
            </w:r>
          </w:p>
        </w:tc>
        <w:tc>
          <w:tcPr>
            <w:tcW w:w="0" w:type="dxa"/>
            <w:vAlign w:val="bottom"/>
          </w:tcPr>
          <w:p>
            <w:pPr>
              <w:spacing w:after="0"/>
              <w:rPr>
                <w:sz w:val="1"/>
                <w:szCs w:val="1"/>
                <w:color w:val="auto"/>
              </w:rPr>
            </w:pPr>
          </w:p>
        </w:tc>
      </w:tr>
      <w:tr>
        <w:trPr>
          <w:trHeight w:val="191"/>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w:t>
            </w:r>
          </w:p>
        </w:tc>
        <w:tc>
          <w:tcPr>
            <w:tcW w:w="9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26,369</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16,791</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consideration transferred</w:t>
            </w: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41,955</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32,377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During the third quarter of 2022, measurement period adjustments were recorded based on information obtained about facts and circumstances that existed as of the acquisition date.</w:t>
      </w:r>
    </w:p>
    <w:p>
      <w:pPr>
        <w:spacing w:after="0" w:line="91" w:lineRule="exact"/>
        <w:rPr>
          <w:sz w:val="20"/>
          <w:szCs w:val="20"/>
          <w:color w:val="auto"/>
        </w:rPr>
      </w:pPr>
    </w:p>
    <w:p>
      <w:pPr>
        <w:ind w:right="220" w:firstLine="127"/>
        <w:spacing w:after="0" w:line="281" w:lineRule="auto"/>
        <w:rPr>
          <w:sz w:val="20"/>
          <w:szCs w:val="20"/>
          <w:color w:val="auto"/>
        </w:rPr>
      </w:pPr>
      <w:r>
        <w:rPr>
          <w:rFonts w:ascii="Arial" w:cs="Arial" w:eastAsia="Arial" w:hAnsi="Arial"/>
          <w:sz w:val="14"/>
          <w:szCs w:val="14"/>
          <w:color w:val="auto"/>
        </w:rPr>
        <w:t>The purchase price allocation at fair value for the ALung acquisition was finalized during the second quarter of 2023 and is presented in the following table, which includes certain measurement period adjustments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1"/>
              </w:rPr>
              <w:t>Initial Purchase Price Allocation</w:t>
            </w:r>
          </w:p>
        </w:tc>
        <w:tc>
          <w:tcPr>
            <w:tcW w:w="100" w:type="dxa"/>
            <w:vAlign w:val="bottom"/>
          </w:tcPr>
          <w:p>
            <w:pPr>
              <w:spacing w:after="0"/>
              <w:rPr>
                <w:sz w:val="14"/>
                <w:szCs w:val="14"/>
                <w:color w:val="auto"/>
              </w:rPr>
            </w:pPr>
          </w:p>
        </w:tc>
        <w:tc>
          <w:tcPr>
            <w:tcW w:w="22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3"/>
              </w:rPr>
              <w:t>Measurement Period Adjustments</w:t>
            </w:r>
          </w:p>
        </w:tc>
        <w:tc>
          <w:tcPr>
            <w:tcW w:w="100" w:type="dxa"/>
            <w:vAlign w:val="bottom"/>
          </w:tcPr>
          <w:p>
            <w:pPr>
              <w:spacing w:after="0"/>
              <w:rPr>
                <w:sz w:val="14"/>
                <w:szCs w:val="14"/>
                <w:color w:val="auto"/>
              </w:rPr>
            </w:pPr>
          </w:p>
        </w:tc>
        <w:tc>
          <w:tcPr>
            <w:tcW w:w="2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Adjusted Purchase Price Allocation</w:t>
            </w:r>
          </w:p>
        </w:tc>
        <w:tc>
          <w:tcPr>
            <w:tcW w:w="0" w:type="dxa"/>
            <w:vAlign w:val="bottom"/>
          </w:tcPr>
          <w:p>
            <w:pPr>
              <w:spacing w:after="0"/>
              <w:rPr>
                <w:sz w:val="1"/>
                <w:szCs w:val="1"/>
                <w:color w:val="auto"/>
              </w:rPr>
            </w:pPr>
          </w:p>
        </w:tc>
      </w:tr>
      <w:tr>
        <w:trPr>
          <w:trHeight w:val="132"/>
        </w:trPr>
        <w:tc>
          <w:tcPr>
            <w:tcW w:w="44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994"/>
              <w:spacing w:after="0"/>
              <w:rPr>
                <w:sz w:val="20"/>
                <w:szCs w:val="20"/>
                <w:color w:val="auto"/>
              </w:rPr>
            </w:pP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1"/>
                <w:szCs w:val="11"/>
                <w:color w:val="auto"/>
              </w:rPr>
            </w:pPr>
          </w:p>
        </w:tc>
        <w:tc>
          <w:tcPr>
            <w:tcW w:w="22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 - 15-year life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2,900</w:t>
            </w:r>
          </w:p>
        </w:tc>
        <w:tc>
          <w:tcPr>
            <w:tcW w:w="0" w:type="dxa"/>
            <w:vAlign w:val="bottom"/>
          </w:tcPr>
          <w:p>
            <w:pPr>
              <w:spacing w:after="0"/>
              <w:rPr>
                <w:sz w:val="1"/>
                <w:szCs w:val="1"/>
                <w:color w:val="auto"/>
              </w:rPr>
            </w:pPr>
          </w:p>
        </w:tc>
      </w:tr>
      <w:tr>
        <w:trPr>
          <w:trHeight w:val="180"/>
        </w:trPr>
        <w:tc>
          <w:tcPr>
            <w:tcW w:w="4420" w:type="dxa"/>
            <w:vAlign w:val="bottom"/>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25,893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26,870</w:t>
            </w:r>
          </w:p>
        </w:tc>
        <w:tc>
          <w:tcPr>
            <w:tcW w:w="0" w:type="dxa"/>
            <w:vAlign w:val="bottom"/>
          </w:tcPr>
          <w:p>
            <w:pPr>
              <w:spacing w:after="0"/>
              <w:rPr>
                <w:sz w:val="1"/>
                <w:szCs w:val="1"/>
                <w:color w:val="auto"/>
              </w:rPr>
            </w:pPr>
          </w:p>
        </w:tc>
      </w:tr>
      <w:tr>
        <w:trPr>
          <w:trHeight w:val="19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 and liabilities, net</w:t>
            </w:r>
          </w:p>
        </w:tc>
        <w:tc>
          <w:tcPr>
            <w:tcW w:w="12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2,112</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2,607</w:t>
            </w:r>
          </w:p>
        </w:tc>
        <w:tc>
          <w:tcPr>
            <w:tcW w:w="0" w:type="dxa"/>
            <w:vAlign w:val="bottom"/>
          </w:tcPr>
          <w:p>
            <w:pPr>
              <w:spacing w:after="0"/>
              <w:rPr>
                <w:sz w:val="1"/>
                <w:szCs w:val="1"/>
                <w:color w:val="auto"/>
              </w:rPr>
            </w:pPr>
          </w:p>
        </w:tc>
      </w:tr>
      <w:tr>
        <w:trPr>
          <w:trHeight w:val="171"/>
        </w:trPr>
        <w:tc>
          <w:tcPr>
            <w:tcW w:w="4420" w:type="dxa"/>
            <w:vAlign w:val="bottom"/>
          </w:tcPr>
          <w:p>
            <w:pPr>
              <w:ind w:left="20"/>
              <w:spacing w:after="0"/>
              <w:rPr>
                <w:sz w:val="20"/>
                <w:szCs w:val="20"/>
                <w:color w:val="auto"/>
              </w:rPr>
            </w:pPr>
            <w:r>
              <w:rPr>
                <w:rFonts w:ascii="Arial" w:cs="Arial" w:eastAsia="Arial" w:hAnsi="Arial"/>
                <w:sz w:val="14"/>
                <w:szCs w:val="14"/>
                <w:color w:val="auto"/>
              </w:rPr>
              <w:t>Net assets acquired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41,955</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(9,578)</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32,377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During the third quarter of 2022, measurement period adjustments were recorded based on information obtained about facts and circumstances that existed as of the acquisition date.</w:t>
      </w:r>
    </w:p>
    <w:p>
      <w:pPr>
        <w:spacing w:after="0" w:line="91" w:lineRule="exact"/>
        <w:rPr>
          <w:sz w:val="20"/>
          <w:szCs w:val="20"/>
          <w:color w:val="auto"/>
        </w:rPr>
      </w:pPr>
    </w:p>
    <w:p>
      <w:pPr>
        <w:ind w:right="80" w:firstLine="127"/>
        <w:spacing w:after="0" w:line="321" w:lineRule="auto"/>
        <w:rPr>
          <w:sz w:val="20"/>
          <w:szCs w:val="20"/>
          <w:color w:val="auto"/>
        </w:rPr>
      </w:pPr>
      <w:r>
        <w:rPr>
          <w:rFonts w:ascii="Arial" w:cs="Arial" w:eastAsia="Arial" w:hAnsi="Arial"/>
          <w:sz w:val="13"/>
          <w:szCs w:val="13"/>
          <w:color w:val="auto"/>
        </w:rPr>
        <w:t>Goodwill arising from the ALung acquisition, which is not deductible for tax purposes, primarily represents the synergies anticipated between ALung and the Company’s ACS business. The assets acquired, including goodwill, are recognized in LivaNova’s ACS segment. The goodwill for the ACS reporting unit was fully impaired during the third quarter of 2022.</w:t>
      </w:r>
    </w:p>
    <w:p>
      <w:pPr>
        <w:spacing w:after="0" w:line="35" w:lineRule="exact"/>
        <w:rPr>
          <w:sz w:val="20"/>
          <w:szCs w:val="20"/>
          <w:color w:val="auto"/>
        </w:rPr>
      </w:pPr>
    </w:p>
    <w:p>
      <w:pPr>
        <w:ind w:right="200" w:firstLine="127"/>
        <w:spacing w:after="0" w:line="297" w:lineRule="auto"/>
        <w:rPr>
          <w:sz w:val="20"/>
          <w:szCs w:val="20"/>
          <w:color w:val="auto"/>
        </w:rPr>
      </w:pPr>
      <w:r>
        <w:rPr>
          <w:rFonts w:ascii="Arial" w:cs="Arial" w:eastAsia="Arial" w:hAnsi="Arial"/>
          <w:sz w:val="14"/>
          <w:szCs w:val="14"/>
          <w:color w:val="auto"/>
        </w:rPr>
        <w:t>The Company’s condensed consolidated financial statements include the operating results of ALung from the acquisition date. Separate post-acquisition operating results and pro forma financial information for this acquisition have not been presented as the effect was not material for disclosure purposes.</w:t>
      </w:r>
    </w:p>
    <w:p>
      <w:pPr>
        <w:spacing w:after="0" w:line="37" w:lineRule="exact"/>
        <w:rPr>
          <w:sz w:val="20"/>
          <w:szCs w:val="20"/>
          <w:color w:val="auto"/>
        </w:rPr>
      </w:pPr>
    </w:p>
    <w:p>
      <w:pPr>
        <w:ind w:right="80" w:firstLine="127"/>
        <w:spacing w:after="0" w:line="275" w:lineRule="auto"/>
        <w:rPr>
          <w:sz w:val="20"/>
          <w:szCs w:val="20"/>
          <w:color w:val="auto"/>
        </w:rPr>
      </w:pPr>
      <w:r>
        <w:rPr>
          <w:rFonts w:ascii="Arial" w:cs="Arial" w:eastAsia="Arial" w:hAnsi="Arial"/>
          <w:sz w:val="14"/>
          <w:szCs w:val="14"/>
          <w:color w:val="auto"/>
        </w:rPr>
        <w:t>The contingent consideration payments are triggered upon the achievement of thresholds associated with sales of products covered by the purchase agreement and are estimated to occur during the years reflected in the table below. The sales-based earnout was valued using projected sales from the Company’s internal strategic plan and is a Level 3 fair value measurement, which includes the following significant unobservable inputs (in thousands):</w:t>
      </w:r>
    </w:p>
    <w:tbl>
      <w:tblPr>
        <w:tblLayout w:type="fixed"/>
        <w:tblInd w:w="0" w:type="dxa"/>
        <w:tblCellMar>
          <w:top w:w="0" w:type="dxa"/>
          <w:left w:w="0" w:type="dxa"/>
          <w:bottom w:w="0" w:type="dxa"/>
          <w:right w:w="0" w:type="dxa"/>
        </w:tblCellMar>
      </w:tblPr>
      <w:tr>
        <w:trPr>
          <w:trHeight w:val="147"/>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ALung Acquisition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29"/>
              <w:spacing w:after="0" w:line="147" w:lineRule="exact"/>
              <w:rPr>
                <w:sz w:val="20"/>
                <w:szCs w:val="20"/>
                <w:color w:val="auto"/>
              </w:rPr>
            </w:pPr>
            <w:r>
              <w:rPr>
                <w:rFonts w:ascii="Arial" w:cs="Arial" w:eastAsia="Arial" w:hAnsi="Arial"/>
                <w:sz w:val="14"/>
                <w:szCs w:val="14"/>
                <w:b w:val="1"/>
                <w:bCs w:val="1"/>
                <w:color w:val="auto"/>
                <w:w w:val="94"/>
              </w:rPr>
              <w:t>Fair value at May 2,</w:t>
            </w:r>
          </w:p>
        </w:tc>
        <w:tc>
          <w:tcPr>
            <w:tcW w:w="80" w:type="dxa"/>
            <w:vAlign w:val="bottom"/>
          </w:tcPr>
          <w:p>
            <w:pPr>
              <w:spacing w:after="0"/>
              <w:rPr>
                <w:sz w:val="12"/>
                <w:szCs w:val="12"/>
                <w:color w:val="auto"/>
              </w:rPr>
            </w:pPr>
          </w:p>
        </w:tc>
        <w:tc>
          <w:tcPr>
            <w:tcW w:w="25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Pr>
          <w:p>
            <w:pPr>
              <w:spacing w:after="0"/>
              <w:rPr>
                <w:sz w:val="12"/>
                <w:szCs w:val="12"/>
                <w:color w:val="auto"/>
              </w:rPr>
            </w:pPr>
          </w:p>
        </w:tc>
        <w:tc>
          <w:tcPr>
            <w:tcW w:w="26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4"/>
              </w:rPr>
              <w:t>Ranges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Sales-based earnout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16,791</w:t>
            </w:r>
          </w:p>
        </w:tc>
        <w:tc>
          <w:tcPr>
            <w:tcW w:w="8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Monte Carlo simulation</w:t>
            </w:r>
          </w:p>
        </w:tc>
        <w:tc>
          <w:tcPr>
            <w:tcW w:w="100" w:type="dxa"/>
            <w:vAlign w:val="bottom"/>
            <w:shd w:val="clear" w:color="auto" w:fill="CCEEFF"/>
          </w:tcPr>
          <w:p>
            <w:pPr>
              <w:spacing w:after="0"/>
              <w:rPr>
                <w:sz w:val="15"/>
                <w:szCs w:val="15"/>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Risk-adjusted discount rate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Credit risk discount rate</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6.4%</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49"/>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1"/>
        </w:trPr>
        <w:tc>
          <w:tcPr>
            <w:tcW w:w="2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volatility</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25.7%</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Projected years of earnout</w:t>
            </w:r>
          </w:p>
        </w:tc>
        <w:tc>
          <w:tcPr>
            <w:tcW w:w="680" w:type="dxa"/>
            <w:vAlign w:val="bottom"/>
            <w:gridSpan w:val="2"/>
          </w:tcPr>
          <w:p>
            <w:pPr>
              <w:jc w:val="right"/>
              <w:ind w:right="9"/>
              <w:spacing w:after="0"/>
              <w:rPr>
                <w:sz w:val="20"/>
                <w:szCs w:val="20"/>
                <w:color w:val="auto"/>
              </w:rPr>
            </w:pPr>
            <w:r>
              <w:rPr>
                <w:rFonts w:ascii="Arial" w:cs="Arial" w:eastAsia="Arial" w:hAnsi="Arial"/>
                <w:sz w:val="14"/>
                <w:szCs w:val="14"/>
                <w:color w:val="auto"/>
              </w:rPr>
              <w:t>2023</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49"/>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For a reconciliation of the beginning and ending balance of contingent consideration liabilities, refer to “Note 4. Fair Value Measurements.”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Divestiture of Heart Valve Business</w:t>
      </w:r>
    </w:p>
    <w:p>
      <w:pPr>
        <w:spacing w:after="0" w:line="100" w:lineRule="exact"/>
        <w:rPr>
          <w:sz w:val="20"/>
          <w:szCs w:val="20"/>
          <w:color w:val="auto"/>
        </w:rPr>
      </w:pPr>
    </w:p>
    <w:p>
      <w:pPr>
        <w:jc w:val="both"/>
        <w:ind w:firstLine="127"/>
        <w:spacing w:after="0" w:line="305" w:lineRule="auto"/>
        <w:rPr>
          <w:sz w:val="20"/>
          <w:szCs w:val="20"/>
          <w:color w:val="auto"/>
        </w:rPr>
      </w:pPr>
      <w:r>
        <w:rPr>
          <w:rFonts w:ascii="Arial" w:cs="Arial" w:eastAsia="Arial" w:hAnsi="Arial"/>
          <w:sz w:val="13"/>
          <w:szCs w:val="13"/>
          <w:color w:val="auto"/>
        </w:rPr>
        <w:t>On December 2, 2020, LivaNova entered into a Purchase Agreement with Mitral, a company incorporated under the laws of Luxembourg and wholly owned and controlled by funds advised by Gyrus Capital S.A., a Swiss private equity firm. The Purchase Agreement provided for the divestiture of certain of LivaNova’s subsidiaries as well as certain other assets and liabilities relating to the Company’s Heart Valve business and site management operations conducted by the Company’s subsidiary LSM at the Company’s Saluggia campus for $64.1 million.</w:t>
      </w:r>
    </w:p>
    <w:p>
      <w:pPr>
        <w:spacing w:after="0" w:line="45" w:lineRule="exact"/>
        <w:rPr>
          <w:sz w:val="20"/>
          <w:szCs w:val="20"/>
          <w:color w:val="auto"/>
        </w:rPr>
      </w:pPr>
    </w:p>
    <w:p>
      <w:pPr>
        <w:jc w:val="both"/>
        <w:ind w:firstLine="127"/>
        <w:spacing w:after="0" w:line="273" w:lineRule="auto"/>
        <w:rPr>
          <w:sz w:val="20"/>
          <w:szCs w:val="20"/>
          <w:color w:val="auto"/>
        </w:rPr>
      </w:pPr>
      <w:r>
        <w:rPr>
          <w:rFonts w:ascii="Arial" w:cs="Arial" w:eastAsia="Arial" w:hAnsi="Arial"/>
          <w:sz w:val="14"/>
          <w:szCs w:val="14"/>
          <w:color w:val="auto"/>
        </w:rPr>
        <w:t>On April 9, 2021, LivaNova and Mitral entered into an Amended &amp; Restated Purchase Agreement to, among other things, defer the closing of the sale and purchase of LSM by up to two years and include or amend certain additional terms relating to such deferral, including certain amendments relating to the potential hazardous substances liabilities of LSM and the related expense reimbursement provisions. On April 9, 2023, Mitral provided notice to LivaNova, consistent with the terms of the Amended &amp; Restated Purchase Agreement, that they would not exercise their right to purchase LSM.</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Note 4. Fair Value Measurements</w:t>
      </w:r>
    </w:p>
    <w:p>
      <w:pPr>
        <w:spacing w:after="0" w:line="89" w:lineRule="exact"/>
        <w:rPr>
          <w:sz w:val="20"/>
          <w:szCs w:val="20"/>
          <w:color w:val="auto"/>
        </w:rPr>
      </w:pPr>
    </w:p>
    <w:p>
      <w:pPr>
        <w:ind w:right="260" w:firstLine="127"/>
        <w:spacing w:after="0" w:line="297" w:lineRule="auto"/>
        <w:rPr>
          <w:sz w:val="20"/>
          <w:szCs w:val="20"/>
          <w:color w:val="auto"/>
        </w:rPr>
      </w:pPr>
      <w:r>
        <w:rPr>
          <w:rFonts w:ascii="Arial" w:cs="Arial" w:eastAsia="Arial" w:hAnsi="Arial"/>
          <w:sz w:val="14"/>
          <w:szCs w:val="14"/>
          <w:color w:val="auto"/>
        </w:rPr>
        <w:t>The Company reviews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six months ended June 30, 2023 and 2022.</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Measured at Fair Value on a Recurring Basis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00" w:type="dxa"/>
            <w:vAlign w:val="bottom"/>
            <w:gridSpan w:val="7"/>
          </w:tcPr>
          <w:p>
            <w:pPr>
              <w:ind w:left="140"/>
              <w:spacing w:after="0"/>
              <w:rPr>
                <w:sz w:val="20"/>
                <w:szCs w:val="20"/>
                <w:color w:val="auto"/>
              </w:rPr>
            </w:pPr>
            <w:r>
              <w:rPr>
                <w:rFonts w:ascii="Arial" w:cs="Arial" w:eastAsia="Arial" w:hAnsi="Arial"/>
                <w:sz w:val="14"/>
                <w:szCs w:val="14"/>
                <w:color w:val="auto"/>
                <w:w w:val="97"/>
              </w:rPr>
              <w:t>The following tables provide information by level for assets and liabilities that are measured at fair value on a recurring basis (in thousands):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426"/>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 as of June 30,</w:t>
            </w:r>
          </w:p>
        </w:tc>
        <w:tc>
          <w:tcPr>
            <w:tcW w:w="2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7"/>
          </w:tcPr>
          <w:p>
            <w:pPr>
              <w:jc w:val="center"/>
              <w:ind w:right="129"/>
              <w:spacing w:after="0"/>
              <w:rPr>
                <w:sz w:val="20"/>
                <w:szCs w:val="20"/>
                <w:color w:val="auto"/>
              </w:rPr>
            </w:pPr>
            <w:r>
              <w:rPr>
                <w:rFonts w:ascii="Arial" w:cs="Arial" w:eastAsia="Arial" w:hAnsi="Arial"/>
                <w:sz w:val="14"/>
                <w:szCs w:val="14"/>
                <w:b w:val="1"/>
                <w:bCs w:val="1"/>
                <w:color w:val="auto"/>
                <w:w w:val="91"/>
              </w:rPr>
              <w:t>Fair Value Measurements Using Inputs Considered as:</w:t>
            </w:r>
          </w:p>
        </w:tc>
      </w:tr>
      <w:tr>
        <w:trPr>
          <w:trHeight w:val="180"/>
        </w:trPr>
        <w:tc>
          <w:tcPr>
            <w:tcW w:w="55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Level 3</w:t>
            </w:r>
          </w:p>
        </w:tc>
      </w:tr>
      <w:tr>
        <w:trPr>
          <w:trHeight w:val="171"/>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1"/>
        </w:trPr>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Derivative assets - freestanding instruments (FX)</w:t>
            </w:r>
          </w:p>
        </w:tc>
        <w:tc>
          <w:tcPr>
            <w:tcW w:w="38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580" w:type="dxa"/>
            <w:vAlign w:val="bottom"/>
          </w:tcPr>
          <w:p>
            <w:pPr>
              <w:ind w:left="100"/>
              <w:spacing w:after="0"/>
              <w:rPr>
                <w:sz w:val="20"/>
                <w:szCs w:val="20"/>
                <w:color w:val="auto"/>
              </w:rPr>
            </w:pPr>
            <w:r>
              <w:rPr>
                <w:rFonts w:ascii="Arial" w:cs="Arial" w:eastAsia="Arial" w:hAnsi="Arial"/>
                <w:sz w:val="14"/>
                <w:szCs w:val="14"/>
                <w:color w:val="auto"/>
              </w:rPr>
              <w:t>Derivative assets - capped call derivatives</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42,034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42,034</w:t>
            </w:r>
          </w:p>
        </w:tc>
      </w:tr>
      <w:tr>
        <w:trPr>
          <w:trHeight w:val="180"/>
        </w:trPr>
        <w:tc>
          <w:tcPr>
            <w:tcW w:w="5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Convertible notes receivable</w:t>
            </w:r>
          </w:p>
        </w:tc>
        <w:tc>
          <w:tcPr>
            <w:tcW w:w="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r>
      <w:tr>
        <w:trPr>
          <w:trHeight w:val="176"/>
        </w:trPr>
        <w:tc>
          <w:tcPr>
            <w:tcW w:w="5580" w:type="dxa"/>
            <w:vAlign w:val="bottom"/>
          </w:tcPr>
          <w:p>
            <w:pPr>
              <w:spacing w:after="0"/>
              <w:rPr>
                <w:sz w:val="15"/>
                <w:szCs w:val="15"/>
                <w:color w:val="auto"/>
              </w:rPr>
            </w:pPr>
          </w:p>
        </w:tc>
        <w:tc>
          <w:tcPr>
            <w:tcW w:w="380" w:type="dxa"/>
            <w:vAlign w:val="bottom"/>
            <w:gridSpan w:val="2"/>
          </w:tcPr>
          <w:p>
            <w:pPr>
              <w:jc w:val="right"/>
              <w:ind w:right="22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42,528</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tcPr>
          <w:p>
            <w:pPr>
              <w:ind w:left="8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219</w:t>
            </w: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42,309</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5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Derivative liabilities - freestanding instruments (FX)</w:t>
            </w:r>
          </w:p>
        </w:tc>
        <w:tc>
          <w:tcPr>
            <w:tcW w:w="38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5580" w:type="dxa"/>
            <w:vAlign w:val="bottom"/>
          </w:tcPr>
          <w:p>
            <w:pPr>
              <w:ind w:left="120"/>
              <w:spacing w:after="0"/>
              <w:rPr>
                <w:sz w:val="20"/>
                <w:szCs w:val="20"/>
                <w:color w:val="auto"/>
              </w:rPr>
            </w:pPr>
            <w:r>
              <w:rPr>
                <w:rFonts w:ascii="Arial" w:cs="Arial" w:eastAsia="Arial" w:hAnsi="Arial"/>
                <w:sz w:val="14"/>
                <w:szCs w:val="14"/>
                <w:color w:val="auto"/>
              </w:rPr>
              <w:t>Derivative liabilities - embedded exchange feature</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53,705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53,705</w:t>
            </w:r>
          </w:p>
        </w:tc>
      </w:tr>
      <w:tr>
        <w:trPr>
          <w:trHeight w:val="186"/>
        </w:trPr>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Contingent consideration arrangements</w:t>
            </w:r>
          </w:p>
        </w:tc>
        <w:tc>
          <w:tcPr>
            <w:tcW w:w="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92,626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92,626</w:t>
            </w:r>
          </w:p>
        </w:tc>
      </w:tr>
      <w:tr>
        <w:trPr>
          <w:trHeight w:val="171"/>
        </w:trPr>
        <w:tc>
          <w:tcPr>
            <w:tcW w:w="5580" w:type="dxa"/>
            <w:vAlign w:val="bottom"/>
          </w:tcPr>
          <w:p>
            <w:pPr>
              <w:spacing w:after="0"/>
              <w:rPr>
                <w:sz w:val="14"/>
                <w:szCs w:val="14"/>
                <w:color w:val="auto"/>
              </w:rPr>
            </w:pPr>
          </w:p>
        </w:tc>
        <w:tc>
          <w:tcPr>
            <w:tcW w:w="380" w:type="dxa"/>
            <w:vAlign w:val="bottom"/>
            <w:tcBorders>
              <w:bottom w:val="single" w:sz="8" w:color="auto"/>
            </w:tcBorders>
            <w:gridSpan w:val="2"/>
          </w:tcPr>
          <w:p>
            <w:pPr>
              <w:jc w:val="right"/>
              <w:ind w:right="22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146,444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146,331</w:t>
            </w:r>
          </w:p>
        </w:tc>
      </w:tr>
      <w:tr>
        <w:trPr>
          <w:trHeight w:val="20"/>
        </w:trPr>
        <w:tc>
          <w:tcPr>
            <w:tcW w:w="5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r>
      <w:tr>
        <w:trPr>
          <w:trHeight w:val="757"/>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Fair Value as of December</w:t>
            </w:r>
          </w:p>
        </w:tc>
        <w:tc>
          <w:tcPr>
            <w:tcW w:w="2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7"/>
          </w:tcPr>
          <w:p>
            <w:pPr>
              <w:jc w:val="center"/>
              <w:ind w:right="129"/>
              <w:spacing w:after="0"/>
              <w:rPr>
                <w:sz w:val="20"/>
                <w:szCs w:val="20"/>
                <w:color w:val="auto"/>
              </w:rPr>
            </w:pPr>
            <w:r>
              <w:rPr>
                <w:rFonts w:ascii="Arial" w:cs="Arial" w:eastAsia="Arial" w:hAnsi="Arial"/>
                <w:sz w:val="14"/>
                <w:szCs w:val="14"/>
                <w:b w:val="1"/>
                <w:bCs w:val="1"/>
                <w:color w:val="auto"/>
                <w:w w:val="91"/>
              </w:rPr>
              <w:t>Fair Value Measurements Using Inputs Considered as:</w:t>
            </w:r>
          </w:p>
        </w:tc>
      </w:tr>
      <w:tr>
        <w:trPr>
          <w:trHeight w:val="175"/>
        </w:trPr>
        <w:tc>
          <w:tcPr>
            <w:tcW w:w="5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31, 2022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Level 3</w:t>
            </w:r>
          </w:p>
        </w:tc>
      </w:tr>
      <w:tr>
        <w:trPr>
          <w:trHeight w:val="172"/>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6"/>
        </w:trPr>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Derivative assets - designated as cash flow hedges (interest rate swap)</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580" w:type="dxa"/>
            <w:vAlign w:val="bottom"/>
          </w:tcPr>
          <w:p>
            <w:pPr>
              <w:ind w:left="120"/>
              <w:spacing w:after="0"/>
              <w:rPr>
                <w:sz w:val="20"/>
                <w:szCs w:val="20"/>
                <w:color w:val="auto"/>
              </w:rPr>
            </w:pPr>
            <w:r>
              <w:rPr>
                <w:rFonts w:ascii="Arial" w:cs="Arial" w:eastAsia="Arial" w:hAnsi="Arial"/>
                <w:sz w:val="14"/>
                <w:szCs w:val="14"/>
                <w:color w:val="auto"/>
              </w:rPr>
              <w:t>Derivative assets - capped call derivatives</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54,393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54,393</w:t>
            </w:r>
          </w:p>
        </w:tc>
      </w:tr>
      <w:tr>
        <w:trPr>
          <w:trHeight w:val="191"/>
        </w:trPr>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Convertible notes receivable</w:t>
            </w:r>
          </w:p>
        </w:tc>
        <w:tc>
          <w:tcPr>
            <w:tcW w:w="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171"/>
        </w:trPr>
        <w:tc>
          <w:tcPr>
            <w:tcW w:w="5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56,011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54,678</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4"/>
        </w:trPr>
        <w:tc>
          <w:tcPr>
            <w:tcW w:w="5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Derivative liabilities - freestanding instruments (FX)</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5,886</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5580" w:type="dxa"/>
            <w:vAlign w:val="bottom"/>
          </w:tcPr>
          <w:p>
            <w:pPr>
              <w:ind w:left="120"/>
              <w:spacing w:after="0"/>
              <w:rPr>
                <w:sz w:val="20"/>
                <w:szCs w:val="20"/>
                <w:color w:val="auto"/>
              </w:rPr>
            </w:pPr>
            <w:r>
              <w:rPr>
                <w:rFonts w:ascii="Arial" w:cs="Arial" w:eastAsia="Arial" w:hAnsi="Arial"/>
                <w:sz w:val="14"/>
                <w:szCs w:val="14"/>
                <w:color w:val="auto"/>
              </w:rPr>
              <w:t>Derivative liabilities - embedded exchange feature</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85,675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85,675</w:t>
            </w:r>
          </w:p>
        </w:tc>
      </w:tr>
      <w:tr>
        <w:trPr>
          <w:trHeight w:val="186"/>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Contingent consideration arrangements</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85,292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85,292</w:t>
            </w:r>
          </w:p>
        </w:tc>
      </w:tr>
      <w:tr>
        <w:trPr>
          <w:trHeight w:val="171"/>
        </w:trPr>
        <w:tc>
          <w:tcPr>
            <w:tcW w:w="558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176,853</w:t>
            </w:r>
          </w:p>
        </w:tc>
        <w:tc>
          <w:tcPr>
            <w:tcW w:w="100" w:type="dxa"/>
            <w:vAlign w:val="bottom"/>
          </w:tcPr>
          <w:p>
            <w:pPr>
              <w:spacing w:after="0"/>
              <w:rPr>
                <w:sz w:val="14"/>
                <w:szCs w:val="14"/>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tcPr>
          <w:p>
            <w:pPr>
              <w:ind w:left="82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5,886</w:t>
            </w:r>
          </w:p>
        </w:tc>
        <w:tc>
          <w:tcPr>
            <w:tcW w:w="3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170,967</w:t>
            </w:r>
          </w:p>
        </w:tc>
      </w:tr>
      <w:tr>
        <w:trPr>
          <w:trHeight w:val="20"/>
        </w:trPr>
        <w:tc>
          <w:tcPr>
            <w:tcW w:w="5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provides a reconciliation of the beginning and ending balances of recurring fair value measurements using significant unobservable inputs (Level 3)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Capped Call Derivative</w:t>
            </w:r>
          </w:p>
        </w:tc>
        <w:tc>
          <w:tcPr>
            <w:tcW w:w="200" w:type="dxa"/>
            <w:vAlign w:val="bottom"/>
          </w:tcPr>
          <w:p>
            <w:pPr>
              <w:spacing w:after="0"/>
              <w:rPr>
                <w:sz w:val="14"/>
                <w:szCs w:val="14"/>
                <w:color w:val="auto"/>
              </w:rPr>
            </w:pPr>
          </w:p>
        </w:tc>
        <w:tc>
          <w:tcPr>
            <w:tcW w:w="1540" w:type="dxa"/>
            <w:vAlign w:val="bottom"/>
          </w:tcPr>
          <w:p>
            <w:pPr>
              <w:jc w:val="center"/>
              <w:ind w:right="129"/>
              <w:spacing w:after="0"/>
              <w:rPr>
                <w:sz w:val="20"/>
                <w:szCs w:val="20"/>
                <w:color w:val="auto"/>
              </w:rPr>
            </w:pPr>
            <w:r>
              <w:rPr>
                <w:rFonts w:ascii="Arial" w:cs="Arial" w:eastAsia="Arial" w:hAnsi="Arial"/>
                <w:sz w:val="14"/>
                <w:szCs w:val="14"/>
                <w:b w:val="1"/>
                <w:bCs w:val="1"/>
                <w:color w:val="auto"/>
                <w:w w:val="91"/>
              </w:rPr>
              <w:t>Convertible Notes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Embedded Exchange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w w:val="96"/>
              </w:rPr>
              <w:t>Contingent Consideration</w:t>
            </w:r>
          </w:p>
        </w:tc>
      </w:tr>
      <w:tr>
        <w:trPr>
          <w:trHeight w:val="180"/>
        </w:trPr>
        <w:tc>
          <w:tcPr>
            <w:tcW w:w="4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3"/>
              </w:rPr>
              <w:t>Asset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5"/>
                <w:szCs w:val="15"/>
                <w:color w:val="auto"/>
              </w:rPr>
            </w:pP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Feature Derivative Liability</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7"/>
              </w:rPr>
              <w:t>Liability Arrangements</w:t>
            </w:r>
          </w:p>
        </w:tc>
        <w:tc>
          <w:tcPr>
            <w:tcW w:w="20" w:type="dxa"/>
            <w:vAlign w:val="bottom"/>
          </w:tcPr>
          <w:p>
            <w:pPr>
              <w:spacing w:after="0"/>
              <w:rPr>
                <w:sz w:val="15"/>
                <w:szCs w:val="15"/>
                <w:color w:val="auto"/>
              </w:rPr>
            </w:pPr>
          </w:p>
        </w:tc>
      </w:tr>
      <w:tr>
        <w:trPr>
          <w:trHeight w:val="182"/>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2022 - long-term</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center"/>
              <w:ind w:left="1029"/>
              <w:spacing w:after="0"/>
              <w:rPr>
                <w:sz w:val="20"/>
                <w:szCs w:val="20"/>
                <w:color w:val="auto"/>
              </w:rPr>
            </w:pPr>
            <w:r>
              <w:rPr>
                <w:rFonts w:ascii="Arial" w:cs="Arial" w:eastAsia="Arial" w:hAnsi="Arial"/>
                <w:sz w:val="14"/>
                <w:szCs w:val="14"/>
                <w:color w:val="auto"/>
                <w:w w:val="93"/>
              </w:rPr>
              <w:t>54,393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285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center"/>
              <w:ind w:left="1009"/>
              <w:spacing w:after="0"/>
              <w:rPr>
                <w:sz w:val="20"/>
                <w:szCs w:val="20"/>
                <w:color w:val="auto"/>
              </w:rPr>
            </w:pPr>
            <w:r>
              <w:rPr>
                <w:rFonts w:ascii="Arial" w:cs="Arial" w:eastAsia="Arial" w:hAnsi="Arial"/>
                <w:sz w:val="14"/>
                <w:szCs w:val="14"/>
                <w:color w:val="auto"/>
                <w:w w:val="88"/>
              </w:rPr>
              <w:t>85,675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85,292</w:t>
            </w:r>
          </w:p>
        </w:tc>
        <w:tc>
          <w:tcPr>
            <w:tcW w:w="20" w:type="dxa"/>
            <w:vAlign w:val="bottom"/>
          </w:tcPr>
          <w:p>
            <w:pPr>
              <w:spacing w:after="0"/>
              <w:rPr>
                <w:sz w:val="15"/>
                <w:szCs w:val="15"/>
                <w:color w:val="auto"/>
              </w:rPr>
            </w:pPr>
          </w:p>
        </w:tc>
      </w:tr>
      <w:tr>
        <w:trPr>
          <w:trHeight w:val="180"/>
        </w:trPr>
        <w:tc>
          <w:tcPr>
            <w:tcW w:w="4000" w:type="dxa"/>
            <w:vAlign w:val="bottom"/>
          </w:tcPr>
          <w:p>
            <w:pPr>
              <w:ind w:left="20"/>
              <w:spacing w:after="0"/>
              <w:rPr>
                <w:sz w:val="20"/>
                <w:szCs w:val="20"/>
                <w:color w:val="auto"/>
              </w:rPr>
            </w:pPr>
            <w:r>
              <w:rPr>
                <w:rFonts w:ascii="Arial" w:cs="Arial" w:eastAsia="Arial" w:hAnsi="Arial"/>
                <w:sz w:val="14"/>
                <w:szCs w:val="14"/>
                <w:color w:val="auto"/>
              </w:rPr>
              <w:t>Changes in fair value</w:t>
            </w: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left="1029"/>
              <w:spacing w:after="0"/>
              <w:rPr>
                <w:sz w:val="20"/>
                <w:szCs w:val="20"/>
                <w:color w:val="auto"/>
              </w:rPr>
            </w:pPr>
            <w:r>
              <w:rPr>
                <w:rFonts w:ascii="Arial" w:cs="Arial" w:eastAsia="Arial" w:hAnsi="Arial"/>
                <w:sz w:val="14"/>
                <w:szCs w:val="14"/>
                <w:color w:val="auto"/>
                <w:w w:val="91"/>
              </w:rPr>
              <w:t>(12,359)</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w w:val="96"/>
              </w:rPr>
              <w:t>(10)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left="989"/>
              <w:spacing w:after="0"/>
              <w:rPr>
                <w:sz w:val="20"/>
                <w:szCs w:val="20"/>
                <w:color w:val="auto"/>
              </w:rPr>
            </w:pPr>
            <w:r>
              <w:rPr>
                <w:rFonts w:ascii="Arial" w:cs="Arial" w:eastAsia="Arial" w:hAnsi="Arial"/>
                <w:sz w:val="14"/>
                <w:szCs w:val="14"/>
                <w:color w:val="auto"/>
                <w:w w:val="91"/>
              </w:rPr>
              <w:t>(31,970)</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7,334</w:t>
            </w:r>
          </w:p>
        </w:tc>
        <w:tc>
          <w:tcPr>
            <w:tcW w:w="20" w:type="dxa"/>
            <w:vAlign w:val="bottom"/>
          </w:tcPr>
          <w:p>
            <w:pPr>
              <w:spacing w:after="0"/>
              <w:rPr>
                <w:sz w:val="15"/>
                <w:szCs w:val="15"/>
                <w:color w:val="auto"/>
              </w:rPr>
            </w:pPr>
          </w:p>
        </w:tc>
      </w:tr>
      <w:tr>
        <w:trPr>
          <w:trHeight w:val="191"/>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at June 30, 2023 - long-term</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center"/>
              <w:ind w:left="1029"/>
              <w:spacing w:after="0"/>
              <w:rPr>
                <w:sz w:val="20"/>
                <w:szCs w:val="20"/>
                <w:color w:val="auto"/>
              </w:rPr>
            </w:pPr>
            <w:r>
              <w:rPr>
                <w:rFonts w:ascii="Arial" w:cs="Arial" w:eastAsia="Arial" w:hAnsi="Arial"/>
                <w:sz w:val="14"/>
                <w:szCs w:val="14"/>
                <w:color w:val="auto"/>
                <w:w w:val="93"/>
              </w:rPr>
              <w:t>42,034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4"/>
                <w:szCs w:val="14"/>
                <w:color w:val="auto"/>
              </w:rPr>
              <w:t>275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center"/>
              <w:ind w:left="1009"/>
              <w:spacing w:after="0"/>
              <w:rPr>
                <w:sz w:val="20"/>
                <w:szCs w:val="20"/>
                <w:color w:val="auto"/>
              </w:rPr>
            </w:pPr>
            <w:r>
              <w:rPr>
                <w:rFonts w:ascii="Arial" w:cs="Arial" w:eastAsia="Arial" w:hAnsi="Arial"/>
                <w:sz w:val="14"/>
                <w:szCs w:val="14"/>
                <w:color w:val="auto"/>
                <w:w w:val="88"/>
              </w:rPr>
              <w:t>53,705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92,626</w:t>
            </w:r>
          </w:p>
        </w:tc>
        <w:tc>
          <w:tcPr>
            <w:tcW w:w="20" w:type="dxa"/>
            <w:vAlign w:val="bottom"/>
          </w:tcPr>
          <w:p>
            <w:pPr>
              <w:spacing w:after="0"/>
              <w:rPr>
                <w:sz w:val="16"/>
                <w:szCs w:val="16"/>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9"/>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2"/>
        </w:trPr>
        <w:tc>
          <w:tcPr>
            <w:tcW w:w="40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Embedded Exchange Feature and Capped Call Derivatives</w:t>
      </w:r>
    </w:p>
    <w:p>
      <w:pPr>
        <w:spacing w:after="0" w:line="83" w:lineRule="exact"/>
        <w:rPr>
          <w:sz w:val="20"/>
          <w:szCs w:val="20"/>
          <w:color w:val="auto"/>
        </w:rPr>
      </w:pPr>
    </w:p>
    <w:p>
      <w:pPr>
        <w:ind w:right="160" w:firstLine="127"/>
        <w:spacing w:after="0" w:line="272" w:lineRule="auto"/>
        <w:rPr>
          <w:sz w:val="20"/>
          <w:szCs w:val="20"/>
          <w:color w:val="auto"/>
        </w:rPr>
      </w:pPr>
      <w:r>
        <w:rPr>
          <w:rFonts w:ascii="Arial" w:cs="Arial" w:eastAsia="Arial" w:hAnsi="Arial"/>
          <w:sz w:val="14"/>
          <w:szCs w:val="14"/>
          <w:color w:val="auto"/>
        </w:rPr>
        <w:t>In June 2020, the Company issued $287.5 million in cash exchangeable senior notes and entered into related capped call transactions. The cash exchangeable senior notes include an embedded exchange feature that is bifurcated from the cash exchangeable senior notes. Please refer to “Note 5. Financing Arrangements” for further details. The embedded exchange feature derivative is measured at fair value using a binomial lattice model and discounted cash flows that utilize observable and unobservable market data. The capped call derivative is measured at fair value using the Black-Scholes model utilizing observable and unobservable market data, including stock price, remaining contractual term, expected volatility, risk-free interest rate and expected dividend yield, as applicable.</w:t>
      </w:r>
    </w:p>
    <w:p>
      <w:pPr>
        <w:spacing w:after="0" w:line="64" w:lineRule="exact"/>
        <w:rPr>
          <w:sz w:val="20"/>
          <w:szCs w:val="20"/>
          <w:color w:val="auto"/>
        </w:rPr>
      </w:pPr>
    </w:p>
    <w:p>
      <w:pPr>
        <w:ind w:right="40" w:firstLine="127"/>
        <w:spacing w:after="0" w:line="268" w:lineRule="auto"/>
        <w:rPr>
          <w:sz w:val="20"/>
          <w:szCs w:val="20"/>
          <w:color w:val="auto"/>
        </w:rPr>
      </w:pPr>
      <w:r>
        <w:rPr>
          <w:rFonts w:ascii="Arial" w:cs="Arial" w:eastAsia="Arial" w:hAnsi="Arial"/>
          <w:sz w:val="14"/>
          <w:szCs w:val="14"/>
          <w:color w:val="auto"/>
        </w:rPr>
        <w:t>The embedded exchange feature and capped call derivatives are classified as Level 3 as the Company uses historical volatility and implied volatility from options traded to determine expected stock price volatility, an unobservable input that is significant to the valuation. In general, an increase in LivaNova’s stock price or stock price volatility would increase the fair value of the embedded exchange feature and capped call derivatives which would result in an increase in expense. As time to the expiration of the derivatives decreases, the fair value of the derivatives would decrease. The future impact on net income depends on how significant inputs such as stock price, stock price volatility and time to the expiration of the derivatives change in relation to other inputs. Changes in the fair value of the embedded exchange feature derivative and capped call derivatives are recognized in foreign exchange and other income/(expense) in the condensed consolidated statements of income.</w:t>
      </w:r>
    </w:p>
    <w:p>
      <w:pPr>
        <w:spacing w:after="0" w:line="67" w:lineRule="exact"/>
        <w:rPr>
          <w:sz w:val="20"/>
          <w:szCs w:val="20"/>
          <w:color w:val="auto"/>
        </w:rPr>
      </w:pPr>
    </w:p>
    <w:p>
      <w:pPr>
        <w:jc w:val="both"/>
        <w:ind w:right="20" w:firstLine="127"/>
        <w:spacing w:after="0" w:line="300" w:lineRule="auto"/>
        <w:rPr>
          <w:sz w:val="20"/>
          <w:szCs w:val="20"/>
          <w:color w:val="auto"/>
        </w:rPr>
      </w:pPr>
      <w:r>
        <w:rPr>
          <w:rFonts w:ascii="Arial" w:cs="Arial" w:eastAsia="Arial" w:hAnsi="Arial"/>
          <w:sz w:val="13"/>
          <w:szCs w:val="13"/>
          <w:color w:val="auto"/>
        </w:rPr>
        <w:t>The fair value of the embedded exchange feature derivative liability and the capped call derivative assets was $53.7 million and $42.0 million, respectively, as of June 30, 2023, and the stock price volatility was 36%. As of June 30, 2023, a 10% lower volatility, holding other inputs constant, would reduce the fair value for the embedded exchange feature derivative liability by $13.8 million, and a 10% higher volatility, holding other inputs constant, would increase the fair value by $14.4 million. As of June 30, 2023, a 10% lower volatility, holding other inputs constant, would reduce the fair value for the capped call derivatives by $9.2 million, and a 10% higher volatility, holding other inputs constant, would increase the fair value by $4.0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Contingent Consideration Arrangements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60" w:type="dxa"/>
            <w:vAlign w:val="bottom"/>
          </w:tcPr>
          <w:p>
            <w:pPr>
              <w:ind w:left="140"/>
              <w:spacing w:after="0"/>
              <w:rPr>
                <w:sz w:val="20"/>
                <w:szCs w:val="20"/>
                <w:color w:val="auto"/>
              </w:rPr>
            </w:pPr>
            <w:r>
              <w:rPr>
                <w:rFonts w:ascii="Arial" w:cs="Arial" w:eastAsia="Arial" w:hAnsi="Arial"/>
                <w:sz w:val="14"/>
                <w:szCs w:val="14"/>
                <w:color w:val="auto"/>
                <w:w w:val="94"/>
              </w:rPr>
              <w:t>The following table provides the fair value of Level 3 contingent consideration arrangements by acquisition (in thousands):</w:t>
            </w:r>
          </w:p>
        </w:tc>
        <w:tc>
          <w:tcPr>
            <w:tcW w:w="1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2"/>
        </w:trPr>
        <w:tc>
          <w:tcPr>
            <w:tcW w:w="726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December 31, 2022</w:t>
            </w:r>
          </w:p>
        </w:tc>
      </w:tr>
      <w:tr>
        <w:trPr>
          <w:trHeight w:val="182"/>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ImThera</w:t>
            </w:r>
          </w:p>
        </w:tc>
        <w:tc>
          <w:tcPr>
            <w:tcW w:w="144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74,941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69,389</w:t>
            </w:r>
          </w:p>
        </w:tc>
      </w:tr>
      <w:tr>
        <w:trPr>
          <w:trHeight w:val="180"/>
        </w:trPr>
        <w:tc>
          <w:tcPr>
            <w:tcW w:w="7260" w:type="dxa"/>
            <w:vAlign w:val="bottom"/>
          </w:tcPr>
          <w:p>
            <w:pPr>
              <w:ind w:left="20"/>
              <w:spacing w:after="0"/>
              <w:rPr>
                <w:sz w:val="20"/>
                <w:szCs w:val="20"/>
                <w:color w:val="auto"/>
              </w:rPr>
            </w:pPr>
            <w:r>
              <w:rPr>
                <w:rFonts w:ascii="Arial" w:cs="Arial" w:eastAsia="Arial" w:hAnsi="Arial"/>
                <w:sz w:val="14"/>
                <w:szCs w:val="14"/>
                <w:color w:val="auto"/>
              </w:rPr>
              <w:t>ALung</w:t>
            </w:r>
          </w:p>
        </w:tc>
        <w:tc>
          <w:tcPr>
            <w:tcW w:w="1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17,685</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15,903</w:t>
            </w:r>
          </w:p>
        </w:tc>
      </w:tr>
      <w:tr>
        <w:trPr>
          <w:trHeight w:val="191"/>
        </w:trPr>
        <w:tc>
          <w:tcPr>
            <w:tcW w:w="7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92,626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85,292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80" w:firstLine="127"/>
        <w:spacing w:after="0" w:line="275" w:lineRule="auto"/>
        <w:rPr>
          <w:sz w:val="20"/>
          <w:szCs w:val="20"/>
          <w:color w:val="auto"/>
        </w:rPr>
      </w:pPr>
      <w:r>
        <w:rPr>
          <w:rFonts w:ascii="Arial" w:cs="Arial" w:eastAsia="Arial" w:hAnsi="Arial"/>
          <w:sz w:val="14"/>
          <w:szCs w:val="14"/>
          <w:color w:val="auto"/>
        </w:rPr>
        <w:t>The ImThera business combination involved contingent consideration arrangements composed of potential cash payments upon the achievement of a certain regulatory milestone and a sales-based earnout associated with sales of products. The sales-based earnouts are valued using projected sales from LivaNova’s internal strategic plan. These arrangements are Level 3 fair value measurements and include the following significant unobservable inputs as of June 30,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ImThera Acquisition</w:t>
            </w:r>
          </w:p>
        </w:tc>
        <w:tc>
          <w:tcPr>
            <w:tcW w:w="100" w:type="dxa"/>
            <w:vAlign w:val="bottom"/>
          </w:tcPr>
          <w:p>
            <w:pPr>
              <w:spacing w:after="0"/>
              <w:rPr>
                <w:sz w:val="16"/>
                <w:szCs w:val="16"/>
                <w:color w:val="auto"/>
              </w:rPr>
            </w:pPr>
          </w:p>
        </w:tc>
        <w:tc>
          <w:tcPr>
            <w:tcW w:w="20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w w:val="94"/>
              </w:rPr>
              <w:t>Valuation Technique</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tcPr>
          <w:p>
            <w:pPr>
              <w:spacing w:after="0"/>
              <w:rPr>
                <w:sz w:val="16"/>
                <w:szCs w:val="16"/>
                <w:color w:val="auto"/>
              </w:rPr>
            </w:pPr>
          </w:p>
        </w:tc>
        <w:tc>
          <w:tcPr>
            <w:tcW w:w="200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Inputs</w:t>
            </w:r>
          </w:p>
        </w:tc>
      </w:tr>
      <w:tr>
        <w:trPr>
          <w:trHeight w:val="171"/>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Regulatory milestone-based payment</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Discounted cash flow</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2100" w:type="dxa"/>
            <w:vAlign w:val="bottom"/>
            <w:gridSpan w:val="3"/>
            <w:shd w:val="clear" w:color="auto" w:fill="CCEEFF"/>
          </w:tcPr>
          <w:p>
            <w:pPr>
              <w:jc w:val="center"/>
              <w:ind w:left="29"/>
              <w:spacing w:after="0"/>
              <w:rPr>
                <w:sz w:val="20"/>
                <w:szCs w:val="20"/>
                <w:color w:val="auto"/>
              </w:rPr>
            </w:pPr>
            <w:r>
              <w:rPr>
                <w:rFonts w:ascii="Arial" w:cs="Arial" w:eastAsia="Arial" w:hAnsi="Arial"/>
                <w:sz w:val="14"/>
                <w:szCs w:val="14"/>
                <w:color w:val="auto"/>
                <w:w w:val="87"/>
              </w:rPr>
              <w:t>9.7%</w:t>
            </w:r>
          </w:p>
        </w:tc>
      </w:tr>
      <w:tr>
        <w:trPr>
          <w:trHeight w:val="185"/>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auto"/>
              </w:rPr>
              <w:t>Probability of payment</w:t>
            </w:r>
          </w:p>
        </w:tc>
        <w:tc>
          <w:tcPr>
            <w:tcW w:w="2100" w:type="dxa"/>
            <w:vAlign w:val="bottom"/>
            <w:gridSpan w:val="3"/>
          </w:tcPr>
          <w:p>
            <w:pPr>
              <w:jc w:val="center"/>
              <w:ind w:left="49"/>
              <w:spacing w:after="0"/>
              <w:rPr>
                <w:sz w:val="20"/>
                <w:szCs w:val="20"/>
                <w:color w:val="auto"/>
              </w:rPr>
            </w:pPr>
            <w:r>
              <w:rPr>
                <w:rFonts w:ascii="Arial" w:cs="Arial" w:eastAsia="Arial" w:hAnsi="Arial"/>
                <w:sz w:val="14"/>
                <w:szCs w:val="14"/>
                <w:color w:val="auto"/>
                <w:w w:val="92"/>
              </w:rPr>
              <w:t>85%</w:t>
            </w:r>
          </w:p>
        </w:tc>
      </w:tr>
      <w:tr>
        <w:trPr>
          <w:trHeight w:val="186"/>
        </w:trPr>
        <w:tc>
          <w:tcPr>
            <w:tcW w:w="3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payment year</w:t>
            </w:r>
          </w:p>
        </w:tc>
        <w:tc>
          <w:tcPr>
            <w:tcW w:w="2100" w:type="dxa"/>
            <w:vAlign w:val="bottom"/>
            <w:gridSpan w:val="3"/>
            <w:shd w:val="clear" w:color="auto" w:fill="CCEEFF"/>
          </w:tcPr>
          <w:p>
            <w:pPr>
              <w:jc w:val="center"/>
              <w:ind w:left="29"/>
              <w:spacing w:after="0"/>
              <w:rPr>
                <w:sz w:val="20"/>
                <w:szCs w:val="20"/>
                <w:color w:val="auto"/>
              </w:rPr>
            </w:pPr>
            <w:r>
              <w:rPr>
                <w:rFonts w:ascii="Arial" w:cs="Arial" w:eastAsia="Arial" w:hAnsi="Arial"/>
                <w:sz w:val="14"/>
                <w:szCs w:val="14"/>
                <w:color w:val="auto"/>
                <w:w w:val="89"/>
              </w:rPr>
              <w:t>2025</w:t>
            </w:r>
          </w:p>
        </w:tc>
      </w:tr>
      <w:tr>
        <w:trPr>
          <w:trHeight w:val="212"/>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Sales-based earnout</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Monte Carlo simulation</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Risk-adjusted discount rate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- 15.0%</w:t>
            </w:r>
          </w:p>
        </w:tc>
      </w:tr>
      <w:tr>
        <w:trPr>
          <w:trHeight w:val="185"/>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auto"/>
              </w:rPr>
              <w:t>Credit risk discount rate</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40" w:type="dxa"/>
            <w:vAlign w:val="bottom"/>
          </w:tcPr>
          <w:p>
            <w:pPr>
              <w:ind w:left="20"/>
              <w:spacing w:after="0"/>
              <w:rPr>
                <w:sz w:val="20"/>
                <w:szCs w:val="20"/>
                <w:color w:val="auto"/>
              </w:rPr>
            </w:pPr>
            <w:r>
              <w:rPr>
                <w:rFonts w:ascii="Arial" w:cs="Arial" w:eastAsia="Arial" w:hAnsi="Arial"/>
                <w:sz w:val="14"/>
                <w:szCs w:val="14"/>
                <w:color w:val="auto"/>
              </w:rPr>
              <w:t>- 10.5%</w:t>
            </w:r>
          </w:p>
        </w:tc>
      </w:tr>
      <w:tr>
        <w:trPr>
          <w:trHeight w:val="186"/>
        </w:trPr>
        <w:tc>
          <w:tcPr>
            <w:tcW w:w="3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volatility</w:t>
            </w:r>
          </w:p>
        </w:tc>
        <w:tc>
          <w:tcPr>
            <w:tcW w:w="2100" w:type="dxa"/>
            <w:vAlign w:val="bottom"/>
            <w:gridSpan w:val="3"/>
            <w:shd w:val="clear" w:color="auto" w:fill="CCEEFF"/>
          </w:tcPr>
          <w:p>
            <w:pPr>
              <w:jc w:val="center"/>
              <w:ind w:left="29"/>
              <w:spacing w:after="0"/>
              <w:rPr>
                <w:sz w:val="20"/>
                <w:szCs w:val="20"/>
                <w:color w:val="auto"/>
              </w:rPr>
            </w:pPr>
            <w:r>
              <w:rPr>
                <w:rFonts w:ascii="Arial" w:cs="Arial" w:eastAsia="Arial" w:hAnsi="Arial"/>
                <w:sz w:val="14"/>
                <w:szCs w:val="14"/>
                <w:color w:val="auto"/>
                <w:w w:val="90"/>
              </w:rPr>
              <w:t>32.5%</w:t>
            </w: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auto"/>
              </w:rPr>
              <w:t>Probability of payment</w:t>
            </w:r>
          </w:p>
        </w:tc>
        <w:tc>
          <w:tcPr>
            <w:tcW w:w="2100" w:type="dxa"/>
            <w:vAlign w:val="bottom"/>
            <w:gridSpan w:val="3"/>
          </w:tcPr>
          <w:p>
            <w:pPr>
              <w:jc w:val="center"/>
              <w:ind w:left="49"/>
              <w:spacing w:after="0"/>
              <w:rPr>
                <w:sz w:val="20"/>
                <w:szCs w:val="20"/>
                <w:color w:val="auto"/>
              </w:rPr>
            </w:pPr>
            <w:r>
              <w:rPr>
                <w:rFonts w:ascii="Arial" w:cs="Arial" w:eastAsia="Arial" w:hAnsi="Arial"/>
                <w:sz w:val="14"/>
                <w:szCs w:val="14"/>
                <w:color w:val="auto"/>
                <w:w w:val="92"/>
              </w:rPr>
              <w:t>85%</w:t>
            </w:r>
          </w:p>
        </w:tc>
      </w:tr>
      <w:tr>
        <w:trPr>
          <w:trHeight w:val="191"/>
        </w:trPr>
        <w:tc>
          <w:tcPr>
            <w:tcW w:w="3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years of earnout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- 2029</w:t>
            </w:r>
          </w:p>
        </w:tc>
      </w:tr>
      <w:tr>
        <w:trPr>
          <w:trHeight w:val="668"/>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0" w:type="dxa"/>
            <w:vAlign w:val="bottom"/>
          </w:tcPr>
          <w:p>
            <w:pPr>
              <w:jc w:val="right"/>
              <w:ind w:right="34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1"/>
        </w:trPr>
        <w:tc>
          <w:tcPr>
            <w:tcW w:w="34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4" w:name="page15"/>
    <w:bookmarkEnd w:id="14"/>
    <w:p>
      <w:pPr>
        <w:ind w:left="140"/>
        <w:spacing w:after="0"/>
        <w:rPr>
          <w:sz w:val="20"/>
          <w:szCs w:val="20"/>
          <w:color w:val="auto"/>
        </w:rPr>
      </w:pPr>
      <w:r>
        <w:rPr>
          <w:rFonts w:ascii="Arial" w:cs="Arial" w:eastAsia="Arial" w:hAnsi="Arial"/>
          <w:sz w:val="12"/>
          <w:szCs w:val="12"/>
          <w:color w:val="auto"/>
        </w:rPr>
        <w:t>The ALung business combination involved a contingent consideration arrangement composed of potential cash payments upon the achievement of certain sales-based thresholds associated with</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560" w:type="dxa"/>
            <w:vAlign w:val="bottom"/>
            <w:gridSpan w:val="5"/>
          </w:tcPr>
          <w:p>
            <w:pPr>
              <w:spacing w:after="0"/>
              <w:rPr>
                <w:sz w:val="20"/>
                <w:szCs w:val="20"/>
                <w:color w:val="auto"/>
              </w:rPr>
            </w:pPr>
            <w:r>
              <w:rPr>
                <w:rFonts w:ascii="Arial" w:cs="Arial" w:eastAsia="Arial" w:hAnsi="Arial"/>
                <w:sz w:val="14"/>
                <w:szCs w:val="14"/>
                <w:color w:val="auto"/>
              </w:rPr>
              <w:t>sales of products. The arrangement is a Level 3 fair value measurement and includes the following significant unobservable inputs as of June 30, 2023:</w:t>
            </w: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76"/>
        </w:trPr>
        <w:tc>
          <w:tcPr>
            <w:tcW w:w="34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ALung Acquisition</w:t>
            </w:r>
          </w:p>
        </w:tc>
        <w:tc>
          <w:tcPr>
            <w:tcW w:w="100" w:type="dxa"/>
            <w:vAlign w:val="bottom"/>
          </w:tcPr>
          <w:p>
            <w:pPr>
              <w:spacing w:after="0"/>
              <w:rPr>
                <w:sz w:val="24"/>
                <w:szCs w:val="24"/>
                <w:color w:val="auto"/>
              </w:rPr>
            </w:pPr>
          </w:p>
        </w:tc>
        <w:tc>
          <w:tcPr>
            <w:tcW w:w="29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24"/>
                <w:szCs w:val="24"/>
                <w:color w:val="auto"/>
              </w:rPr>
            </w:pPr>
          </w:p>
        </w:tc>
        <w:tc>
          <w:tcPr>
            <w:tcW w:w="300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Unobservable Input</w:t>
            </w:r>
          </w:p>
        </w:tc>
        <w:tc>
          <w:tcPr>
            <w:tcW w:w="120" w:type="dxa"/>
            <w:vAlign w:val="bottom"/>
          </w:tcPr>
          <w:p>
            <w:pPr>
              <w:spacing w:after="0"/>
              <w:rPr>
                <w:sz w:val="24"/>
                <w:szCs w:val="24"/>
                <w:color w:val="auto"/>
              </w:rPr>
            </w:pPr>
          </w:p>
        </w:tc>
        <w:tc>
          <w:tcPr>
            <w:tcW w:w="16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Inputs</w:t>
            </w:r>
          </w:p>
        </w:tc>
      </w:tr>
      <w:tr>
        <w:trPr>
          <w:trHeight w:val="182"/>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Sales-based earnout</w:t>
            </w:r>
          </w:p>
        </w:tc>
        <w:tc>
          <w:tcPr>
            <w:tcW w:w="10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Monte Carlo simulation</w:t>
            </w:r>
          </w:p>
        </w:tc>
        <w:tc>
          <w:tcPr>
            <w:tcW w:w="12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Risk-adjusted discount rate</w:t>
            </w:r>
          </w:p>
        </w:tc>
        <w:tc>
          <w:tcPr>
            <w:tcW w:w="172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1"/>
              </w:rPr>
              <w:t>10.0% - 11.0%</w:t>
            </w:r>
          </w:p>
        </w:tc>
      </w:tr>
      <w:tr>
        <w:trPr>
          <w:trHeight w:val="180"/>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Credit risk discount rate</w:t>
            </w:r>
          </w:p>
        </w:tc>
        <w:tc>
          <w:tcPr>
            <w:tcW w:w="1720" w:type="dxa"/>
            <w:vAlign w:val="bottom"/>
            <w:gridSpan w:val="2"/>
          </w:tcPr>
          <w:p>
            <w:pPr>
              <w:jc w:val="center"/>
              <w:ind w:left="29"/>
              <w:spacing w:after="0"/>
              <w:rPr>
                <w:sz w:val="20"/>
                <w:szCs w:val="20"/>
                <w:color w:val="auto"/>
              </w:rPr>
            </w:pPr>
            <w:r>
              <w:rPr>
                <w:rFonts w:ascii="Arial" w:cs="Arial" w:eastAsia="Arial" w:hAnsi="Arial"/>
                <w:sz w:val="14"/>
                <w:szCs w:val="14"/>
                <w:color w:val="auto"/>
                <w:w w:val="92"/>
              </w:rPr>
              <w:t>9.5% - 10.2%</w:t>
            </w:r>
          </w:p>
        </w:tc>
      </w:tr>
      <w:tr>
        <w:trPr>
          <w:trHeight w:val="181"/>
        </w:trPr>
        <w:tc>
          <w:tcPr>
            <w:tcW w:w="3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Revenue volatility</w:t>
            </w:r>
          </w:p>
        </w:tc>
        <w:tc>
          <w:tcPr>
            <w:tcW w:w="172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0"/>
              </w:rPr>
              <w:t>32.8%</w:t>
            </w:r>
          </w:p>
        </w:tc>
      </w:tr>
      <w:tr>
        <w:trPr>
          <w:trHeight w:val="180"/>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Projected years of earnout</w:t>
            </w:r>
          </w:p>
        </w:tc>
        <w:tc>
          <w:tcPr>
            <w:tcW w:w="1720" w:type="dxa"/>
            <w:vAlign w:val="bottom"/>
            <w:gridSpan w:val="2"/>
          </w:tcPr>
          <w:p>
            <w:pPr>
              <w:jc w:val="center"/>
              <w:ind w:left="49"/>
              <w:spacing w:after="0"/>
              <w:rPr>
                <w:sz w:val="20"/>
                <w:szCs w:val="20"/>
                <w:color w:val="auto"/>
              </w:rPr>
            </w:pPr>
            <w:r>
              <w:rPr>
                <w:rFonts w:ascii="Arial" w:cs="Arial" w:eastAsia="Arial" w:hAnsi="Arial"/>
                <w:sz w:val="14"/>
                <w:szCs w:val="14"/>
                <w:color w:val="auto"/>
                <w:w w:val="90"/>
              </w:rPr>
              <w:t>2023 - 2027</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Financing Arrangements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300" w:type="dxa"/>
            <w:vAlign w:val="bottom"/>
            <w:gridSpan w:val="8"/>
          </w:tcPr>
          <w:p>
            <w:pPr>
              <w:ind w:left="140"/>
              <w:spacing w:after="0"/>
              <w:rPr>
                <w:sz w:val="20"/>
                <w:szCs w:val="20"/>
                <w:color w:val="auto"/>
              </w:rPr>
            </w:pPr>
            <w:r>
              <w:rPr>
                <w:rFonts w:ascii="Arial" w:cs="Arial" w:eastAsia="Arial" w:hAnsi="Arial"/>
                <w:sz w:val="14"/>
                <w:szCs w:val="14"/>
                <w:color w:val="auto"/>
                <w:w w:val="99"/>
              </w:rPr>
              <w:t>The outstanding principal amount of long-term debt as of June 30, 2023 and December 31, 2022 was as follows (in thousands, except interest rates):</w:t>
            </w: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07"/>
        </w:trPr>
        <w:tc>
          <w:tcPr>
            <w:tcW w:w="4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4"/>
              </w:rPr>
              <w:t>June 30, 2023</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12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Rate</w:t>
            </w:r>
          </w:p>
        </w:tc>
      </w:tr>
      <w:tr>
        <w:trPr>
          <w:trHeight w:val="177"/>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Facilities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336,316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289,294</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July 2027</w:t>
            </w:r>
          </w:p>
        </w:tc>
        <w:tc>
          <w:tcPr>
            <w:tcW w:w="12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8.54%</w:t>
            </w:r>
          </w:p>
        </w:tc>
      </w:tr>
      <w:tr>
        <w:trPr>
          <w:trHeight w:val="180"/>
        </w:trPr>
        <w:tc>
          <w:tcPr>
            <w:tcW w:w="4880" w:type="dxa"/>
            <w:vAlign w:val="bottom"/>
          </w:tcPr>
          <w:p>
            <w:pPr>
              <w:ind w:left="20"/>
              <w:spacing w:after="0"/>
              <w:rPr>
                <w:sz w:val="20"/>
                <w:szCs w:val="20"/>
                <w:color w:val="auto"/>
              </w:rPr>
            </w:pPr>
            <w:r>
              <w:rPr>
                <w:rFonts w:ascii="Arial" w:cs="Arial" w:eastAsia="Arial" w:hAnsi="Arial"/>
                <w:sz w:val="14"/>
                <w:szCs w:val="14"/>
                <w:color w:val="auto"/>
              </w:rPr>
              <w:t>2020 Cash Exchangeable Senior Notes</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247,236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239,568</w:t>
            </w: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0"/>
              </w:rPr>
              <w:t>December 2025</w:t>
            </w:r>
          </w:p>
        </w:tc>
        <w:tc>
          <w:tcPr>
            <w:tcW w:w="1980" w:type="dxa"/>
            <w:vAlign w:val="bottom"/>
            <w:gridSpan w:val="2"/>
          </w:tcPr>
          <w:p>
            <w:pPr>
              <w:jc w:val="center"/>
              <w:ind w:left="49"/>
              <w:spacing w:after="0"/>
              <w:rPr>
                <w:sz w:val="20"/>
                <w:szCs w:val="20"/>
                <w:color w:val="auto"/>
              </w:rPr>
            </w:pPr>
            <w:r>
              <w:rPr>
                <w:rFonts w:ascii="Arial" w:cs="Arial" w:eastAsia="Arial" w:hAnsi="Arial"/>
                <w:sz w:val="14"/>
                <w:szCs w:val="14"/>
                <w:color w:val="auto"/>
                <w:w w:val="95"/>
              </w:rPr>
              <w:t>3.00%</w:t>
            </w:r>
          </w:p>
        </w:tc>
      </w:tr>
      <w:tr>
        <w:trPr>
          <w:trHeight w:val="191"/>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 of America Merrill Lynch Banco Múltiplo S.A.</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6,462</w:t>
            </w: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r>
      <w:tr>
        <w:trPr>
          <w:trHeight w:val="180"/>
        </w:trPr>
        <w:tc>
          <w:tcPr>
            <w:tcW w:w="4880" w:type="dxa"/>
            <w:vAlign w:val="bottom"/>
          </w:tcPr>
          <w:p>
            <w:pPr>
              <w:ind w:left="20"/>
              <w:spacing w:after="0"/>
              <w:rPr>
                <w:sz w:val="20"/>
                <w:szCs w:val="20"/>
                <w:color w:val="auto"/>
              </w:rPr>
            </w:pPr>
            <w:r>
              <w:rPr>
                <w:rFonts w:ascii="Arial" w:cs="Arial" w:eastAsia="Arial" w:hAnsi="Arial"/>
                <w:sz w:val="14"/>
                <w:szCs w:val="14"/>
                <w:color w:val="auto"/>
              </w:rPr>
              <w:t>Mediocredito Italiano</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1,601</w:t>
            </w: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0"/>
              </w:rPr>
              <w:t>December 2023</w:t>
            </w:r>
          </w:p>
        </w:tc>
        <w:tc>
          <w:tcPr>
            <w:tcW w:w="1980" w:type="dxa"/>
            <w:vAlign w:val="bottom"/>
            <w:gridSpan w:val="2"/>
          </w:tcPr>
          <w:p>
            <w:pPr>
              <w:jc w:val="center"/>
              <w:ind w:left="49"/>
              <w:spacing w:after="0"/>
              <w:rPr>
                <w:sz w:val="20"/>
                <w:szCs w:val="20"/>
                <w:color w:val="auto"/>
              </w:rPr>
            </w:pPr>
            <w:r>
              <w:rPr>
                <w:rFonts w:ascii="Arial" w:cs="Arial" w:eastAsia="Arial" w:hAnsi="Arial"/>
                <w:sz w:val="14"/>
                <w:szCs w:val="14"/>
                <w:color w:val="auto"/>
                <w:w w:val="93"/>
              </w:rPr>
              <w:t>0.50% - 6.00%</w:t>
            </w:r>
          </w:p>
        </w:tc>
      </w:tr>
      <w:tr>
        <w:trPr>
          <w:trHeight w:val="181"/>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 of America, U.S.</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January 2025</w:t>
            </w:r>
          </w:p>
        </w:tc>
        <w:tc>
          <w:tcPr>
            <w:tcW w:w="198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5"/>
              </w:rPr>
              <w:t>8.31%</w:t>
            </w:r>
          </w:p>
        </w:tc>
      </w:tr>
      <w:tr>
        <w:trPr>
          <w:trHeight w:val="185"/>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r>
      <w:tr>
        <w:trPr>
          <w:trHeight w:val="176"/>
        </w:trPr>
        <w:tc>
          <w:tcPr>
            <w:tcW w:w="4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long-term facilities</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586,395</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538,959</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180"/>
        </w:trPr>
        <w:tc>
          <w:tcPr>
            <w:tcW w:w="4880" w:type="dxa"/>
            <w:vAlign w:val="bottom"/>
          </w:tcPr>
          <w:p>
            <w:pPr>
              <w:ind w:left="20"/>
              <w:spacing w:after="0"/>
              <w:rPr>
                <w:sz w:val="20"/>
                <w:szCs w:val="20"/>
                <w:color w:val="auto"/>
              </w:rPr>
            </w:pPr>
            <w:r>
              <w:rPr>
                <w:rFonts w:ascii="Arial" w:cs="Arial" w:eastAsia="Arial" w:hAnsi="Arial"/>
                <w:sz w:val="14"/>
                <w:szCs w:val="14"/>
                <w:color w:val="auto"/>
              </w:rPr>
              <w:t>Less current portion of long-term debt</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18,444</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20,892</w:t>
            </w: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96"/>
        </w:trPr>
        <w:tc>
          <w:tcPr>
            <w:tcW w:w="4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long-term debt obligations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567,951</w:t>
            </w:r>
          </w:p>
        </w:tc>
        <w:tc>
          <w:tcPr>
            <w:tcW w:w="52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518,067</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w:t>
      </w:r>
    </w:p>
    <w:p>
      <w:pPr>
        <w:spacing w:after="0" w:line="83" w:lineRule="exact"/>
        <w:rPr>
          <w:sz w:val="20"/>
          <w:szCs w:val="20"/>
          <w:color w:val="auto"/>
        </w:rPr>
      </w:pPr>
    </w:p>
    <w:p>
      <w:pPr>
        <w:ind w:right="120" w:firstLine="127"/>
        <w:spacing w:after="0" w:line="297" w:lineRule="auto"/>
        <w:rPr>
          <w:sz w:val="20"/>
          <w:szCs w:val="20"/>
          <w:color w:val="auto"/>
        </w:rPr>
      </w:pPr>
      <w:r>
        <w:rPr>
          <w:rFonts w:ascii="Arial" w:cs="Arial" w:eastAsia="Arial" w:hAnsi="Arial"/>
          <w:sz w:val="14"/>
          <w:szCs w:val="14"/>
          <w:color w:val="auto"/>
        </w:rPr>
        <w:t>The outstanding principal amount of LivaNova’s short-term unsecured revolving credit agreements and other agreements with various banks was $0.6 million and $2.5 million as of June 30, 2023 and December 31, 2022, respectively, with an interest rate of 4.24% and loan terms ranging from overnight to 364 days as of June 30, 2023.</w:t>
      </w:r>
    </w:p>
    <w:p>
      <w:pPr>
        <w:spacing w:after="0" w:line="37" w:lineRule="exact"/>
        <w:rPr>
          <w:sz w:val="20"/>
          <w:szCs w:val="20"/>
          <w:color w:val="auto"/>
        </w:rPr>
      </w:pPr>
    </w:p>
    <w:p>
      <w:pPr>
        <w:ind w:right="80" w:firstLine="127"/>
        <w:spacing w:after="0" w:line="318" w:lineRule="auto"/>
        <w:rPr>
          <w:sz w:val="20"/>
          <w:szCs w:val="20"/>
          <w:color w:val="auto"/>
        </w:rPr>
      </w:pPr>
      <w:r>
        <w:rPr>
          <w:rFonts w:ascii="Arial" w:cs="Arial" w:eastAsia="Arial" w:hAnsi="Arial"/>
          <w:sz w:val="12"/>
          <w:szCs w:val="12"/>
          <w:color w:val="auto"/>
        </w:rPr>
        <w:t>On August 13, 2021, LivaNova PLC and its wholly-owned subsidiary, LivaNova USA as borrower, entered into a First Lien Credit Agreement with the lenders and issuing banks party thereto and Goldman Sachs Bank USA, as First Lien Administrative Agent and First Lien Collateral Agent, relating to a $125 million senior secured multi-currency revolving credit facility to be made available to the borrower, referred to as the 2021 First Lien Credit Agreement. The 2021 First Lien Credit Agreement, as amended from time to time, expires on August 13, 2026, and bears interest at a rate equal to, for USD-denominated loans, an adjusted SOFR with a floor of 0.00%, or a Base Rate, plus, in each case, a variable margin based on the Company’s Total Net Leverage Ratio, as defined in the agreement. Interest is paid monthly or quarterly, as selected by the borrower, with any outstanding principal due at maturity. The 2021 First Lien Credit Agreement also contemplates the payment of commitment fees on the unused portion of the commitments, at a variable percentage based on the Company’s Total Net Leverage Ratio. As of June 30, 2023 and December 31, 2022, the applicable commitment fee percentage was 0.5% per annum. The 2021 First Lien Credit Agreement is available for working capital and other general corporate purposes and, if drawn, can be repaid at any time without premium or penalty. As of June 30, 2023, the Company was in compliance with the financial covenants contained in its 2021 First Lien Credit Agreement.</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There were no outstanding borrowings under the 2021 First Lien Credit Agreement’s $125 million revolving credit facility as of June 30, 2023 and December 31, 2022.</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Bridge Loan Facility</w:t>
      </w:r>
    </w:p>
    <w:p>
      <w:pPr>
        <w:spacing w:after="0" w:line="94" w:lineRule="exact"/>
        <w:rPr>
          <w:sz w:val="20"/>
          <w:szCs w:val="20"/>
          <w:color w:val="auto"/>
        </w:rPr>
      </w:pPr>
    </w:p>
    <w:p>
      <w:pPr>
        <w:ind w:right="20" w:firstLine="127"/>
        <w:spacing w:after="0" w:line="305" w:lineRule="auto"/>
        <w:rPr>
          <w:sz w:val="20"/>
          <w:szCs w:val="20"/>
          <w:color w:val="auto"/>
        </w:rPr>
      </w:pPr>
      <w:r>
        <w:rPr>
          <w:rFonts w:ascii="Arial" w:cs="Arial" w:eastAsia="Arial" w:hAnsi="Arial"/>
          <w:sz w:val="13"/>
          <w:szCs w:val="13"/>
          <w:color w:val="auto"/>
        </w:rPr>
        <w:t>On February 24, 2022, LivaNova PLC and its wholly-owned subsidiary, LivaNova USA entered into the €200 million Bridge Loan Facility. On March 16, 2022, LivaNova entered into Amendment No. 2 to the 2021 First Lien Credit Agreement, which converted the available borrowings under the Bridge Loan Facility from €200 million to $220 million and converted the EURIBOR rate in the 2021 First Lien Credit Agreement to SOFR. LivaNova delivered a borrowing notice for $220 million in connection with the Bridge Loan Facility, which was funded on March 17, 2022.</w:t>
      </w: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5" w:name="page16"/>
    <w:bookmarkEnd w:id="15"/>
    <w:p>
      <w:pPr>
        <w:ind w:right="20" w:firstLine="127"/>
        <w:spacing w:after="0" w:line="297" w:lineRule="auto"/>
        <w:rPr>
          <w:sz w:val="20"/>
          <w:szCs w:val="20"/>
          <w:color w:val="auto"/>
        </w:rPr>
      </w:pPr>
      <w:r>
        <w:rPr>
          <w:rFonts w:ascii="Arial" w:cs="Arial" w:eastAsia="Arial" w:hAnsi="Arial"/>
          <w:sz w:val="13"/>
          <w:szCs w:val="13"/>
          <w:color w:val="auto"/>
        </w:rPr>
        <w:t>On March 18, 2022, LivaNova PLC, acting through its Italian branch, entered into an Indemnity Letter and an Account Pledge Agreement with Barclays, further to which Barclays issued the SNIA Litigation Guarantee. As security for the SNIA Litigation Guarantee, LivaNova is required to grant cash collateral to Barclays in USD in an amount equal to the USD equivalent of 105% of the amount of the SNIA Litigation Guarantee calibrated on a biweekly basis. The proceeds of the Bridge Loan Facility were used by LivaNova to post a portion of the cash collateral supporting the SNIA Litigation Guarantee. Cash collateral classified as restricted cash on the condensed consolidated balance sheet was $311.4 million and $301.4 million as of June 30, 2023 and December 31, 2022, respectively. For additional information regarding the SNIA litigation, please refer to “Note 7. Commitments and Contingencies.”</w:t>
      </w:r>
    </w:p>
    <w:p>
      <w:pPr>
        <w:spacing w:after="0" w:line="40" w:lineRule="exact"/>
        <w:rPr>
          <w:sz w:val="20"/>
          <w:szCs w:val="20"/>
          <w:color w:val="auto"/>
        </w:rPr>
      </w:pPr>
    </w:p>
    <w:p>
      <w:pPr>
        <w:ind w:right="640" w:firstLine="127"/>
        <w:spacing w:after="0" w:line="386" w:lineRule="auto"/>
        <w:rPr>
          <w:sz w:val="20"/>
          <w:szCs w:val="20"/>
          <w:color w:val="auto"/>
        </w:rPr>
      </w:pPr>
      <w:r>
        <w:rPr>
          <w:rFonts w:ascii="Arial" w:cs="Arial" w:eastAsia="Arial" w:hAnsi="Arial"/>
          <w:sz w:val="12"/>
          <w:szCs w:val="12"/>
          <w:color w:val="auto"/>
        </w:rPr>
        <w:t>Debt discounts and issuance costs related to the Bridge Loan Facility were approximately $4.5 million. Amortization of debt discount and issuance costs for the Bridge Loan Facility was $3.6 million and $4.5 million for the three and six months ended June 30, 2022, respectively, and is included in interest expense on the condensed consolidated statement of income.</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Bridge Loan Facility was repaid in full on July 6, 2022.</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Term Facilities</w:t>
      </w:r>
    </w:p>
    <w:p>
      <w:pPr>
        <w:spacing w:after="0" w:line="94" w:lineRule="exact"/>
        <w:rPr>
          <w:sz w:val="20"/>
          <w:szCs w:val="20"/>
          <w:color w:val="auto"/>
        </w:rPr>
      </w:pPr>
    </w:p>
    <w:p>
      <w:pPr>
        <w:ind w:right="20" w:firstLine="127"/>
        <w:spacing w:after="0" w:line="273" w:lineRule="auto"/>
        <w:rPr>
          <w:sz w:val="20"/>
          <w:szCs w:val="20"/>
          <w:color w:val="auto"/>
        </w:rPr>
      </w:pPr>
      <w:r>
        <w:rPr>
          <w:rFonts w:ascii="Arial" w:cs="Arial" w:eastAsia="Arial" w:hAnsi="Arial"/>
          <w:sz w:val="14"/>
          <w:szCs w:val="14"/>
          <w:color w:val="auto"/>
        </w:rPr>
        <w:t>On July 6, 2022, LivaNova and its wholly-owned subsidiary, LivaNova USA, entered into Incremental Facility Amendment No. 2. Incremental Facility Amendment No. 2 provides for LivaNova USA to, among other things, obtain commitments for term loan facilities from a syndicate of lenders in an aggregate principal amount of $350 million consisting of (i) the Initial Term Facility with an aggregate principal amount of $300 million and (ii) the Delayed Draw Term Facility with an additional aggregate principal amount of $50 million. On April 6, 2023, LivaNova drew $50 million under the Delayed Draw Term Facility for general corporate purposes.</w:t>
      </w:r>
    </w:p>
    <w:p>
      <w:pPr>
        <w:spacing w:after="0" w:line="53" w:lineRule="exact"/>
        <w:rPr>
          <w:sz w:val="20"/>
          <w:szCs w:val="20"/>
          <w:color w:val="auto"/>
        </w:rPr>
      </w:pPr>
    </w:p>
    <w:p>
      <w:pPr>
        <w:ind w:right="80" w:firstLine="127"/>
        <w:spacing w:after="0" w:line="292" w:lineRule="auto"/>
        <w:rPr>
          <w:sz w:val="20"/>
          <w:szCs w:val="20"/>
          <w:color w:val="auto"/>
        </w:rPr>
      </w:pPr>
      <w:r>
        <w:rPr>
          <w:rFonts w:ascii="Arial" w:cs="Arial" w:eastAsia="Arial" w:hAnsi="Arial"/>
          <w:sz w:val="13"/>
          <w:szCs w:val="13"/>
          <w:color w:val="auto"/>
        </w:rPr>
        <w:t>Proceeds from the Initial Term Facility were used to repay in full the Bridge Loan Facility on July 6, 2022, with the remainder used for general corporate purposes of the Company. The Term Facilities have a maturity of the earlier of (i) five years or (ii) 91 days prior to December 15, 2025, the maturity date of the 2020 Cash Exchangeable Senior Notes, unless by that date LivaNova USA will have either redeemed or refinanced the Notes, or set aside an amount of cash equal to the then-outstanding principal amount of the Notes. The Term Facilities bear interest at a rate equal to an adjusted term SOFR plus a variable margin based on the Company’s consolidated total net leverage ratio. As of June 30, 2023, the applicable margin over Adjusted SOFR was equal to 3.50% per annum. The Term Facilities are subject to an original issue discount of 1.5% of their principal amount. The Term Facilities are subject to quarterly principal repayment, based on the following amortization schedule: (i) during the first year from the initial funding date: 1.9%; (ii) year two: 5.0%; (ii) year three: 5.0%; (iv) year four: 7.5%; and (v) year five: 10.0%, with the remainder to be paid at maturity. The effective interest rate of the Term Facilities at June 30, 2023 was 6.53%.</w:t>
      </w:r>
    </w:p>
    <w:p>
      <w:pPr>
        <w:spacing w:after="0" w:line="53" w:lineRule="exact"/>
        <w:rPr>
          <w:sz w:val="20"/>
          <w:szCs w:val="20"/>
          <w:color w:val="auto"/>
        </w:rPr>
      </w:pPr>
    </w:p>
    <w:p>
      <w:pPr>
        <w:ind w:right="100" w:firstLine="127"/>
        <w:spacing w:after="0" w:line="268" w:lineRule="auto"/>
        <w:rPr>
          <w:sz w:val="20"/>
          <w:szCs w:val="20"/>
          <w:color w:val="auto"/>
        </w:rPr>
      </w:pPr>
      <w:r>
        <w:rPr>
          <w:rFonts w:ascii="Arial" w:cs="Arial" w:eastAsia="Arial" w:hAnsi="Arial"/>
          <w:sz w:val="14"/>
          <w:szCs w:val="14"/>
          <w:color w:val="auto"/>
        </w:rPr>
        <w:t>The 2021 First Lien Credit Agreement, as amended, contains customary representations, warranties and covenants, including the requirement to maintain a Senior Secured First Lien Net Leverage Ratio, calculated as the ratio of Consolidated Senior Secured First Lien Net Indebtedness to Consolidated EBITDA, as defined in the credit agreement, for the period of four consecutive fiscal quarters ended on the calculation date, of not more than 3.50 to 1.00 and an Interest Coverage Ratio, calculated as the ratio of Consolidated EBITDA to Consolidated Interest Expense, as defined in the credit agreement, for the period of four consecutive fiscal quarters ended on the calculation date, of not less than 3.00 to 1.00. As of June 30, 2023, the Company was in compliance with the financial covenants contained in the 2021 First Lien Credit Agreement.</w:t>
      </w:r>
    </w:p>
    <w:p>
      <w:pPr>
        <w:spacing w:after="0" w:line="67" w:lineRule="exact"/>
        <w:rPr>
          <w:sz w:val="20"/>
          <w:szCs w:val="20"/>
          <w:color w:val="auto"/>
        </w:rPr>
      </w:pPr>
    </w:p>
    <w:p>
      <w:pPr>
        <w:ind w:firstLine="127"/>
        <w:spacing w:after="0" w:line="297" w:lineRule="auto"/>
        <w:rPr>
          <w:sz w:val="20"/>
          <w:szCs w:val="20"/>
          <w:color w:val="auto"/>
        </w:rPr>
      </w:pPr>
      <w:r>
        <w:rPr>
          <w:rFonts w:ascii="Arial" w:cs="Arial" w:eastAsia="Arial" w:hAnsi="Arial"/>
          <w:sz w:val="13"/>
          <w:szCs w:val="13"/>
          <w:color w:val="auto"/>
        </w:rPr>
        <w:t>Debt discounts and issuance costs related to the Initial Term Facility were approximately $9.6 million. Amortization of debt discount and issuance costs for the Initial Term Facility was $0.5 million and $1.0 million for the three and six months ended June 30, 2023, respectively, and is included in interest expense on the condensed consolidated statement of income. The unamortized discount and issuance costs related to the Initial Term Facility as of June 30, 2023 and December 31, 2022 were $7.7 million and $8.7 million, respectively. Issuance costs related to the Delayed Draw Term Facility were approximately $1.6 million. Amortization of issuance costs for the Delayed Draw Term Facility was nil and $0.5 million for the three and six months ended June 30, 2023, respectively, and is included in interest expense on the condensed consolidated statement of income. The issuance costs related to the Delayed Draw Term Facility were fully amortized as of June 30, 2023.</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2020 Cash Exchangeable Senior Notes</w:t>
      </w:r>
    </w:p>
    <w:p>
      <w:pPr>
        <w:spacing w:after="0" w:line="94" w:lineRule="exact"/>
        <w:rPr>
          <w:sz w:val="20"/>
          <w:szCs w:val="20"/>
          <w:color w:val="auto"/>
        </w:rPr>
      </w:pPr>
    </w:p>
    <w:p>
      <w:pPr>
        <w:ind w:right="180" w:firstLine="127"/>
        <w:spacing w:after="0" w:line="273" w:lineRule="auto"/>
        <w:rPr>
          <w:sz w:val="20"/>
          <w:szCs w:val="20"/>
          <w:color w:val="auto"/>
        </w:rPr>
      </w:pPr>
      <w:r>
        <w:rPr>
          <w:rFonts w:ascii="Arial" w:cs="Arial" w:eastAsia="Arial" w:hAnsi="Arial"/>
          <w:sz w:val="14"/>
          <w:szCs w:val="14"/>
          <w:color w:val="auto"/>
        </w:rPr>
        <w:t>On June 17, 2020, LivaNova’s wholly-owned subsidiary, LivaNova USA, issued $287.5 million aggregate principal amount of 3.00% Notes by private placement to qualified institutional buyers pursuant to Rule 144A under the Securities Act. The sale of the Notes resulted in approximately $278.0 million in net proceeds to the Company after deducting issuance costs. Interest is payable semiannually in arrears on June 15 and December 15 of each year. The effective interest rate of the Notes at June 30, 2023 was 9.95%. The Notes mature on December 15, 2025 unless earlier exchanged, repurchased, or redeemed.</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6" w:name="page17"/>
    <w:bookmarkEnd w:id="16"/>
    <w:p>
      <w:pPr>
        <w:ind w:firstLine="127"/>
        <w:spacing w:after="0" w:line="331" w:lineRule="auto"/>
        <w:rPr>
          <w:sz w:val="20"/>
          <w:szCs w:val="20"/>
          <w:color w:val="auto"/>
        </w:rPr>
      </w:pPr>
      <w:r>
        <w:rPr>
          <w:rFonts w:ascii="Arial" w:cs="Arial" w:eastAsia="Arial" w:hAnsi="Arial"/>
          <w:sz w:val="12"/>
          <w:szCs w:val="12"/>
          <w:color w:val="auto"/>
        </w:rPr>
        <w:t>Debt discounts and issuance costs related to the Notes were approximately $82.0 million and included $75.0 million of discount attributable to the embedded exchange feature, discussed below, and $7.0 million of allocated issuance costs to the Notes related to legal, bank and accounting fees. Amortization of debt discount and issuance costs for the Notes was $3.9 million and $7.7 million for the three and six months ended June 30, 2023, respectively, and $3.5 million and $6.9 million for the three and six months ended June 30, 2022, respectively, and is included in interest expense on the condensed consolidated statement of income. The unamortized discount related to the Notes as of June 30, 2023 and December 31, 2022 was $40.3 million and $47.9 million, respectively.</w:t>
      </w:r>
    </w:p>
    <w:p>
      <w:pPr>
        <w:spacing w:after="0" w:line="34" w:lineRule="exact"/>
        <w:rPr>
          <w:sz w:val="20"/>
          <w:szCs w:val="20"/>
          <w:color w:val="auto"/>
        </w:rPr>
      </w:pPr>
    </w:p>
    <w:p>
      <w:pPr>
        <w:ind w:right="80" w:firstLine="127"/>
        <w:spacing w:after="0" w:line="292" w:lineRule="auto"/>
        <w:rPr>
          <w:sz w:val="20"/>
          <w:szCs w:val="20"/>
          <w:color w:val="auto"/>
        </w:rPr>
      </w:pPr>
      <w:r>
        <w:rPr>
          <w:rFonts w:ascii="Arial" w:cs="Arial" w:eastAsia="Arial" w:hAnsi="Arial"/>
          <w:sz w:val="13"/>
          <w:szCs w:val="13"/>
          <w:color w:val="auto"/>
        </w:rPr>
        <w:t>Holders of the Notes are entitled to exchange the Notes at any time during specified periods, at their option. This includes the right to exchange the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not satisfied during the quarterly period ending June 30, 2023. As a result, the Company has included its obligations from the Notes and the associated embedded exchange feature derivative as a long-term liability on the condensed consolidated balance sheet as of June 30, 2023.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w:t>
      </w:r>
    </w:p>
    <w:p>
      <w:pPr>
        <w:spacing w:after="0" w:line="42" w:lineRule="exact"/>
        <w:rPr>
          <w:sz w:val="20"/>
          <w:szCs w:val="20"/>
          <w:color w:val="auto"/>
        </w:rPr>
      </w:pPr>
    </w:p>
    <w:p>
      <w:pPr>
        <w:ind w:right="160" w:firstLine="127"/>
        <w:spacing w:after="0" w:line="276" w:lineRule="auto"/>
        <w:rPr>
          <w:sz w:val="20"/>
          <w:szCs w:val="20"/>
          <w:color w:val="auto"/>
        </w:rPr>
      </w:pPr>
      <w:r>
        <w:rPr>
          <w:rFonts w:ascii="Arial" w:cs="Arial" w:eastAsia="Arial" w:hAnsi="Arial"/>
          <w:sz w:val="13"/>
          <w:szCs w:val="13"/>
          <w:color w:val="auto"/>
        </w:rPr>
        <w:t>The Company may redeem the Notes at its option, on or after June 20, 2023 and prior to the 51</w:t>
      </w:r>
      <w:r>
        <w:rPr>
          <w:rFonts w:ascii="Arial" w:cs="Arial" w:eastAsia="Arial" w:hAnsi="Arial"/>
          <w:sz w:val="17"/>
          <w:szCs w:val="17"/>
          <w:color w:val="auto"/>
          <w:vertAlign w:val="superscript"/>
        </w:rPr>
        <w:t>st</w:t>
      </w:r>
      <w:r>
        <w:rPr>
          <w:rFonts w:ascii="Arial" w:cs="Arial" w:eastAsia="Arial" w:hAnsi="Arial"/>
          <w:sz w:val="13"/>
          <w:szCs w:val="13"/>
          <w:color w:val="auto"/>
        </w:rPr>
        <w:t xml:space="preserve"> scheduled trading day immediately preceding the maturity date, in whole or in part, if the last reported sale price per ordinary share has been at least 130% of the exchange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Additionally, the Company may redeem the Notes at its option, prior to their stated maturity, in whole but not in part, in connection with certain tax-related events.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Embedded Exchange Feature</w:t>
      </w:r>
    </w:p>
    <w:p>
      <w:pPr>
        <w:spacing w:after="0" w:line="83" w:lineRule="exact"/>
        <w:rPr>
          <w:sz w:val="20"/>
          <w:szCs w:val="20"/>
          <w:color w:val="auto"/>
        </w:rPr>
      </w:pPr>
    </w:p>
    <w:p>
      <w:pPr>
        <w:ind w:right="80" w:firstLine="127"/>
        <w:spacing w:after="0" w:line="293" w:lineRule="auto"/>
        <w:rPr>
          <w:sz w:val="20"/>
          <w:szCs w:val="20"/>
          <w:color w:val="auto"/>
        </w:rPr>
      </w:pPr>
      <w:r>
        <w:rPr>
          <w:rFonts w:ascii="Arial" w:cs="Arial" w:eastAsia="Arial" w:hAnsi="Arial"/>
          <w:sz w:val="13"/>
          <w:szCs w:val="13"/>
          <w:color w:val="auto"/>
        </w:rPr>
        <w:t>The embedded exchange feature of the Notes requires bifurcation from the Notes and is accounted for as a derivative liability. The fair value of the Notes’ embedded exchange feature derivative at the time of issuance was $75.0 million and was recorded as debt discount on the Notes. This discount is amortized as interest expense using the effective interest method over the term of the Notes. The Notes’ embedded exchange feature derivative is carried on the condensed consolidated balance sheets at its estimated fair value and is adjusted at the end of each reporting period, with the unrealized gain or loss reflected within “Foreign exchange and other income/(expense)” in the condensed consolidated statements of income. The fair value of the embedded exchange feature derivative liability was $53.7 million and $85.7 million as of June 30, 2023 and December 31, 2022,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Capped Call Transactions</w:t>
      </w:r>
    </w:p>
    <w:p>
      <w:pPr>
        <w:spacing w:after="0" w:line="83" w:lineRule="exact"/>
        <w:rPr>
          <w:sz w:val="20"/>
          <w:szCs w:val="20"/>
          <w:color w:val="auto"/>
        </w:rPr>
      </w:pPr>
    </w:p>
    <w:p>
      <w:pPr>
        <w:ind w:right="40" w:firstLine="127"/>
        <w:spacing w:after="0" w:line="291" w:lineRule="auto"/>
        <w:rPr>
          <w:sz w:val="20"/>
          <w:szCs w:val="20"/>
          <w:color w:val="auto"/>
        </w:rPr>
      </w:pPr>
      <w:r>
        <w:rPr>
          <w:rFonts w:ascii="Arial" w:cs="Arial" w:eastAsia="Arial" w:hAnsi="Arial"/>
          <w:sz w:val="13"/>
          <w:szCs w:val="13"/>
          <w:color w:val="auto"/>
        </w:rPr>
        <w:t>In connection with the pricing of the Notes, the Company entered into privately negotiated capped call transactions with certain of the initial purchasers of the Notes or their respective affiliates.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capped call transactions expire on December 15, 2025 and must be settled in cash. If the capped call transactions are converted or redeemed early, settlement occurs at their termination value, which is equal to their fair value at the time of the redemption. The capped call transactions are carried on the condensed consolidated balance sheets as a derivative asset at their estimated fair value and are adjusted at the end of each reporting period, with unrealized gain or loss reflected within foreign exchange and other income/(expense) in the condensed consolidated statements of income. The fair value of the capped call derivative assets was $42.0 million and $54.4 million as of June 30, 2023 and December 31, 2022, respectively. As of June 30, 2023, the capped call derivative assets were classified as long-term.</w:t>
      </w: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Note 6. Derivatives and Risk Management</w:t>
      </w:r>
    </w:p>
    <w:p>
      <w:pPr>
        <w:spacing w:after="0" w:line="89" w:lineRule="exact"/>
        <w:rPr>
          <w:sz w:val="20"/>
          <w:szCs w:val="20"/>
          <w:color w:val="auto"/>
        </w:rPr>
      </w:pPr>
    </w:p>
    <w:p>
      <w:pPr>
        <w:ind w:right="160" w:firstLine="127"/>
        <w:spacing w:after="0" w:line="297" w:lineRule="auto"/>
        <w:rPr>
          <w:sz w:val="20"/>
          <w:szCs w:val="20"/>
          <w:color w:val="auto"/>
        </w:rPr>
      </w:pPr>
      <w:r>
        <w:rPr>
          <w:rFonts w:ascii="Arial" w:cs="Arial" w:eastAsia="Arial" w:hAnsi="Arial"/>
          <w:sz w:val="14"/>
          <w:szCs w:val="14"/>
          <w:color w:val="auto"/>
        </w:rPr>
        <w:t>Due to the global nature of LivaNova’s operations, LivaNova is exposed to FX fluctuations. Historically, the Company has entered into FX derivative contracts and interest rate swap contracts to reduce the impact of FX and interest rate fluctuations, respectively, on earnings and cash flow.</w:t>
      </w:r>
    </w:p>
    <w:p>
      <w:pPr>
        <w:spacing w:after="0" w:line="47" w:lineRule="exact"/>
        <w:rPr>
          <w:sz w:val="20"/>
          <w:szCs w:val="20"/>
          <w:color w:val="auto"/>
        </w:rPr>
      </w:pPr>
    </w:p>
    <w:p>
      <w:pPr>
        <w:ind w:firstLine="127"/>
        <w:spacing w:after="0" w:line="275" w:lineRule="auto"/>
        <w:rPr>
          <w:sz w:val="20"/>
          <w:szCs w:val="20"/>
          <w:color w:val="auto"/>
        </w:rPr>
      </w:pPr>
      <w:r>
        <w:rPr>
          <w:rFonts w:ascii="Arial" w:cs="Arial" w:eastAsia="Arial" w:hAnsi="Arial"/>
          <w:sz w:val="14"/>
          <w:szCs w:val="14"/>
          <w:color w:val="auto"/>
        </w:rPr>
        <w:t>LivaNova is also exposed to equity price risk in connection with its Notes, including exchange and settlement provisions based on the price of the Company’s ordinary shares at exchange or maturity of the Notes. The capped call transactions associated with the Notes also include settlement provisions that are based on the price of LivaNova’s ordinary shares, subject to a capped price per share.</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LivaNova does not enter into derivative contracts for speculative purposes.</w:t>
      </w:r>
    </w:p>
    <w:p>
      <w:pPr>
        <w:spacing w:after="0" w:line="94" w:lineRule="exact"/>
        <w:rPr>
          <w:sz w:val="20"/>
          <w:szCs w:val="20"/>
          <w:color w:val="auto"/>
        </w:rPr>
      </w:pPr>
    </w:p>
    <w:p>
      <w:pPr>
        <w:ind w:right="440" w:firstLine="127"/>
        <w:spacing w:after="0" w:line="283" w:lineRule="auto"/>
        <w:rPr>
          <w:sz w:val="20"/>
          <w:szCs w:val="20"/>
          <w:color w:val="auto"/>
        </w:rPr>
      </w:pPr>
      <w:r>
        <w:rPr>
          <w:rFonts w:ascii="Arial" w:cs="Arial" w:eastAsia="Arial" w:hAnsi="Arial"/>
          <w:sz w:val="14"/>
          <w:szCs w:val="14"/>
          <w:color w:val="auto"/>
        </w:rPr>
        <w:t>LivaNova measures all outstanding derivatives each period end at fair value and reports the fair value as either financial assets or liabilities on the condensed consolidated balance sheets.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46" w:lineRule="exact"/>
        <w:rPr>
          <w:sz w:val="20"/>
          <w:szCs w:val="20"/>
          <w:color w:val="auto"/>
        </w:rPr>
      </w:pPr>
    </w:p>
    <w:p>
      <w:pPr>
        <w:ind w:right="20" w:firstLine="127"/>
        <w:spacing w:after="0" w:line="273" w:lineRule="auto"/>
        <w:rPr>
          <w:sz w:val="20"/>
          <w:szCs w:val="20"/>
          <w:color w:val="auto"/>
        </w:rPr>
      </w:pPr>
      <w:r>
        <w:rPr>
          <w:rFonts w:ascii="Arial" w:cs="Arial" w:eastAsia="Arial" w:hAnsi="Arial"/>
          <w:sz w:val="14"/>
          <w:szCs w:val="14"/>
          <w:color w:val="auto"/>
        </w:rPr>
        <w:t>If the derivative qualifies for hedge accounting, changes in the fair value of the derivative will be recorded in AOCI until the hedged item is recognized in earnings upon settlement/termination. FX derivative gains and losses in AOCI are reclassified to the condensed consolidated statements of income as shown in the tables below, and interest rate swap gains and losses in AOCI are reclassified to interest expense on the condensed consolidated statements of income. The Company evaluates hedge effectiveness at inception. Cash flows from derivative contracts are reported as operating activities on LivaNova’s condensed consolidated statements of cash flows.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Freestanding FX Derivative Contracts</w:t>
      </w:r>
    </w:p>
    <w:p>
      <w:pPr>
        <w:spacing w:after="0" w:line="83" w:lineRule="exact"/>
        <w:rPr>
          <w:sz w:val="20"/>
          <w:szCs w:val="20"/>
          <w:color w:val="auto"/>
        </w:rPr>
      </w:pPr>
    </w:p>
    <w:p>
      <w:pPr>
        <w:ind w:right="160" w:firstLine="127"/>
        <w:spacing w:after="0" w:line="300" w:lineRule="auto"/>
        <w:rPr>
          <w:sz w:val="20"/>
          <w:szCs w:val="20"/>
          <w:color w:val="auto"/>
        </w:rPr>
      </w:pPr>
      <w:r>
        <w:rPr>
          <w:rFonts w:ascii="Arial" w:cs="Arial" w:eastAsia="Arial" w:hAnsi="Arial"/>
          <w:sz w:val="13"/>
          <w:szCs w:val="13"/>
          <w:color w:val="auto"/>
        </w:rPr>
        <w:t>The gross notional amount of FX derivative contracts not designated as hedging instruments outstanding at June 30, 2023 and December 31, 2022 was $160.4 million and $154.5 million, respectively. These derivative contracts are designed to offset the FX effects in earnings of various intercompany loans and trade receivables. For these freestanding derivatives, LivaNova recorded net gains of $0.4 million and $4.0 million for the three months ended June 30, 2023 and 2022, respectively, and net (losses) gains $(0.9) million and $5.0 million for the six months ended June 30, 2023 and 2022, respectively. These gains and losses are included in foreign exchange and other income/(expense) on the condensed consolidated statements of income.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Counterparty Credit Risk</w:t>
      </w:r>
    </w:p>
    <w:p>
      <w:pPr>
        <w:spacing w:after="0" w:line="8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LivaNova is exposed to credit risk in the event of non-performance by the counterparties to the Company’s derivatives.</w:t>
      </w:r>
    </w:p>
    <w:p>
      <w:pPr>
        <w:spacing w:after="0" w:line="104" w:lineRule="exact"/>
        <w:rPr>
          <w:sz w:val="20"/>
          <w:szCs w:val="20"/>
          <w:color w:val="auto"/>
        </w:rPr>
      </w:pPr>
    </w:p>
    <w:p>
      <w:pPr>
        <w:ind w:right="140" w:firstLine="127"/>
        <w:spacing w:after="0" w:line="305" w:lineRule="auto"/>
        <w:rPr>
          <w:sz w:val="20"/>
          <w:szCs w:val="20"/>
          <w:color w:val="auto"/>
        </w:rPr>
      </w:pPr>
      <w:r>
        <w:rPr>
          <w:rFonts w:ascii="Arial" w:cs="Arial" w:eastAsia="Arial" w:hAnsi="Arial"/>
          <w:sz w:val="13"/>
          <w:szCs w:val="13"/>
          <w:color w:val="auto"/>
        </w:rPr>
        <w:t>The two counterparties to the capped call transactions are financial institutions. To limit its credit risk, LivaNova selected financial institutions with a minimum long-term investment grade credit rating. LivaNova’s exposure to the credit risk of the counterparties is not secured by any collateral. If a counterparty becomes subject to insolvency proceedings, the Company will become an unsecured creditor in those proceedings, with a claim equal to LivaNova’s exposure at that time under the capped call transactions with that counterparty.</w:t>
      </w:r>
    </w:p>
    <w:p>
      <w:pPr>
        <w:spacing w:after="0" w:line="45" w:lineRule="exact"/>
        <w:rPr>
          <w:sz w:val="20"/>
          <w:szCs w:val="20"/>
          <w:color w:val="auto"/>
        </w:rPr>
      </w:pPr>
    </w:p>
    <w:p>
      <w:pPr>
        <w:ind w:right="20" w:firstLine="127"/>
        <w:spacing w:after="0" w:line="275" w:lineRule="auto"/>
        <w:rPr>
          <w:sz w:val="20"/>
          <w:szCs w:val="20"/>
          <w:color w:val="auto"/>
        </w:rPr>
      </w:pPr>
      <w:r>
        <w:rPr>
          <w:rFonts w:ascii="Arial" w:cs="Arial" w:eastAsia="Arial" w:hAnsi="Arial"/>
          <w:sz w:val="14"/>
          <w:szCs w:val="14"/>
          <w:color w:val="auto"/>
        </w:rPr>
        <w:t>To manage credit risk with respect to its other derivatives, the Company selects and periodically reviews counterparties based on credit ratings, limits its exposure with respect to each counterparty, and monitors the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Cash Flow Hedges</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Foreign Currency Risk</w:t>
      </w:r>
    </w:p>
    <w:p>
      <w:pPr>
        <w:spacing w:after="0" w:line="83" w:lineRule="exact"/>
        <w:rPr>
          <w:sz w:val="20"/>
          <w:szCs w:val="20"/>
          <w:color w:val="auto"/>
        </w:rPr>
      </w:pPr>
    </w:p>
    <w:p>
      <w:pPr>
        <w:ind w:right="140" w:firstLine="127"/>
        <w:spacing w:after="0" w:line="273" w:lineRule="auto"/>
        <w:rPr>
          <w:sz w:val="20"/>
          <w:szCs w:val="20"/>
          <w:color w:val="auto"/>
        </w:rPr>
      </w:pPr>
      <w:r>
        <w:rPr>
          <w:rFonts w:ascii="Arial" w:cs="Arial" w:eastAsia="Arial" w:hAnsi="Arial"/>
          <w:sz w:val="14"/>
          <w:szCs w:val="14"/>
          <w:color w:val="auto"/>
        </w:rPr>
        <w:t>Historically, LivaNova utilized FX derivative contracts, designed as cash flow hedges, to hedge the variability of cash flows associated with LivaNova’s 12-month USD forecasts of revenues and costs denominated in British Pound, Japanese Yen and the Euro. The Company transferred to earnings from AOCI the gain or loss realized on the FX derivative contracts at the time of invoicing. Upon the settlement of LivaNova’s foreign currency cash flow hedges in the fourth quarter of 2022 and following an in-depth analysis of the utility of the Company’s cash flow hedging program, LivaNova discontinued its foreign currency cash flow hedging program.</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1" w:right="339" w:bottom="1440" w:gutter="0" w:footer="0" w:header="0"/>
        </w:sectPr>
      </w:pPr>
    </w:p>
    <w:bookmarkStart w:id="18" w:name="page19"/>
    <w:bookmarkEnd w:id="18"/>
    <w:p>
      <w:pPr>
        <w:ind w:left="140"/>
        <w:spacing w:after="0"/>
        <w:rPr>
          <w:sz w:val="20"/>
          <w:szCs w:val="20"/>
          <w:color w:val="auto"/>
        </w:rPr>
      </w:pPr>
      <w:r>
        <w:rPr>
          <w:rFonts w:ascii="Arial" w:cs="Arial" w:eastAsia="Arial" w:hAnsi="Arial"/>
          <w:sz w:val="16"/>
          <w:szCs w:val="16"/>
          <w:i w:val="1"/>
          <w:iCs w:val="1"/>
          <w:color w:val="auto"/>
        </w:rPr>
        <w:t>Interest Rate Risk</w:t>
      </w:r>
    </w:p>
    <w:p>
      <w:pPr>
        <w:spacing w:after="0" w:line="83" w:lineRule="exact"/>
        <w:rPr>
          <w:sz w:val="20"/>
          <w:szCs w:val="20"/>
          <w:color w:val="auto"/>
        </w:rPr>
      </w:pPr>
    </w:p>
    <w:p>
      <w:pPr>
        <w:ind w:right="100" w:firstLine="127"/>
        <w:spacing w:after="0" w:line="283" w:lineRule="auto"/>
        <w:rPr>
          <w:sz w:val="20"/>
          <w:szCs w:val="20"/>
          <w:color w:val="auto"/>
        </w:rPr>
      </w:pPr>
      <w:r>
        <w:rPr>
          <w:rFonts w:ascii="Arial" w:cs="Arial" w:eastAsia="Arial" w:hAnsi="Arial"/>
          <w:sz w:val="14"/>
          <w:szCs w:val="14"/>
          <w:color w:val="auto"/>
        </w:rPr>
        <w:t>Historically, LivaNova entered into interest rate swaps associated with the Initial Term Facility, which qualified for and were designated as cash flow hedges. The Company’s interest rate swaps expired on April 6, 2023. LivaNova elected not to renew the interest rate swaps as interest expense associated with the Initial Term Facility is principally offset by holding a significant portion of the Initial Term Facility in a depository account, which earns a floating rate of interest.</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gross notional amounts of open derivative contracts designated as cash flow hedges at June 30, 2023 and December 31, 2022 were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 of Derivative Contract</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June 30, 2023</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December 31, 2022</w:t>
            </w:r>
          </w:p>
        </w:tc>
      </w:tr>
      <w:tr>
        <w:trPr>
          <w:trHeight w:val="18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 contracts</w:t>
            </w:r>
          </w:p>
        </w:tc>
        <w:tc>
          <w:tcPr>
            <w:tcW w:w="1840" w:type="dxa"/>
            <w:vAlign w:val="bottom"/>
            <w:gridSpan w:val="2"/>
            <w:shd w:val="clear" w:color="auto" w:fill="CCEEFF"/>
          </w:tcPr>
          <w:p>
            <w:pPr>
              <w:jc w:val="right"/>
              <w:ind w:right="1589"/>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   $</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210,000</w:t>
            </w:r>
          </w:p>
        </w:tc>
      </w:tr>
    </w:tbl>
    <w:p>
      <w:pPr>
        <w:spacing w:after="0" w:line="13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Pre-tax gains (losses) for derivative contracts designated as cash flow hedges recognized in OCI and the amount reclassified to earnings from AOCI were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Three Months Ended June 30,</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94"/>
              </w:rPr>
              <w:t>Description of Derivative Contract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4"/>
            <w:vMerge w:val="restart"/>
          </w:tcPr>
          <w:p>
            <w:pPr>
              <w:jc w:val="right"/>
              <w:ind w:right="49"/>
              <w:spacing w:after="0"/>
              <w:rPr>
                <w:sz w:val="20"/>
                <w:szCs w:val="20"/>
                <w:color w:val="auto"/>
              </w:rPr>
            </w:pPr>
            <w:r>
              <w:rPr>
                <w:rFonts w:ascii="Arial" w:cs="Arial" w:eastAsia="Arial" w:hAnsi="Arial"/>
                <w:sz w:val="14"/>
                <w:szCs w:val="14"/>
                <w:b w:val="1"/>
                <w:bCs w:val="1"/>
                <w:color w:val="auto"/>
              </w:rPr>
              <w:t>Location in Earnings of Reclassified Gain or Loss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4"/>
            <w:vMerge w:val="restart"/>
          </w:tcPr>
          <w:p>
            <w:pPr>
              <w:jc w:val="right"/>
              <w:ind w:right="229"/>
              <w:spacing w:after="0"/>
              <w:rPr>
                <w:sz w:val="20"/>
                <w:szCs w:val="20"/>
                <w:color w:val="auto"/>
              </w:rPr>
            </w:pPr>
            <w:r>
              <w:rPr>
                <w:rFonts w:ascii="Arial" w:cs="Arial" w:eastAsia="Arial" w:hAnsi="Arial"/>
                <w:sz w:val="14"/>
                <w:szCs w:val="14"/>
                <w:b w:val="1"/>
                <w:bCs w:val="1"/>
                <w:color w:val="auto"/>
              </w:rPr>
              <w:t>Losses Recognized in OCI</w:t>
            </w:r>
          </w:p>
        </w:tc>
        <w:tc>
          <w:tcPr>
            <w:tcW w:w="100" w:type="dxa"/>
            <w:vAlign w:val="bottom"/>
          </w:tcPr>
          <w:p>
            <w:pPr>
              <w:spacing w:after="0"/>
              <w:rPr>
                <w:sz w:val="11"/>
                <w:szCs w:val="11"/>
                <w:color w:val="auto"/>
              </w:rPr>
            </w:pPr>
          </w:p>
        </w:tc>
        <w:tc>
          <w:tcPr>
            <w:tcW w:w="2180" w:type="dxa"/>
            <w:vAlign w:val="bottom"/>
            <w:gridSpan w:val="4"/>
          </w:tcPr>
          <w:p>
            <w:pPr>
              <w:jc w:val="right"/>
              <w:ind w:right="49"/>
              <w:spacing w:after="0" w:line="132" w:lineRule="exact"/>
              <w:rPr>
                <w:sz w:val="20"/>
                <w:szCs w:val="20"/>
                <w:color w:val="auto"/>
              </w:rPr>
            </w:pPr>
            <w:r>
              <w:rPr>
                <w:rFonts w:ascii="Arial" w:cs="Arial" w:eastAsia="Arial" w:hAnsi="Arial"/>
                <w:sz w:val="14"/>
                <w:szCs w:val="14"/>
                <w:b w:val="1"/>
                <w:bCs w:val="1"/>
                <w:color w:val="auto"/>
                <w:w w:val="92"/>
              </w:rPr>
              <w:t>Gains (Losses) Reclassified from</w:t>
            </w:r>
          </w:p>
        </w:tc>
        <w:tc>
          <w:tcPr>
            <w:tcW w:w="0" w:type="dxa"/>
            <w:vAlign w:val="bottom"/>
          </w:tcPr>
          <w:p>
            <w:pPr>
              <w:spacing w:after="0"/>
              <w:rPr>
                <w:sz w:val="1"/>
                <w:szCs w:val="1"/>
                <w:color w:val="auto"/>
              </w:rPr>
            </w:pPr>
          </w:p>
        </w:tc>
      </w:tr>
      <w:tr>
        <w:trPr>
          <w:trHeight w:val="180"/>
        </w:trPr>
        <w:tc>
          <w:tcPr>
            <w:tcW w:w="232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tcBorders>
              <w:bottom w:val="single" w:sz="8" w:color="auto"/>
            </w:tcBorders>
            <w:gridSpan w:val="4"/>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469"/>
              <w:spacing w:after="0"/>
              <w:rPr>
                <w:sz w:val="20"/>
                <w:szCs w:val="20"/>
                <w:color w:val="auto"/>
              </w:rPr>
            </w:pPr>
            <w:r>
              <w:rPr>
                <w:rFonts w:ascii="Arial" w:cs="Arial" w:eastAsia="Arial" w:hAnsi="Arial"/>
                <w:sz w:val="14"/>
                <w:szCs w:val="14"/>
                <w:b w:val="1"/>
                <w:bCs w:val="1"/>
                <w:color w:val="auto"/>
                <w:w w:val="96"/>
              </w:rPr>
              <w:t>AOCI to Earnings</w:t>
            </w:r>
          </w:p>
        </w:tc>
        <w:tc>
          <w:tcPr>
            <w:tcW w:w="0" w:type="dxa"/>
            <w:vAlign w:val="bottom"/>
          </w:tcPr>
          <w:p>
            <w:pPr>
              <w:spacing w:after="0"/>
              <w:rPr>
                <w:sz w:val="1"/>
                <w:szCs w:val="1"/>
                <w:color w:val="auto"/>
              </w:rPr>
            </w:pPr>
          </w:p>
        </w:tc>
      </w:tr>
      <w:tr>
        <w:trPr>
          <w:trHeight w:val="182"/>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FX derivative contracts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Foreign exchange and other income/(expense)</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9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600" w:type="dxa"/>
            <w:vAlign w:val="bottom"/>
            <w:gridSpan w:val="2"/>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170"/>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FX derivative contracts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4"/>
                <w:szCs w:val="14"/>
                <w:color w:val="auto"/>
              </w:rPr>
              <w:t>SG&amp;A</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196"/>
        </w:trPr>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9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600" w:type="dxa"/>
            <w:vAlign w:val="bottom"/>
            <w:gridSpan w:val="2"/>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4"/>
              </w:rPr>
              <w:t>Location in Earnings of Reclassified</w:t>
            </w:r>
          </w:p>
        </w:tc>
        <w:tc>
          <w:tcPr>
            <w:tcW w:w="100" w:type="dxa"/>
            <w:vAlign w:val="bottom"/>
          </w:tcPr>
          <w:p>
            <w:pPr>
              <w:spacing w:after="0"/>
              <w:rPr>
                <w:sz w:val="11"/>
                <w:szCs w:val="11"/>
                <w:color w:val="auto"/>
              </w:rPr>
            </w:pPr>
          </w:p>
        </w:tc>
        <w:tc>
          <w:tcPr>
            <w:tcW w:w="14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w w:val="88"/>
              </w:rPr>
              <w:t>Losses Recognized in</w:t>
            </w:r>
          </w:p>
        </w:tc>
        <w:tc>
          <w:tcPr>
            <w:tcW w:w="100" w:type="dxa"/>
            <w:vAlign w:val="bottom"/>
          </w:tcPr>
          <w:p>
            <w:pPr>
              <w:spacing w:after="0"/>
              <w:rPr>
                <w:sz w:val="11"/>
                <w:szCs w:val="11"/>
                <w:color w:val="auto"/>
              </w:rPr>
            </w:pPr>
          </w:p>
        </w:tc>
        <w:tc>
          <w:tcPr>
            <w:tcW w:w="1580" w:type="dxa"/>
            <w:vAlign w:val="bottom"/>
            <w:gridSpan w:val="4"/>
            <w:vMerge w:val="restart"/>
          </w:tcPr>
          <w:p>
            <w:pPr>
              <w:jc w:val="right"/>
              <w:ind w:right="9"/>
              <w:spacing w:after="0"/>
              <w:rPr>
                <w:sz w:val="20"/>
                <w:szCs w:val="20"/>
                <w:color w:val="auto"/>
              </w:rPr>
            </w:pPr>
            <w:r>
              <w:rPr>
                <w:rFonts w:ascii="Arial" w:cs="Arial" w:eastAsia="Arial" w:hAnsi="Arial"/>
                <w:sz w:val="14"/>
                <w:szCs w:val="14"/>
                <w:b w:val="1"/>
                <w:bCs w:val="1"/>
                <w:color w:val="auto"/>
                <w:w w:val="92"/>
              </w:rPr>
              <w:t>Gains Reclassified from</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3"/>
            <w:vMerge w:val="restart"/>
          </w:tcPr>
          <w:p>
            <w:pPr>
              <w:jc w:val="right"/>
              <w:ind w:right="89"/>
              <w:spacing w:after="0"/>
              <w:rPr>
                <w:sz w:val="20"/>
                <w:szCs w:val="20"/>
                <w:color w:val="auto"/>
              </w:rPr>
            </w:pPr>
            <w:r>
              <w:rPr>
                <w:rFonts w:ascii="Arial" w:cs="Arial" w:eastAsia="Arial" w:hAnsi="Arial"/>
                <w:sz w:val="14"/>
                <w:szCs w:val="14"/>
                <w:b w:val="1"/>
                <w:bCs w:val="1"/>
                <w:color w:val="auto"/>
                <w:w w:val="88"/>
              </w:rPr>
              <w:t>Losses Recognized in</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center"/>
              <w:ind w:right="249"/>
              <w:spacing w:after="0" w:line="129" w:lineRule="exact"/>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144"/>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Reclassified from AOCI</w:t>
            </w:r>
          </w:p>
        </w:tc>
        <w:tc>
          <w:tcPr>
            <w:tcW w:w="0" w:type="dxa"/>
            <w:vAlign w:val="bottom"/>
          </w:tcPr>
          <w:p>
            <w:pPr>
              <w:spacing w:after="0"/>
              <w:rPr>
                <w:sz w:val="1"/>
                <w:szCs w:val="1"/>
                <w:color w:val="auto"/>
              </w:rPr>
            </w:pPr>
          </w:p>
        </w:tc>
      </w:tr>
      <w:tr>
        <w:trPr>
          <w:trHeight w:val="184"/>
        </w:trPr>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4"/>
              </w:rPr>
              <w:t>Description of Derivative Contract</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Gain or Loss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OCI</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AOCI to Earnings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OCI</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b w:val="1"/>
                <w:bCs w:val="1"/>
                <w:color w:val="auto"/>
                <w:w w:val="90"/>
              </w:rPr>
              <w:t>to Earnings</w:t>
            </w:r>
          </w:p>
        </w:tc>
        <w:tc>
          <w:tcPr>
            <w:tcW w:w="0" w:type="dxa"/>
            <w:vAlign w:val="bottom"/>
          </w:tcPr>
          <w:p>
            <w:pPr>
              <w:spacing w:after="0"/>
              <w:rPr>
                <w:sz w:val="1"/>
                <w:szCs w:val="1"/>
                <w:color w:val="auto"/>
              </w:rPr>
            </w:pPr>
          </w:p>
        </w:tc>
      </w:tr>
      <w:tr>
        <w:trPr>
          <w:trHeight w:val="129"/>
        </w:trPr>
        <w:tc>
          <w:tcPr>
            <w:tcW w:w="232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4"/>
                <w:szCs w:val="14"/>
                <w:color w:val="auto"/>
              </w:rPr>
              <w:t>FX derivative contracts</w:t>
            </w:r>
          </w:p>
        </w:tc>
        <w:tc>
          <w:tcPr>
            <w:tcW w:w="2320" w:type="dxa"/>
            <w:vAlign w:val="bottom"/>
            <w:gridSpan w:val="4"/>
            <w:shd w:val="clear" w:color="auto" w:fill="CCEEFF"/>
          </w:tcPr>
          <w:p>
            <w:pPr>
              <w:ind w:left="20"/>
              <w:spacing w:after="0" w:line="129" w:lineRule="exact"/>
              <w:rPr>
                <w:sz w:val="20"/>
                <w:szCs w:val="20"/>
                <w:color w:val="auto"/>
              </w:rPr>
            </w:pPr>
            <w:r>
              <w:rPr>
                <w:rFonts w:ascii="Arial" w:cs="Arial" w:eastAsia="Arial" w:hAnsi="Arial"/>
                <w:sz w:val="14"/>
                <w:szCs w:val="14"/>
                <w:color w:val="auto"/>
              </w:rPr>
              <w:t>Foreign exchange and other</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9"/>
              <w:spacing w:after="0" w:line="12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(1,758)</w:t>
            </w:r>
          </w:p>
        </w:tc>
        <w:tc>
          <w:tcPr>
            <w:tcW w:w="400" w:type="dxa"/>
            <w:vAlign w:val="bottom"/>
            <w:gridSpan w:val="2"/>
            <w:shd w:val="clear" w:color="auto" w:fill="CCEEFF"/>
          </w:tcPr>
          <w:p>
            <w:pPr>
              <w:jc w:val="right"/>
              <w:ind w:right="149"/>
              <w:spacing w:after="0" w:line="12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191"/>
        </w:trPr>
        <w:tc>
          <w:tcPr>
            <w:tcW w:w="2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income/(expense)</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FX derivative contracts</w:t>
            </w:r>
          </w:p>
        </w:tc>
        <w:tc>
          <w:tcPr>
            <w:tcW w:w="2320" w:type="dxa"/>
            <w:vAlign w:val="bottom"/>
            <w:gridSpan w:val="4"/>
          </w:tcPr>
          <w:p>
            <w:pPr>
              <w:ind w:left="20"/>
              <w:spacing w:after="0"/>
              <w:rPr>
                <w:sz w:val="20"/>
                <w:szCs w:val="20"/>
                <w:color w:val="auto"/>
              </w:rPr>
            </w:pPr>
            <w:r>
              <w:rPr>
                <w:rFonts w:ascii="Arial" w:cs="Arial" w:eastAsia="Arial" w:hAnsi="Arial"/>
                <w:sz w:val="14"/>
                <w:szCs w:val="14"/>
                <w:color w:val="auto"/>
              </w:rPr>
              <w:t>SG&amp;A</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(1,510)</w:t>
            </w:r>
          </w:p>
        </w:tc>
        <w:tc>
          <w:tcPr>
            <w:tcW w:w="0" w:type="dxa"/>
            <w:vAlign w:val="bottom"/>
          </w:tcPr>
          <w:p>
            <w:pPr>
              <w:spacing w:after="0"/>
              <w:rPr>
                <w:sz w:val="1"/>
                <w:szCs w:val="1"/>
                <w:color w:val="auto"/>
              </w:rPr>
            </w:pPr>
          </w:p>
        </w:tc>
      </w:tr>
      <w:tr>
        <w:trPr>
          <w:trHeight w:val="180"/>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 contracts</w:t>
            </w:r>
          </w:p>
        </w:tc>
        <w:tc>
          <w:tcPr>
            <w:tcW w:w="23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(433)</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533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(1,758)</w:t>
            </w:r>
          </w:p>
        </w:tc>
        <w:tc>
          <w:tcPr>
            <w:tcW w:w="4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right="100" w:firstLine="127"/>
        <w:spacing w:after="0" w:line="297" w:lineRule="auto"/>
        <w:rPr>
          <w:sz w:val="20"/>
          <w:szCs w:val="20"/>
          <w:color w:val="auto"/>
        </w:rPr>
      </w:pPr>
      <w:r>
        <w:rPr>
          <w:rFonts w:ascii="Arial" w:cs="Arial" w:eastAsia="Arial" w:hAnsi="Arial"/>
          <w:sz w:val="14"/>
          <w:szCs w:val="14"/>
          <w:color w:val="auto"/>
        </w:rPr>
        <w:t>The Company offsets fair value amounts associated with its derivative instruments on the condensed consolidated balance sheets that are executed with the same counterparty under master netting arrangements. Netting arrangements include a right to set off or net together purchases and sales of similar products in the settlement process.</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following tables present the fair value and the location of derivative contracts reported on the condensed consolidated balance sheets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260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w w:val="90"/>
              </w:rPr>
              <w:t>Asset Derivatives</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w w:val="95"/>
              </w:rPr>
              <w:t>Liability Derivatives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0"/>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2023</w:t>
            </w:r>
          </w:p>
        </w:tc>
        <w:tc>
          <w:tcPr>
            <w:tcW w:w="26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9"/>
              <w:spacing w:after="0" w:line="170"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(1)</w:t>
            </w: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9"/>
              <w:spacing w:after="0" w:line="170"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(1)</w:t>
            </w:r>
          </w:p>
        </w:tc>
      </w:tr>
      <w:tr>
        <w:trPr>
          <w:trHeight w:val="182"/>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3020" w:type="dxa"/>
            <w:vAlign w:val="bottom"/>
          </w:tcPr>
          <w:p>
            <w:pPr>
              <w:ind w:left="20"/>
              <w:spacing w:after="0"/>
              <w:rPr>
                <w:sz w:val="20"/>
                <w:szCs w:val="20"/>
                <w:color w:val="auto"/>
              </w:rPr>
            </w:pPr>
            <w:r>
              <w:rPr>
                <w:rFonts w:ascii="Arial" w:cs="Arial" w:eastAsia="Arial" w:hAnsi="Arial"/>
                <w:sz w:val="14"/>
                <w:szCs w:val="14"/>
                <w:color w:val="auto"/>
              </w:rPr>
              <w:t>Capped call derivatives</w:t>
            </w:r>
          </w:p>
        </w:tc>
        <w:tc>
          <w:tcPr>
            <w:tcW w:w="2600" w:type="dxa"/>
            <w:vAlign w:val="bottom"/>
          </w:tcPr>
          <w:p>
            <w:pPr>
              <w:ind w:left="20"/>
              <w:spacing w:after="0"/>
              <w:rPr>
                <w:sz w:val="20"/>
                <w:szCs w:val="20"/>
                <w:color w:val="auto"/>
              </w:rPr>
            </w:pPr>
            <w:r>
              <w:rPr>
                <w:rFonts w:ascii="Arial" w:cs="Arial" w:eastAsia="Arial" w:hAnsi="Arial"/>
                <w:sz w:val="14"/>
                <w:szCs w:val="14"/>
                <w:color w:val="auto"/>
              </w:rPr>
              <w:t>Long-term derivative assets</w:t>
            </w:r>
          </w:p>
        </w:tc>
        <w:tc>
          <w:tcPr>
            <w:tcW w:w="3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42,034</w:t>
            </w: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FX derivative contracts</w:t>
            </w:r>
          </w:p>
        </w:tc>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Prepaid expenses and other current assets</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liabilities and other</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85"/>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Embedded exchange feature</w:t>
            </w:r>
          </w:p>
        </w:tc>
        <w:tc>
          <w:tcPr>
            <w:tcW w:w="2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derivative liabilities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53,705</w:t>
            </w:r>
          </w:p>
        </w:tc>
      </w:tr>
      <w:tr>
        <w:trPr>
          <w:trHeight w:val="134"/>
        </w:trPr>
        <w:tc>
          <w:tcPr>
            <w:tcW w:w="30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Total derivatives not designated as hedging</w:t>
            </w:r>
          </w:p>
        </w:tc>
        <w:tc>
          <w:tcPr>
            <w:tcW w:w="2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4" w:lineRule="exact"/>
              <w:rPr>
                <w:sz w:val="20"/>
                <w:szCs w:val="20"/>
                <w:color w:val="auto"/>
              </w:rPr>
            </w:pPr>
            <w:r>
              <w:rPr>
                <w:rFonts w:ascii="Arial" w:cs="Arial" w:eastAsia="Arial" w:hAnsi="Arial"/>
                <w:sz w:val="14"/>
                <w:szCs w:val="14"/>
                <w:color w:val="auto"/>
              </w:rPr>
              <w:t>42,253</w:t>
            </w:r>
          </w:p>
        </w:tc>
        <w:tc>
          <w:tcPr>
            <w:tcW w:w="10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4" w:lineRule="exact"/>
              <w:rPr>
                <w:sz w:val="20"/>
                <w:szCs w:val="20"/>
                <w:color w:val="auto"/>
              </w:rPr>
            </w:pPr>
            <w:r>
              <w:rPr>
                <w:rFonts w:ascii="Arial" w:cs="Arial" w:eastAsia="Arial" w:hAnsi="Arial"/>
                <w:sz w:val="14"/>
                <w:szCs w:val="14"/>
                <w:color w:val="auto"/>
              </w:rPr>
              <w:t>53,818</w:t>
            </w:r>
          </w:p>
        </w:tc>
      </w:tr>
      <w:tr>
        <w:trPr>
          <w:trHeight w:val="1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2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color w:val="auto"/>
              </w:rPr>
              <w:t>Total derivatives</w:t>
            </w: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42,253</w:t>
            </w: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53,818</w:t>
            </w:r>
          </w:p>
        </w:tc>
      </w:tr>
      <w:tr>
        <w:trPr>
          <w:trHeight w:val="20"/>
        </w:trPr>
        <w:tc>
          <w:tcPr>
            <w:tcW w:w="3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50"/>
        </w:trPr>
        <w:tc>
          <w:tcPr>
            <w:tcW w:w="3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gridSpan w:val="2"/>
          </w:tcPr>
          <w:p>
            <w:pPr>
              <w:jc w:val="right"/>
              <w:ind w:right="69"/>
              <w:spacing w:after="0"/>
              <w:rPr>
                <w:sz w:val="20"/>
                <w:szCs w:val="20"/>
                <w:color w:val="auto"/>
              </w:rPr>
            </w:pPr>
            <w:r>
              <w:rPr>
                <w:rFonts w:ascii="Arial" w:cs="Arial" w:eastAsia="Arial" w:hAnsi="Arial"/>
                <w:sz w:val="14"/>
                <w:szCs w:val="14"/>
                <w:color w:val="auto"/>
                <w:w w:val="89"/>
              </w:rPr>
              <w:t>19</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1"/>
        </w:trPr>
        <w:tc>
          <w:tcPr>
            <w:tcW w:w="3020" w:type="dxa"/>
            <w:vAlign w:val="bottom"/>
            <w:tcBorders>
              <w:bottom w:val="single" w:sz="8" w:color="9A9A9A"/>
            </w:tcBorders>
          </w:tcPr>
          <w:p>
            <w:pPr>
              <w:spacing w:after="0"/>
              <w:rPr>
                <w:sz w:val="14"/>
                <w:szCs w:val="14"/>
                <w:color w:val="auto"/>
              </w:rPr>
            </w:pPr>
          </w:p>
        </w:tc>
        <w:tc>
          <w:tcPr>
            <w:tcW w:w="26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7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270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w w:val="99"/>
              </w:rPr>
              <w:t>Asset Derivatives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w w:val="95"/>
              </w:rPr>
              <w:t>Liability Derivatives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2022</w:t>
            </w:r>
          </w:p>
        </w:tc>
        <w:tc>
          <w:tcPr>
            <w:tcW w:w="27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29"/>
              <w:spacing w:after="0" w:line="182"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(1)</w:t>
            </w:r>
          </w:p>
        </w:tc>
        <w:tc>
          <w:tcPr>
            <w:tcW w:w="1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29"/>
              <w:spacing w:after="0" w:line="182"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2"/>
              </w:rPr>
              <w:t>Derivatives Designated as Hedging Instruments:</w:t>
            </w:r>
          </w:p>
        </w:tc>
        <w:tc>
          <w:tcPr>
            <w:tcW w:w="2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rate swap contracts</w:t>
            </w:r>
          </w:p>
        </w:tc>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9"/>
              </w:rPr>
              <w:t>Prepaid expenses and other current assets</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w:t>
            </w:r>
          </w:p>
        </w:tc>
        <w:tc>
          <w:tcPr>
            <w:tcW w:w="100" w:type="dxa"/>
            <w:vAlign w:val="bottom"/>
            <w:tcBorders>
              <w:bottom w:val="single" w:sz="8" w:color="CCEEFF"/>
            </w:tcBorders>
          </w:tcPr>
          <w:p>
            <w:pPr>
              <w:spacing w:after="0"/>
              <w:rPr>
                <w:sz w:val="15"/>
                <w:szCs w:val="15"/>
                <w:color w:val="auto"/>
              </w:rPr>
            </w:pPr>
          </w:p>
        </w:tc>
        <w:tc>
          <w:tcPr>
            <w:tcW w:w="27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0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Total derivatives designated as hedging</w:t>
            </w:r>
          </w:p>
        </w:tc>
        <w:tc>
          <w:tcPr>
            <w:tcW w:w="2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2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Capped call derivatives</w:t>
            </w:r>
          </w:p>
        </w:tc>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derivative assets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54,393</w:t>
            </w:r>
          </w:p>
        </w:tc>
        <w:tc>
          <w:tcPr>
            <w:tcW w:w="10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20" w:type="dxa"/>
            <w:vAlign w:val="bottom"/>
          </w:tcPr>
          <w:p>
            <w:pPr>
              <w:ind w:left="20"/>
              <w:spacing w:after="0"/>
              <w:rPr>
                <w:sz w:val="20"/>
                <w:szCs w:val="20"/>
                <w:color w:val="auto"/>
              </w:rPr>
            </w:pPr>
            <w:r>
              <w:rPr>
                <w:rFonts w:ascii="Arial" w:cs="Arial" w:eastAsia="Arial" w:hAnsi="Arial"/>
                <w:sz w:val="14"/>
                <w:szCs w:val="14"/>
                <w:color w:val="auto"/>
              </w:rPr>
              <w:t>FX derivative contracts</w:t>
            </w:r>
          </w:p>
        </w:tc>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ind w:left="20"/>
              <w:spacing w:after="0"/>
              <w:rPr>
                <w:sz w:val="20"/>
                <w:szCs w:val="20"/>
                <w:color w:val="auto"/>
              </w:rPr>
            </w:pPr>
            <w:r>
              <w:rPr>
                <w:rFonts w:ascii="Arial" w:cs="Arial" w:eastAsia="Arial" w:hAnsi="Arial"/>
                <w:sz w:val="14"/>
                <w:szCs w:val="14"/>
                <w:color w:val="auto"/>
              </w:rPr>
              <w:t>Accrued liabilities and other</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5,886</w:t>
            </w:r>
          </w:p>
        </w:tc>
        <w:tc>
          <w:tcPr>
            <w:tcW w:w="0" w:type="dxa"/>
            <w:vAlign w:val="bottom"/>
          </w:tcPr>
          <w:p>
            <w:pPr>
              <w:spacing w:after="0"/>
              <w:rPr>
                <w:sz w:val="1"/>
                <w:szCs w:val="1"/>
                <w:color w:val="auto"/>
              </w:rPr>
            </w:pPr>
          </w:p>
        </w:tc>
      </w:tr>
      <w:tr>
        <w:trPr>
          <w:trHeight w:val="181"/>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Embedded exchange feature</w:t>
            </w:r>
          </w:p>
        </w:tc>
        <w:tc>
          <w:tcPr>
            <w:tcW w:w="27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derivative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85,675</w:t>
            </w:r>
          </w:p>
        </w:tc>
        <w:tc>
          <w:tcPr>
            <w:tcW w:w="0" w:type="dxa"/>
            <w:vAlign w:val="bottom"/>
          </w:tcPr>
          <w:p>
            <w:pPr>
              <w:spacing w:after="0"/>
              <w:rPr>
                <w:sz w:val="1"/>
                <w:szCs w:val="1"/>
                <w:color w:val="auto"/>
              </w:rPr>
            </w:pPr>
          </w:p>
        </w:tc>
      </w:tr>
      <w:tr>
        <w:trPr>
          <w:trHeight w:val="128"/>
        </w:trPr>
        <w:tc>
          <w:tcPr>
            <w:tcW w:w="3020" w:type="dxa"/>
            <w:vAlign w:val="bottom"/>
          </w:tcPr>
          <w:p>
            <w:pPr>
              <w:ind w:left="20"/>
              <w:spacing w:after="0" w:line="129" w:lineRule="exact"/>
              <w:rPr>
                <w:sz w:val="20"/>
                <w:szCs w:val="20"/>
                <w:color w:val="auto"/>
              </w:rPr>
            </w:pPr>
            <w:r>
              <w:rPr>
                <w:rFonts w:ascii="Arial" w:cs="Arial" w:eastAsia="Arial" w:hAnsi="Arial"/>
                <w:sz w:val="14"/>
                <w:szCs w:val="14"/>
                <w:color w:val="auto"/>
              </w:rPr>
              <w:t>Total derivatives not designated as hedging</w:t>
            </w:r>
          </w:p>
        </w:tc>
        <w:tc>
          <w:tcPr>
            <w:tcW w:w="2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54,393</w:t>
            </w:r>
          </w:p>
        </w:tc>
        <w:tc>
          <w:tcPr>
            <w:tcW w:w="1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91,561</w:t>
            </w:r>
          </w:p>
        </w:tc>
        <w:tc>
          <w:tcPr>
            <w:tcW w:w="0" w:type="dxa"/>
            <w:vAlign w:val="bottom"/>
          </w:tcPr>
          <w:p>
            <w:pPr>
              <w:spacing w:after="0"/>
              <w:rPr>
                <w:sz w:val="1"/>
                <w:szCs w:val="1"/>
                <w:color w:val="auto"/>
              </w:rPr>
            </w:pPr>
          </w:p>
        </w:tc>
      </w:tr>
      <w:tr>
        <w:trPr>
          <w:trHeight w:val="170"/>
        </w:trPr>
        <w:tc>
          <w:tcPr>
            <w:tcW w:w="3020" w:type="dxa"/>
            <w:vAlign w:val="bottom"/>
          </w:tcPr>
          <w:p>
            <w:pPr>
              <w:ind w:left="20"/>
              <w:spacing w:after="0"/>
              <w:rPr>
                <w:sz w:val="20"/>
                <w:szCs w:val="20"/>
                <w:color w:val="auto"/>
              </w:rPr>
            </w:pPr>
            <w:r>
              <w:rPr>
                <w:rFonts w:ascii="Arial" w:cs="Arial" w:eastAsia="Arial" w:hAnsi="Arial"/>
                <w:sz w:val="14"/>
                <w:szCs w:val="14"/>
                <w:color w:val="auto"/>
              </w:rPr>
              <w:t>instruments</w:t>
            </w:r>
          </w:p>
        </w:tc>
        <w:tc>
          <w:tcPr>
            <w:tcW w:w="2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derivatives</w:t>
            </w:r>
          </w:p>
        </w:tc>
        <w:tc>
          <w:tcPr>
            <w:tcW w:w="2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55,726</w:t>
            </w:r>
          </w:p>
        </w:tc>
        <w:tc>
          <w:tcPr>
            <w:tcW w:w="10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91,561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For the classification of inputs used to evaluate the fair value of derivatives, refer to “Note 4. Fair Value Measurements.”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Saluggia Site Hazardous Substances</w:t>
      </w:r>
    </w:p>
    <w:p>
      <w:pPr>
        <w:spacing w:after="0" w:line="83" w:lineRule="exact"/>
        <w:rPr>
          <w:sz w:val="20"/>
          <w:szCs w:val="20"/>
          <w:color w:val="auto"/>
        </w:rPr>
      </w:pPr>
    </w:p>
    <w:p>
      <w:pPr>
        <w:ind w:right="20" w:firstLine="127"/>
        <w:spacing w:after="0" w:line="300" w:lineRule="auto"/>
        <w:rPr>
          <w:sz w:val="20"/>
          <w:szCs w:val="20"/>
          <w:color w:val="auto"/>
        </w:rPr>
      </w:pPr>
      <w:r>
        <w:rPr>
          <w:rFonts w:ascii="Arial" w:cs="Arial" w:eastAsia="Arial" w:hAnsi="Arial"/>
          <w:sz w:val="13"/>
          <w:szCs w:val="13"/>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has performed, and continues to perform, ordinary maintenance, secure the facilities, monitor air and water quality and file applicable reports with the competent environmental authorities.</w:t>
      </w:r>
    </w:p>
    <w:p>
      <w:pPr>
        <w:spacing w:after="0" w:line="48" w:lineRule="exact"/>
        <w:rPr>
          <w:sz w:val="20"/>
          <w:szCs w:val="20"/>
          <w:color w:val="auto"/>
        </w:rPr>
      </w:pPr>
    </w:p>
    <w:p>
      <w:pPr>
        <w:ind w:right="20" w:firstLine="127"/>
        <w:spacing w:after="0" w:line="268" w:lineRule="auto"/>
        <w:rPr>
          <w:sz w:val="20"/>
          <w:szCs w:val="20"/>
          <w:color w:val="auto"/>
        </w:rPr>
      </w:pPr>
      <w:r>
        <w:rPr>
          <w:rFonts w:ascii="Arial" w:cs="Arial" w:eastAsia="Arial" w:hAnsi="Arial"/>
          <w:sz w:val="14"/>
          <w:szCs w:val="14"/>
          <w:color w:val="auto"/>
        </w:rPr>
        <w:t>In 2020, LSM received correspondence from ISIN (a sub-body of the Italian Ministry of Economic Development)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 In January 2021, a list of 67 potential sites for the national repository was published.</w:t>
      </w:r>
    </w:p>
    <w:p>
      <w:pPr>
        <w:spacing w:after="0" w:line="67" w:lineRule="exact"/>
        <w:rPr>
          <w:sz w:val="20"/>
          <w:szCs w:val="20"/>
          <w:color w:val="auto"/>
        </w:rPr>
      </w:pPr>
    </w:p>
    <w:p>
      <w:pPr>
        <w:ind w:right="40" w:firstLine="127"/>
        <w:spacing w:after="0" w:line="273" w:lineRule="auto"/>
        <w:rPr>
          <w:sz w:val="20"/>
          <w:szCs w:val="20"/>
          <w:color w:val="auto"/>
        </w:rPr>
      </w:pPr>
      <w:r>
        <w:rPr>
          <w:rFonts w:ascii="Arial" w:cs="Arial" w:eastAsia="Arial" w:hAnsi="Arial"/>
          <w:sz w:val="14"/>
          <w:szCs w:val="14"/>
          <w:color w:val="auto"/>
        </w:rPr>
        <w:t>Although there is no legal obligation to begin any work or deliver the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June 30, 2023 was €34.0 million ($37.1 million), which represented the low end of the estimated range of loss of €34.0 million ($37.1 million) to €43.3 million ($47.3 million) as of June 30, 2023. The estimated liability as of December 31, 2022 was €34.2 million ($36.6 million).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Product Liability Litigation</w:t>
      </w:r>
    </w:p>
    <w:p>
      <w:pPr>
        <w:spacing w:after="0" w:line="83" w:lineRule="exact"/>
        <w:rPr>
          <w:sz w:val="20"/>
          <w:szCs w:val="20"/>
          <w:color w:val="auto"/>
        </w:rPr>
      </w:pPr>
    </w:p>
    <w:p>
      <w:pPr>
        <w:ind w:firstLine="127"/>
        <w:spacing w:after="0" w:line="272" w:lineRule="auto"/>
        <w:rPr>
          <w:sz w:val="20"/>
          <w:szCs w:val="20"/>
          <w:color w:val="auto"/>
        </w:rPr>
      </w:pPr>
      <w:r>
        <w:rPr>
          <w:rFonts w:ascii="Arial" w:cs="Arial" w:eastAsia="Arial" w:hAnsi="Arial"/>
          <w:sz w:val="14"/>
          <w:szCs w:val="14"/>
          <w:color w:val="auto"/>
        </w:rPr>
        <w:t>The Company is currently involved in litigation involving LivaNova’s 3T Heater-Cooler device. The litigation includes the MDL, various U.S. state court cases and cases in jurisdictions outside the U.S. On March 29, 2019, LivaNova announced a settlement framework that provided for a comprehensive resolution of the personal injury cases pending in the MDL, the related class action in federal court, as well as certain cases in state courts across the United States. The agreement, which made no admission of liability, was subject to certain conditions, including acceptance of the settlement by individual claimants and provided for a total payment of up to $225 million to resolve the claims covered by the settlement. Per the agreed-upon terms, the second and final payment of $90 million was paid into a qualified settlement fund in January 2020.</w:t>
      </w:r>
    </w:p>
    <w:p>
      <w:pPr>
        <w:spacing w:after="0" w:line="53" w:lineRule="exact"/>
        <w:rPr>
          <w:sz w:val="20"/>
          <w:szCs w:val="20"/>
          <w:color w:val="auto"/>
        </w:rPr>
      </w:pPr>
    </w:p>
    <w:p>
      <w:pPr>
        <w:ind w:right="160" w:firstLine="127"/>
        <w:spacing w:after="0" w:line="283" w:lineRule="auto"/>
        <w:rPr>
          <w:sz w:val="20"/>
          <w:szCs w:val="20"/>
          <w:color w:val="auto"/>
        </w:rPr>
      </w:pPr>
      <w:r>
        <w:rPr>
          <w:rFonts w:ascii="Arial" w:cs="Arial" w:eastAsia="Arial" w:hAnsi="Arial"/>
          <w:sz w:val="14"/>
          <w:szCs w:val="14"/>
          <w:color w:val="auto"/>
        </w:rPr>
        <w:t>Cases in state courts in the U.S. and in jurisdictions outside the U.S. continue to progress. As of July 26, 2023, the Company was aware of approximately 80 filed and unfiled claims worldwide, with the majority of the claims in various federal or state courts throughout the United States, including some cases removed to the MDL after the settlement described above. This number includes 13 cases in the process of settling. The complaints generally seek damages and other relief based on theories</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0" w:name="page21"/>
    <w:bookmarkEnd w:id="20"/>
    <w:p>
      <w:pPr>
        <w:ind w:right="660"/>
        <w:spacing w:after="0" w:line="297" w:lineRule="auto"/>
        <w:rPr>
          <w:sz w:val="20"/>
          <w:szCs w:val="20"/>
          <w:color w:val="auto"/>
        </w:rPr>
      </w:pPr>
      <w:r>
        <w:rPr>
          <w:rFonts w:ascii="Arial" w:cs="Arial" w:eastAsia="Arial" w:hAnsi="Arial"/>
          <w:sz w:val="14"/>
          <w:szCs w:val="14"/>
          <w:color w:val="auto"/>
        </w:rPr>
        <w:t>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37" w:lineRule="exact"/>
        <w:rPr>
          <w:sz w:val="20"/>
          <w:szCs w:val="20"/>
          <w:color w:val="auto"/>
        </w:rPr>
      </w:pPr>
    </w:p>
    <w:p>
      <w:pPr>
        <w:ind w:right="100" w:firstLine="127"/>
        <w:spacing w:after="0" w:line="272" w:lineRule="auto"/>
        <w:rPr>
          <w:sz w:val="20"/>
          <w:szCs w:val="20"/>
          <w:color w:val="auto"/>
        </w:rPr>
      </w:pPr>
      <w:r>
        <w:rPr>
          <w:rFonts w:ascii="Arial" w:cs="Arial" w:eastAsia="Arial" w:hAnsi="Arial"/>
          <w:sz w:val="14"/>
          <w:szCs w:val="14"/>
          <w:color w:val="auto"/>
        </w:rPr>
        <w:t>During the three and six months ended June 30, 2023, we recorded an additional liability of $10.8 million and $12.2 million, respectively, due to new information received about the nature of certain claims. At June 30, 2023 and December 31, 2022, the provision for these matters was $25.4 million and $32.5 million, respectively. While the amount accrued represents the Company’s best estimate for those filed and unfiled claims that the Company believes are both probable and estimable at this time, and which are a subset of the filed and unfiled claims worldwide of which LivaNova is currently aware, the actual liability for resolution of these matters may vary from the Company’s estimate. The remaining claims for which a provision has not been recorded are remote or the potential loss is not estimable at this time.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60" w:type="dxa"/>
            <w:vAlign w:val="bottom"/>
          </w:tcPr>
          <w:p>
            <w:pPr>
              <w:ind w:left="140"/>
              <w:spacing w:after="0"/>
              <w:rPr>
                <w:sz w:val="20"/>
                <w:szCs w:val="20"/>
                <w:color w:val="auto"/>
              </w:rPr>
            </w:pPr>
            <w:r>
              <w:rPr>
                <w:rFonts w:ascii="Arial" w:cs="Arial" w:eastAsia="Arial" w:hAnsi="Arial"/>
                <w:sz w:val="14"/>
                <w:szCs w:val="14"/>
                <w:color w:val="auto"/>
              </w:rPr>
              <w:t>Changes in the carrying amount of the litigation provision liability are as follows (in thousands):</w:t>
            </w: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2"/>
        </w:trPr>
        <w:tc>
          <w:tcPr>
            <w:tcW w:w="8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1"/>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litigation provision liability at December 31, 2022</w:t>
            </w:r>
          </w:p>
        </w:tc>
        <w:tc>
          <w:tcPr>
            <w:tcW w:w="1000" w:type="dxa"/>
            <w:vAlign w:val="bottom"/>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32,487</w:t>
            </w:r>
          </w:p>
        </w:tc>
      </w:tr>
      <w:tr>
        <w:trPr>
          <w:trHeight w:val="180"/>
        </w:trPr>
        <w:tc>
          <w:tcPr>
            <w:tcW w:w="8860" w:type="dxa"/>
            <w:vAlign w:val="bottom"/>
          </w:tcPr>
          <w:p>
            <w:pPr>
              <w:ind w:left="20"/>
              <w:spacing w:after="0"/>
              <w:rPr>
                <w:sz w:val="20"/>
                <w:szCs w:val="20"/>
                <w:color w:val="auto"/>
              </w:rPr>
            </w:pPr>
            <w:r>
              <w:rPr>
                <w:rFonts w:ascii="Arial" w:cs="Arial" w:eastAsia="Arial" w:hAnsi="Arial"/>
                <w:sz w:val="14"/>
                <w:szCs w:val="14"/>
                <w:color w:val="auto"/>
              </w:rPr>
              <w:t>Payments</w:t>
            </w:r>
          </w:p>
        </w:tc>
        <w:tc>
          <w:tcPr>
            <w:tcW w:w="10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(19,407)</w:t>
            </w:r>
          </w:p>
        </w:tc>
      </w:tr>
      <w:tr>
        <w:trPr>
          <w:trHeight w:val="181"/>
        </w:trPr>
        <w:tc>
          <w:tcPr>
            <w:tcW w:w="886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10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12,150</w:t>
            </w:r>
          </w:p>
        </w:tc>
      </w:tr>
      <w:tr>
        <w:trPr>
          <w:trHeight w:val="191"/>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FX and other</w:t>
            </w: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r>
      <w:tr>
        <w:trPr>
          <w:trHeight w:val="171"/>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litigation provision liability at June 30, 2023</w:t>
            </w:r>
          </w:p>
        </w:tc>
        <w:tc>
          <w:tcPr>
            <w:tcW w:w="10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25,417</w:t>
            </w:r>
          </w:p>
        </w:tc>
      </w:tr>
      <w:tr>
        <w:trPr>
          <w:trHeight w:val="180"/>
        </w:trPr>
        <w:tc>
          <w:tcPr>
            <w:tcW w:w="8860" w:type="dxa"/>
            <w:vAlign w:val="bottom"/>
          </w:tcPr>
          <w:p>
            <w:pPr>
              <w:ind w:left="180"/>
              <w:spacing w:after="0"/>
              <w:rPr>
                <w:sz w:val="20"/>
                <w:szCs w:val="20"/>
                <w:color w:val="auto"/>
              </w:rPr>
            </w:pPr>
            <w:r>
              <w:rPr>
                <w:rFonts w:ascii="Arial" w:cs="Arial" w:eastAsia="Arial" w:hAnsi="Arial"/>
                <w:sz w:val="14"/>
                <w:szCs w:val="14"/>
                <w:color w:val="auto"/>
              </w:rPr>
              <w:t>Less current portion of litigation provision liability at June 30, 2023</w:t>
            </w: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22,352</w:t>
            </w:r>
          </w:p>
        </w:tc>
      </w:tr>
      <w:tr>
        <w:trPr>
          <w:trHeight w:val="207"/>
        </w:trPr>
        <w:tc>
          <w:tcPr>
            <w:tcW w:w="8860" w:type="dxa"/>
            <w:vAlign w:val="bottom"/>
            <w:tcBorders>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Long-term portion of litigation provision liability at June 30, 2023 </w:t>
            </w:r>
            <w:r>
              <w:rPr>
                <w:rFonts w:ascii="Arial" w:cs="Arial" w:eastAsia="Arial" w:hAnsi="Arial"/>
                <w:sz w:val="18"/>
                <w:szCs w:val="18"/>
                <w:color w:val="auto"/>
                <w:vertAlign w:val="superscript"/>
              </w:rPr>
              <w:t>(2)</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3,065</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Adjustments to the litigation provision are included within other operating expense on the condensed consolidated statements of income.</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Included within other long-term liabilities on the condensed consolidated balance sheet.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SNIA Environmental Liability</w:t>
      </w:r>
    </w:p>
    <w:p>
      <w:pPr>
        <w:spacing w:after="0" w:line="83" w:lineRule="exact"/>
        <w:rPr>
          <w:sz w:val="20"/>
          <w:szCs w:val="20"/>
          <w:color w:val="auto"/>
        </w:rPr>
      </w:pPr>
    </w:p>
    <w:p>
      <w:pPr>
        <w:ind w:right="320" w:firstLine="127"/>
        <w:spacing w:after="0" w:line="283" w:lineRule="auto"/>
        <w:rPr>
          <w:sz w:val="20"/>
          <w:szCs w:val="20"/>
          <w:color w:val="auto"/>
        </w:rPr>
      </w:pPr>
      <w:r>
        <w:rPr>
          <w:rFonts w:ascii="Arial" w:cs="Arial" w:eastAsia="Arial" w:hAnsi="Arial"/>
          <w:sz w:val="14"/>
          <w:szCs w:val="14"/>
          <w:color w:val="auto"/>
        </w:rPr>
        <w:t>Sorin was created as a result of a spin-off from SNIA in 2004, and in 2015, Sorin was merged into LivaNova. SNIA subsequently became insolvent, and the Public Administrations sought compensation from SNIA in an aggregate amount of approximately $3.8 billion for remediation costs relating to the environmental damage at chemical sites previously operated by SNIA’s other subsidiaries.</w:t>
      </w:r>
    </w:p>
    <w:p>
      <w:pPr>
        <w:spacing w:after="0" w:line="46" w:lineRule="exact"/>
        <w:rPr>
          <w:sz w:val="20"/>
          <w:szCs w:val="20"/>
          <w:color w:val="auto"/>
        </w:rPr>
      </w:pPr>
    </w:p>
    <w:p>
      <w:pPr>
        <w:ind w:right="40" w:firstLine="127"/>
        <w:spacing w:after="0" w:line="297" w:lineRule="auto"/>
        <w:rPr>
          <w:sz w:val="20"/>
          <w:szCs w:val="20"/>
          <w:color w:val="auto"/>
        </w:rPr>
      </w:pPr>
      <w:r>
        <w:rPr>
          <w:rFonts w:ascii="Arial" w:cs="Arial" w:eastAsia="Arial" w:hAnsi="Arial"/>
          <w:sz w:val="13"/>
          <w:szCs w:val="13"/>
          <w:color w:val="auto"/>
        </w:rPr>
        <w:t>There are proceedings relating to the SNIA bankruptcy to which LivaNova is not a party in the Bankruptcy Court of Udine and the Bankruptcy Court of Milan. In 2011, the Bankruptcy Court of Udine held that the Public Administrations were not creditors of either SNIA or its subsidiaries in connection with their claims in the Italian insolvency proceedings. The Public Administrations appealed. In 2016, the Court of Udine rejected the appeal, and the Public Administrations appealed to the Supreme Court. Similarly, in 2014, the Bankruptcy Court of Milan held that the Public Administrations were not creditors of either SNIA or its subsidiaries. The Public Administrations appealed. In April 2022, Bankruptcy Court of Milan declared the Public Administrations to be a non-privileged creditor of SNIA for up to €454 million, and the Public Administrations appealed to the Supreme Court.</w:t>
      </w:r>
    </w:p>
    <w:p>
      <w:pPr>
        <w:spacing w:after="0" w:line="41" w:lineRule="exact"/>
        <w:rPr>
          <w:sz w:val="20"/>
          <w:szCs w:val="20"/>
          <w:color w:val="auto"/>
        </w:rPr>
      </w:pPr>
    </w:p>
    <w:p>
      <w:pPr>
        <w:ind w:firstLine="127"/>
        <w:spacing w:after="0" w:line="271" w:lineRule="auto"/>
        <w:rPr>
          <w:sz w:val="20"/>
          <w:szCs w:val="20"/>
          <w:color w:val="auto"/>
        </w:rPr>
      </w:pPr>
      <w:r>
        <w:rPr>
          <w:rFonts w:ascii="Arial" w:cs="Arial" w:eastAsia="Arial" w:hAnsi="Arial"/>
          <w:sz w:val="14"/>
          <w:szCs w:val="14"/>
          <w:color w:val="auto"/>
        </w:rPr>
        <w:t>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2016, the Court of Milan dismissed all legal actions of SNIA and of the Public Administrations further requiring the Public Administrations to pay Sorin approximately €292,000 (approximately $318,732 as of June 30, 2023) for legal fees. The Public Administrations appealed the 2016 Decision to the Court of Appeal.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$624.5 million as of June 30, 2023). LivaNova appealed the partial decision on liability to the Italian Supreme Court in August 2019.</w:t>
      </w:r>
    </w:p>
    <w:p>
      <w:pPr>
        <w:spacing w:after="0" w:line="55" w:lineRule="exact"/>
        <w:rPr>
          <w:sz w:val="20"/>
          <w:szCs w:val="20"/>
          <w:color w:val="auto"/>
        </w:rPr>
      </w:pPr>
    </w:p>
    <w:p>
      <w:pPr>
        <w:ind w:right="20" w:firstLine="127"/>
        <w:spacing w:after="0" w:line="272" w:lineRule="auto"/>
        <w:rPr>
          <w:sz w:val="20"/>
          <w:szCs w:val="20"/>
          <w:color w:val="auto"/>
        </w:rPr>
      </w:pPr>
      <w:r>
        <w:rPr>
          <w:rFonts w:ascii="Arial" w:cs="Arial" w:eastAsia="Arial" w:hAnsi="Arial"/>
          <w:sz w:val="14"/>
          <w:szCs w:val="14"/>
          <w:color w:val="auto"/>
        </w:rPr>
        <w:t>In 2021, the Court of Appeal delivered the remainder of its decision, ordering LivaNova to pay damages of approximately €453.6 million (approximately $495.1 million as of June 30, 2023). LivaNova appealed the decision on damages in December 2021. On February 21, 2022, the Court of Appeal notified the Company that it granted the Company a suspension with respect to the payment of damages until a decision has been reached on the appeal to the Italian Supreme Court. This suspension was subject to LivaNova providing a first demand bank guarantee of €270.0 million (approximately $294.7 million as of June 30, 2023) within 30 calendar days, and on March 21, 2022, LivaNova delivered the guarantee, thereby satisfying the condition. Refer to “Note 5. Financing Arrangements” for information on the financing of the guarantee.</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1" w:name="page22"/>
    <w:bookmarkEnd w:id="21"/>
    <w:p>
      <w:pPr>
        <w:ind w:firstLine="127"/>
        <w:spacing w:after="0" w:line="292" w:lineRule="auto"/>
        <w:rPr>
          <w:sz w:val="20"/>
          <w:szCs w:val="20"/>
          <w:color w:val="auto"/>
        </w:rPr>
      </w:pPr>
      <w:r>
        <w:rPr>
          <w:rFonts w:ascii="Arial" w:cs="Arial" w:eastAsia="Arial" w:hAnsi="Arial"/>
          <w:sz w:val="13"/>
          <w:szCs w:val="13"/>
          <w:color w:val="auto"/>
        </w:rPr>
        <w:t>In November 2022, in response to one of a number of appeals asserted by LivaNova, the Supreme Court issued an ordinance, a procedural document, whereby the Supreme Court referred a question on interpretation of a European directive on demergers to the ECJ. Specifically, the ordinance asks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Following receipt of the binding decision from the ECJ, the Supreme Court is expected to incorporate and issue a decision in response to all of the appeals of LivaNova and counter-appeals submitted by the Public Administrations. While the timing of the decisions by the ECJ and, subsequently, the Supreme Court are uncertain, the Company believes that the effect of the ordinance will result in a delay of any final decision until at least 2024.</w:t>
      </w:r>
    </w:p>
    <w:p>
      <w:pPr>
        <w:spacing w:after="0" w:line="55" w:lineRule="exact"/>
        <w:rPr>
          <w:sz w:val="20"/>
          <w:szCs w:val="20"/>
          <w:color w:val="auto"/>
        </w:rPr>
      </w:pPr>
    </w:p>
    <w:p>
      <w:pPr>
        <w:ind w:right="160" w:firstLine="127"/>
        <w:spacing w:after="0" w:line="320" w:lineRule="auto"/>
        <w:rPr>
          <w:sz w:val="20"/>
          <w:szCs w:val="20"/>
          <w:color w:val="auto"/>
        </w:rPr>
      </w:pPr>
      <w:r>
        <w:rPr>
          <w:rFonts w:ascii="Arial" w:cs="Arial" w:eastAsia="Arial" w:hAnsi="Arial"/>
          <w:sz w:val="12"/>
          <w:szCs w:val="12"/>
          <w:color w:val="auto"/>
        </w:rPr>
        <w:t>In 2011, Caffaro, a SNIA subsidiary, sold its Brescia chemical business to Caffaro Brescia, a third party belonging to the Todisco group, and as part of the acquisition, Caffaro Brescia agreed to secure hydraulic barriers at the site and maintain existing environmental security measures. In 2020, Caffaro Brescia declared it was withdrawing from its agreement to maintain the environmental measures. In 2021, LivaNova (in addition to Caffaro Brescia, and other non-LivaNova entities) received an Order from the Italian Ministry of the Environment requiring the Company to ensure the maintenance of the environmental measures and to guarantee that such works remain fully operational, the annual management and maintenance for which is estimated at approximately €1 million per year. LivaNova’s receipt of the Order appears to be based on the aforementioned Court of Appeal decision regarding LivaNova’s alleged joint liability with SNIA for SNIA’s environmental liabilities. LivaNova’s response, dated February 16, 2021, disputes the grounds upon which the Order is based. LivaNova also appealed the Order in the Administrative Court in Brescia.</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LivaNova has not recognized a liability in connection with these related matters because any potential loss is not currently probable.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Caisson Contract Litigation</w:t>
      </w:r>
    </w:p>
    <w:p>
      <w:pPr>
        <w:spacing w:after="0" w:line="83" w:lineRule="exact"/>
        <w:rPr>
          <w:sz w:val="20"/>
          <w:szCs w:val="20"/>
          <w:color w:val="auto"/>
        </w:rPr>
      </w:pPr>
    </w:p>
    <w:p>
      <w:pPr>
        <w:ind w:firstLine="127"/>
        <w:spacing w:after="0" w:line="268" w:lineRule="auto"/>
        <w:rPr>
          <w:sz w:val="20"/>
          <w:szCs w:val="20"/>
          <w:color w:val="auto"/>
        </w:rPr>
      </w:pPr>
      <w:r>
        <w:rPr>
          <w:rFonts w:ascii="Arial" w:cs="Arial" w:eastAsia="Arial" w:hAnsi="Arial"/>
          <w:sz w:val="14"/>
          <w:szCs w:val="14"/>
          <w:color w:val="auto"/>
        </w:rPr>
        <w:t>On November 25, 2019, LivaNova received notice of a lawsuit initiated by former members of Caisson, a subsidiary of the Company acquired in 2017. The lawsuit, Todd J. Mortier, as Member Representative of the former Members of Caisson Interventional, LLC v. LivaNova USA, Inc., was filed in the United States District Court for the District of Minnesota. The complaint alleged (i) breach of contract, (ii) breach of the covenant of good faith and fair dealing and (iii) unjust enrichment in connection with the Company’s operation of Caisson’s transcatheter mitral valve replacement program and the Company’s November 20, 2019 announcement that it was ending the program at the end of 2019. The lawsuit sought damages arising out of the 2017 acquisition agreement, including various regulatory milestone payments. In May 2022, the District Court granted LivaNova’s motion for summary judgment, and in June 2023, the Eighth Circuit Court of Appeal affirmed the decision. The Company now considers Caisson’s claim against LivaNova to be closed.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Mitral Litigation</w:t>
      </w:r>
    </w:p>
    <w:p>
      <w:pPr>
        <w:spacing w:after="0" w:line="83" w:lineRule="exact"/>
        <w:rPr>
          <w:sz w:val="20"/>
          <w:szCs w:val="20"/>
          <w:color w:val="auto"/>
        </w:rPr>
      </w:pPr>
    </w:p>
    <w:p>
      <w:pPr>
        <w:ind w:right="80" w:firstLine="127"/>
        <w:spacing w:after="0" w:line="320" w:lineRule="auto"/>
        <w:rPr>
          <w:sz w:val="20"/>
          <w:szCs w:val="20"/>
          <w:color w:val="auto"/>
        </w:rPr>
      </w:pPr>
      <w:r>
        <w:rPr>
          <w:rFonts w:ascii="Arial" w:cs="Arial" w:eastAsia="Arial" w:hAnsi="Arial"/>
          <w:sz w:val="12"/>
          <w:szCs w:val="12"/>
          <w:color w:val="auto"/>
        </w:rPr>
        <w:t>On July 29, 2022, LivaNova received a demand letter from Mitral for approximately €20.8 million ($22.7 million as of June 30, 2023) for breach of warranty claims under the A&amp;R Purchase Agreement. Specifically, the claims allege failure to disclose certain information relating to a supplier, thereby allegedly impacting the profitability of Mitral’s business in China and Japan. The Company does not believe that Mitral’s claims will be sustained or that LivaNova is responsible for any alleged breach of warranty. Subject to certain exceptions, warranty claims of this type are contractually capped at €8.0 million ($8.7 million as of June 30, 2023). On March 22, 2023, Mitral served a formal claim on LivaNova in the High Court of Justice Commercial Court (King’s Bench Division) alleging damages flowing from the aforementioned asserted breaches of warranties in the A&amp;R Purchase Agreement. Although the claim is in excess of €20.8 million, Mitral acknowledges the €8.0 million cap. The Company filed its Defense on May 17, 2023. The Company has not recognized a liability related to this matter because any potential loss is not currently probable.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Italian MedTech Payback Measure</w:t>
      </w:r>
    </w:p>
    <w:p>
      <w:pPr>
        <w:spacing w:after="0" w:line="83" w:lineRule="exact"/>
        <w:rPr>
          <w:sz w:val="20"/>
          <w:szCs w:val="20"/>
          <w:color w:val="auto"/>
        </w:rPr>
      </w:pPr>
    </w:p>
    <w:p>
      <w:pPr>
        <w:ind w:right="80" w:firstLine="127"/>
        <w:spacing w:after="0" w:line="327" w:lineRule="auto"/>
        <w:rPr>
          <w:sz w:val="20"/>
          <w:szCs w:val="20"/>
          <w:color w:val="auto"/>
        </w:rPr>
      </w:pPr>
      <w:r>
        <w:rPr>
          <w:rFonts w:ascii="Arial" w:cs="Arial" w:eastAsia="Arial" w:hAnsi="Arial"/>
          <w:sz w:val="12"/>
          <w:szCs w:val="12"/>
          <w:color w:val="auto"/>
        </w:rPr>
        <w:t>As previously disclosed, in 2015, the Italian Parliament introduced rules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the intervening years since the rules were first issued, there has been considerable uncertainty about how the law will operate and what the exact timeline is for finalization. In August 2022, a decree was published which provided guidance and timetables for the rule. The current deadline to execute payback payments is July 31, 2023. LivaNova filed an appeal at the Administrative Court against the Decree of the Ministry of Health assessing the amount payable and against the MedTech Payback Guidelines. LivaNova also filed appeals against the regions requesting payments.</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2" w:name="page23"/>
    <w:bookmarkEnd w:id="22"/>
    <w:p>
      <w:pPr>
        <w:ind w:right="200"/>
        <w:spacing w:after="0" w:line="297" w:lineRule="auto"/>
        <w:rPr>
          <w:sz w:val="20"/>
          <w:szCs w:val="20"/>
          <w:color w:val="auto"/>
        </w:rPr>
      </w:pPr>
      <w:r>
        <w:rPr>
          <w:rFonts w:ascii="Arial" w:cs="Arial" w:eastAsia="Arial" w:hAnsi="Arial"/>
          <w:sz w:val="14"/>
          <w:szCs w:val="14"/>
          <w:color w:val="auto"/>
        </w:rPr>
        <w:t>The Company has accrued for the law since 2015 based on market and product information. As of June 30, 2023 and December 31, 2022, the total amount reserved for this matter was $7.4 million and $6.4 million, respectively; however, the actual liability could vary.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Other Matters</w:t>
      </w:r>
    </w:p>
    <w:p>
      <w:pPr>
        <w:spacing w:after="0" w:line="94" w:lineRule="exact"/>
        <w:rPr>
          <w:sz w:val="20"/>
          <w:szCs w:val="20"/>
          <w:color w:val="auto"/>
        </w:rPr>
      </w:pPr>
    </w:p>
    <w:p>
      <w:pPr>
        <w:ind w:right="20" w:firstLine="127"/>
        <w:spacing w:after="0" w:line="275" w:lineRule="auto"/>
        <w:rPr>
          <w:sz w:val="20"/>
          <w:szCs w:val="20"/>
          <w:color w:val="auto"/>
        </w:rPr>
      </w:pPr>
      <w:r>
        <w:rPr>
          <w:rFonts w:ascii="Arial" w:cs="Arial" w:eastAsia="Arial" w:hAnsi="Arial"/>
          <w:sz w:val="14"/>
          <w:szCs w:val="14"/>
          <w:color w:val="auto"/>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net income, financial position or liquidity.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Stockholders' Equity</w:t>
      </w:r>
    </w:p>
    <w:p>
      <w:pPr>
        <w:spacing w:after="0" w:line="8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tables below present the condensed consolidated statements of stockholders’ equity as of and for the three and six months ended June 30, 2023 and 2022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3"/>
              </w:rPr>
              <w:t>Ordinary Shares</w:t>
            </w:r>
          </w:p>
        </w:tc>
        <w:tc>
          <w:tcPr>
            <w:tcW w:w="120" w:type="dxa"/>
            <w:vAlign w:val="bottom"/>
          </w:tcPr>
          <w:p>
            <w:pPr>
              <w:spacing w:after="0"/>
              <w:rPr>
                <w:sz w:val="10"/>
                <w:szCs w:val="10"/>
                <w:color w:val="auto"/>
              </w:rPr>
            </w:pPr>
          </w:p>
        </w:tc>
        <w:tc>
          <w:tcPr>
            <w:tcW w:w="9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5"/>
              </w:rPr>
              <w:t>Ordinary Shares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2"/>
              <w:spacing w:after="0"/>
              <w:rPr>
                <w:sz w:val="20"/>
                <w:szCs w:val="20"/>
                <w:color w:val="auto"/>
              </w:rPr>
            </w:pPr>
            <w:r>
              <w:rPr>
                <w:rFonts w:ascii="Arial" w:cs="Arial" w:eastAsia="Arial" w:hAnsi="Arial"/>
                <w:sz w:val="11"/>
                <w:szCs w:val="11"/>
                <w:b w:val="1"/>
                <w:bCs w:val="1"/>
                <w:color w:val="auto"/>
                <w:w w:val="96"/>
              </w:rPr>
              <w:t>Additional Paid-In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1"/>
                <w:szCs w:val="11"/>
                <w:b w:val="1"/>
                <w:bCs w:val="1"/>
                <w:color w:val="auto"/>
                <w:w w:val="90"/>
              </w:rPr>
              <w:t>Treasury Stock</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center"/>
              <w:ind w:right="52"/>
              <w:spacing w:after="0"/>
              <w:rPr>
                <w:sz w:val="20"/>
                <w:szCs w:val="20"/>
                <w:color w:val="auto"/>
              </w:rPr>
            </w:pPr>
            <w:r>
              <w:rPr>
                <w:rFonts w:ascii="Arial" w:cs="Arial" w:eastAsia="Arial" w:hAnsi="Arial"/>
                <w:sz w:val="11"/>
                <w:szCs w:val="11"/>
                <w:b w:val="1"/>
                <w:bCs w:val="1"/>
                <w:color w:val="auto"/>
                <w:w w:val="94"/>
              </w:rPr>
              <w:t>Accumulated 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1"/>
                <w:szCs w:val="11"/>
                <w:b w:val="1"/>
                <w:bCs w:val="1"/>
                <w:color w:val="auto"/>
                <w:w w:val="92"/>
              </w:rPr>
              <w:t>Accumulated Deficit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right="32"/>
              <w:spacing w:after="0"/>
              <w:rPr>
                <w:sz w:val="20"/>
                <w:szCs w:val="20"/>
                <w:color w:val="auto"/>
              </w:rPr>
            </w:pPr>
            <w:r>
              <w:rPr>
                <w:rFonts w:ascii="Arial" w:cs="Arial" w:eastAsia="Arial" w:hAnsi="Arial"/>
                <w:sz w:val="11"/>
                <w:szCs w:val="11"/>
                <w:b w:val="1"/>
                <w:bCs w:val="1"/>
                <w:color w:val="auto"/>
                <w:w w:val="90"/>
              </w:rPr>
              <w:t>Total Stockholders'</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31"/>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1"/>
                <w:szCs w:val="11"/>
                <w:b w:val="1"/>
                <w:bCs w:val="1"/>
                <w:color w:val="auto"/>
                <w:w w:val="89"/>
              </w:rPr>
              <w:t>Comprehensive Loss</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1"/>
                <w:szCs w:val="11"/>
                <w:b w:val="1"/>
                <w:bCs w:val="1"/>
                <w:color w:val="auto"/>
                <w:w w:val="97"/>
              </w:rPr>
              <w:t xml:space="preserve">Equity </w:t>
            </w:r>
            <w:r>
              <w:rPr>
                <w:rFonts w:ascii="Arial" w:cs="Arial" w:eastAsia="Arial" w:hAnsi="Arial"/>
                <w:sz w:val="7"/>
                <w:szCs w:val="7"/>
                <w:b w:val="1"/>
                <w:bCs w:val="1"/>
                <w:color w:val="auto"/>
                <w:w w:val="97"/>
              </w:rPr>
              <w:t>(1)</w:t>
            </w:r>
          </w:p>
        </w:tc>
        <w:tc>
          <w:tcPr>
            <w:tcW w:w="0" w:type="dxa"/>
            <w:vAlign w:val="bottom"/>
          </w:tcPr>
          <w:p>
            <w:pPr>
              <w:spacing w:after="0"/>
              <w:rPr>
                <w:sz w:val="1"/>
                <w:szCs w:val="1"/>
                <w:color w:val="auto"/>
              </w:rPr>
            </w:pPr>
          </w:p>
        </w:tc>
      </w:tr>
      <w:tr>
        <w:trPr>
          <w:trHeight w:val="177"/>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2023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53,854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82,424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2,162,928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(41,032)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(976,660)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1,227,341</w:t>
            </w:r>
          </w:p>
        </w:tc>
        <w:tc>
          <w:tcPr>
            <w:tcW w:w="0" w:type="dxa"/>
            <w:vAlign w:val="bottom"/>
          </w:tcPr>
          <w:p>
            <w:pPr>
              <w:spacing w:after="0"/>
              <w:rPr>
                <w:sz w:val="1"/>
                <w:szCs w:val="1"/>
                <w:color w:val="auto"/>
              </w:rPr>
            </w:pPr>
          </w:p>
        </w:tc>
      </w:tr>
      <w:tr>
        <w:trPr>
          <w:trHeight w:val="185"/>
        </w:trPr>
        <w:tc>
          <w:tcPr>
            <w:tcW w:w="3200" w:type="dxa"/>
            <w:vAlign w:val="bottom"/>
          </w:tcPr>
          <w:p>
            <w:pPr>
              <w:ind w:left="20"/>
              <w:spacing w:after="0"/>
              <w:rPr>
                <w:sz w:val="20"/>
                <w:szCs w:val="20"/>
                <w:color w:val="auto"/>
              </w:rPr>
            </w:pPr>
            <w:r>
              <w:rPr>
                <w:rFonts w:ascii="Arial" w:cs="Arial" w:eastAsia="Arial" w:hAnsi="Arial"/>
                <w:sz w:val="14"/>
                <w:szCs w:val="14"/>
                <w:color w:val="auto"/>
              </w:rPr>
              <w:t>Stock-based compensation plans</w:t>
            </w:r>
          </w:p>
        </w:tc>
        <w:tc>
          <w:tcPr>
            <w:tcW w:w="84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6,659</w:t>
            </w:r>
          </w:p>
        </w:tc>
        <w:tc>
          <w:tcPr>
            <w:tcW w:w="0" w:type="dxa"/>
            <w:vAlign w:val="bottom"/>
          </w:tcPr>
          <w:p>
            <w:pPr>
              <w:spacing w:after="0"/>
              <w:rPr>
                <w:sz w:val="1"/>
                <w:szCs w:val="1"/>
                <w:color w:val="auto"/>
              </w:rPr>
            </w:pPr>
          </w:p>
        </w:tc>
      </w:tr>
      <w:tr>
        <w:trPr>
          <w:trHeight w:val="186"/>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5,453</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5,453</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30, 2023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53,904</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2,169,346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(975,505)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1,240,608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2022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53,764</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2,121,098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(894,791)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1,291,854</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Arial" w:cs="Arial" w:eastAsia="Arial" w:hAnsi="Arial"/>
                <w:sz w:val="14"/>
                <w:szCs w:val="14"/>
                <w:color w:val="auto"/>
              </w:rPr>
              <w:t>Stock-based compensation plans</w:t>
            </w:r>
          </w:p>
        </w:tc>
        <w:tc>
          <w:tcPr>
            <w:tcW w:w="84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12,160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12,443</w:t>
            </w:r>
          </w:p>
        </w:tc>
        <w:tc>
          <w:tcPr>
            <w:tcW w:w="0" w:type="dxa"/>
            <w:vAlign w:val="bottom"/>
          </w:tcPr>
          <w:p>
            <w:pPr>
              <w:spacing w:after="0"/>
              <w:rPr>
                <w:sz w:val="1"/>
                <w:szCs w:val="1"/>
                <w:color w:val="auto"/>
              </w:rPr>
            </w:pPr>
          </w:p>
        </w:tc>
      </w:tr>
      <w:tr>
        <w:trPr>
          <w:trHeight w:val="191"/>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16,444</w:t>
            </w:r>
          </w:p>
        </w:tc>
        <w:tc>
          <w:tcPr>
            <w:tcW w:w="0" w:type="dxa"/>
            <w:vAlign w:val="bottom"/>
          </w:tcPr>
          <w:p>
            <w:pPr>
              <w:spacing w:after="0"/>
              <w:rPr>
                <w:sz w:val="1"/>
                <w:szCs w:val="1"/>
                <w:color w:val="auto"/>
              </w:rPr>
            </w:pPr>
          </w:p>
        </w:tc>
      </w:tr>
      <w:tr>
        <w:trPr>
          <w:trHeight w:val="180"/>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(38,738)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(38,738)</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June 30,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53,810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82,359</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2,133,258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(54,870)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(878,347)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1,282,003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3"/>
              </w:rPr>
              <w:t>Ordinary Shares</w:t>
            </w:r>
          </w:p>
        </w:tc>
        <w:tc>
          <w:tcPr>
            <w:tcW w:w="120" w:type="dxa"/>
            <w:vAlign w:val="bottom"/>
          </w:tcPr>
          <w:p>
            <w:pPr>
              <w:spacing w:after="0"/>
              <w:rPr>
                <w:sz w:val="21"/>
                <w:szCs w:val="21"/>
                <w:color w:val="auto"/>
              </w:rPr>
            </w:pPr>
          </w:p>
        </w:tc>
        <w:tc>
          <w:tcPr>
            <w:tcW w:w="9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5"/>
              </w:rPr>
              <w:t>Ordinary Shares -</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center"/>
              <w:ind w:right="12"/>
              <w:spacing w:after="0"/>
              <w:rPr>
                <w:sz w:val="20"/>
                <w:szCs w:val="20"/>
                <w:color w:val="auto"/>
              </w:rPr>
            </w:pPr>
            <w:r>
              <w:rPr>
                <w:rFonts w:ascii="Arial" w:cs="Arial" w:eastAsia="Arial" w:hAnsi="Arial"/>
                <w:sz w:val="11"/>
                <w:szCs w:val="11"/>
                <w:b w:val="1"/>
                <w:bCs w:val="1"/>
                <w:color w:val="auto"/>
                <w:w w:val="96"/>
              </w:rPr>
              <w:t>Additional Paid-In</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1"/>
                <w:szCs w:val="11"/>
                <w:b w:val="1"/>
                <w:bCs w:val="1"/>
                <w:color w:val="auto"/>
                <w:w w:val="90"/>
              </w:rPr>
              <w:t>Treasury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center"/>
              <w:ind w:right="52"/>
              <w:spacing w:after="0"/>
              <w:rPr>
                <w:sz w:val="20"/>
                <w:szCs w:val="20"/>
                <w:color w:val="auto"/>
              </w:rPr>
            </w:pPr>
            <w:r>
              <w:rPr>
                <w:rFonts w:ascii="Arial" w:cs="Arial" w:eastAsia="Arial" w:hAnsi="Arial"/>
                <w:sz w:val="11"/>
                <w:szCs w:val="11"/>
                <w:b w:val="1"/>
                <w:bCs w:val="1"/>
                <w:color w:val="auto"/>
                <w:w w:val="94"/>
              </w:rPr>
              <w:t>Accumulated Other</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1"/>
                <w:szCs w:val="11"/>
                <w:b w:val="1"/>
                <w:bCs w:val="1"/>
                <w:color w:val="auto"/>
                <w:w w:val="92"/>
              </w:rPr>
              <w:t>Accumulated Deficit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center"/>
              <w:ind w:right="32"/>
              <w:spacing w:after="0"/>
              <w:rPr>
                <w:sz w:val="20"/>
                <w:szCs w:val="20"/>
                <w:color w:val="auto"/>
              </w:rPr>
            </w:pPr>
            <w:r>
              <w:rPr>
                <w:rFonts w:ascii="Arial" w:cs="Arial" w:eastAsia="Arial" w:hAnsi="Arial"/>
                <w:sz w:val="11"/>
                <w:szCs w:val="11"/>
                <w:b w:val="1"/>
                <w:bCs w:val="1"/>
                <w:color w:val="auto"/>
                <w:w w:val="90"/>
              </w:rPr>
              <w:t>Total Stockholders'</w:t>
            </w: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11"/>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1"/>
                <w:szCs w:val="11"/>
                <w:b w:val="1"/>
                <w:bCs w:val="1"/>
                <w:color w:val="auto"/>
                <w:w w:val="89"/>
              </w:rPr>
              <w:t>Comprehensive Loss</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32"/>
              <w:spacing w:after="0" w:line="159" w:lineRule="exact"/>
              <w:rPr>
                <w:sz w:val="20"/>
                <w:szCs w:val="20"/>
                <w:color w:val="auto"/>
              </w:rPr>
            </w:pPr>
            <w:r>
              <w:rPr>
                <w:rFonts w:ascii="Arial" w:cs="Arial" w:eastAsia="Arial" w:hAnsi="Arial"/>
                <w:sz w:val="11"/>
                <w:szCs w:val="11"/>
                <w:b w:val="1"/>
                <w:bCs w:val="1"/>
                <w:color w:val="auto"/>
                <w:w w:val="91"/>
              </w:rPr>
              <w:t xml:space="preserve">Equity </w:t>
            </w:r>
            <w:r>
              <w:rPr>
                <w:rFonts w:ascii="Arial" w:cs="Arial" w:eastAsia="Arial" w:hAnsi="Arial"/>
                <w:sz w:val="14"/>
                <w:szCs w:val="14"/>
                <w:b w:val="1"/>
                <w:bCs w:val="1"/>
                <w:color w:val="auto"/>
                <w:w w:val="91"/>
                <w:vertAlign w:val="superscript"/>
              </w:rPr>
              <w:t>(1)</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53,852</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2,157,724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(984,030)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1,207,624</w:t>
            </w:r>
          </w:p>
        </w:tc>
        <w:tc>
          <w:tcPr>
            <w:tcW w:w="0" w:type="dxa"/>
            <w:vAlign w:val="bottom"/>
          </w:tcPr>
          <w:p>
            <w:pPr>
              <w:spacing w:after="0"/>
              <w:rPr>
                <w:sz w:val="1"/>
                <w:szCs w:val="1"/>
                <w:color w:val="auto"/>
              </w:rPr>
            </w:pPr>
          </w:p>
        </w:tc>
      </w:tr>
      <w:tr>
        <w:trPr>
          <w:trHeight w:val="185"/>
        </w:trPr>
        <w:tc>
          <w:tcPr>
            <w:tcW w:w="3200" w:type="dxa"/>
            <w:vAlign w:val="bottom"/>
          </w:tcPr>
          <w:p>
            <w:pPr>
              <w:ind w:left="20"/>
              <w:spacing w:after="0"/>
              <w:rPr>
                <w:sz w:val="20"/>
                <w:szCs w:val="20"/>
                <w:color w:val="auto"/>
              </w:rPr>
            </w:pPr>
            <w:r>
              <w:rPr>
                <w:rFonts w:ascii="Arial" w:cs="Arial" w:eastAsia="Arial" w:hAnsi="Arial"/>
                <w:sz w:val="14"/>
                <w:szCs w:val="14"/>
                <w:color w:val="auto"/>
              </w:rPr>
              <w:t>Stock-based compensation plans</w:t>
            </w:r>
          </w:p>
        </w:tc>
        <w:tc>
          <w:tcPr>
            <w:tcW w:w="84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11,622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11,919</w:t>
            </w:r>
          </w:p>
        </w:tc>
        <w:tc>
          <w:tcPr>
            <w:tcW w:w="0" w:type="dxa"/>
            <w:vAlign w:val="bottom"/>
          </w:tcPr>
          <w:p>
            <w:pPr>
              <w:spacing w:after="0"/>
              <w:rPr>
                <w:sz w:val="1"/>
                <w:szCs w:val="1"/>
                <w:color w:val="auto"/>
              </w:rPr>
            </w:pPr>
          </w:p>
        </w:tc>
      </w:tr>
      <w:tr>
        <w:trPr>
          <w:trHeight w:val="186"/>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8,525</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12,540</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12,540</w:t>
            </w:r>
          </w:p>
        </w:tc>
        <w:tc>
          <w:tcPr>
            <w:tcW w:w="0" w:type="dxa"/>
            <w:vAlign w:val="bottom"/>
          </w:tcPr>
          <w:p>
            <w:pPr>
              <w:spacing w:after="0"/>
              <w:rPr>
                <w:sz w:val="1"/>
                <w:szCs w:val="1"/>
                <w:color w:val="auto"/>
              </w:rPr>
            </w:pPr>
          </w:p>
        </w:tc>
      </w:tr>
      <w:tr>
        <w:trPr>
          <w:trHeight w:val="202"/>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June 30, 2023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53,904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82,441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2,169,346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(975,505)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1,240,608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2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53,762</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2,117,961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(897,784)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1,294,645</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Arial" w:cs="Arial" w:eastAsia="Arial" w:hAnsi="Arial"/>
                <w:sz w:val="14"/>
                <w:szCs w:val="14"/>
                <w:color w:val="auto"/>
              </w:rPr>
              <w:t>Stock-based compensation plans</w:t>
            </w:r>
          </w:p>
        </w:tc>
        <w:tc>
          <w:tcPr>
            <w:tcW w:w="84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15,297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15,614</w:t>
            </w:r>
          </w:p>
        </w:tc>
        <w:tc>
          <w:tcPr>
            <w:tcW w:w="0" w:type="dxa"/>
            <w:vAlign w:val="bottom"/>
          </w:tcPr>
          <w:p>
            <w:pPr>
              <w:spacing w:after="0"/>
              <w:rPr>
                <w:sz w:val="1"/>
                <w:szCs w:val="1"/>
                <w:color w:val="auto"/>
              </w:rPr>
            </w:pPr>
          </w:p>
        </w:tc>
      </w:tr>
      <w:tr>
        <w:trPr>
          <w:trHeight w:val="191"/>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19,437</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(47,693)</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(47,693)</w:t>
            </w:r>
          </w:p>
        </w:tc>
        <w:tc>
          <w:tcPr>
            <w:tcW w:w="0" w:type="dxa"/>
            <w:vAlign w:val="bottom"/>
          </w:tcPr>
          <w:p>
            <w:pPr>
              <w:spacing w:after="0"/>
              <w:rPr>
                <w:sz w:val="1"/>
                <w:szCs w:val="1"/>
                <w:color w:val="auto"/>
              </w:rPr>
            </w:pPr>
          </w:p>
        </w:tc>
      </w:tr>
      <w:tr>
        <w:trPr>
          <w:trHeight w:val="191"/>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30, 2022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53,810</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2,133,258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(878,347)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1,282,003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472"/>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3" w:name="page24"/>
    <w:bookmarkEnd w:id="23"/>
    <w:p>
      <w:pPr>
        <w:ind w:right="420" w:firstLine="127"/>
        <w:spacing w:after="0" w:line="281" w:lineRule="auto"/>
        <w:rPr>
          <w:sz w:val="20"/>
          <w:szCs w:val="20"/>
          <w:color w:val="auto"/>
        </w:rPr>
      </w:pPr>
      <w:r>
        <w:rPr>
          <w:rFonts w:ascii="Arial" w:cs="Arial" w:eastAsia="Arial" w:hAnsi="Arial"/>
          <w:sz w:val="14"/>
          <w:szCs w:val="14"/>
          <w:color w:val="auto"/>
        </w:rPr>
        <w:t>The table below presents the change in each component of AOCI, net of tax, and the reclassifications out of AOCI into net income (loss) for the six months ended June 30, 2023 and 2022 (in thousands):</w:t>
      </w: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91"/>
              </w:rPr>
              <w:t>Change in Unrealized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w w:val="97"/>
              </w:rPr>
              <w:t>Foreign Currency</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right="49"/>
              <w:spacing w:after="0" w:line="142" w:lineRule="exact"/>
              <w:rPr>
                <w:sz w:val="20"/>
                <w:szCs w:val="20"/>
                <w:color w:val="auto"/>
              </w:rPr>
            </w:pPr>
            <w:r>
              <w:rPr>
                <w:rFonts w:ascii="Arial" w:cs="Arial" w:eastAsia="Arial" w:hAnsi="Arial"/>
                <w:sz w:val="14"/>
                <w:szCs w:val="14"/>
                <w:b w:val="1"/>
                <w:bCs w:val="1"/>
                <w:color w:val="auto"/>
                <w:w w:val="89"/>
              </w:rPr>
              <w:t>Gain (Loss) on</w:t>
            </w:r>
          </w:p>
        </w:tc>
        <w:tc>
          <w:tcPr>
            <w:tcW w:w="100" w:type="dxa"/>
            <w:vAlign w:val="bottom"/>
          </w:tcPr>
          <w:p>
            <w:pPr>
              <w:spacing w:after="0"/>
              <w:rPr>
                <w:sz w:val="12"/>
                <w:szCs w:val="12"/>
                <w:color w:val="auto"/>
              </w:rPr>
            </w:pPr>
          </w:p>
        </w:tc>
        <w:tc>
          <w:tcPr>
            <w:tcW w:w="15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0"/>
              </w:rPr>
              <w:t>Translation Adjustments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vMerge w:val="restart"/>
          </w:tcPr>
          <w:p>
            <w:pPr>
              <w:jc w:val="right"/>
              <w:ind w:right="5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6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69"/>
              <w:spacing w:after="0" w:line="181" w:lineRule="exact"/>
              <w:rPr>
                <w:sz w:val="20"/>
                <w:szCs w:val="20"/>
                <w:color w:val="auto"/>
              </w:rPr>
            </w:pPr>
            <w:r>
              <w:rPr>
                <w:rFonts w:ascii="Arial" w:cs="Arial" w:eastAsia="Arial" w:hAnsi="Arial"/>
                <w:sz w:val="14"/>
                <w:szCs w:val="14"/>
                <w:b w:val="1"/>
                <w:bCs w:val="1"/>
                <w:color w:val="auto"/>
              </w:rPr>
              <w:t xml:space="preserve">Gain (Loss) </w:t>
            </w:r>
            <w:r>
              <w:rPr>
                <w:rFonts w:ascii="Arial" w:cs="Arial" w:eastAsia="Arial" w:hAnsi="Arial"/>
                <w:sz w:val="18"/>
                <w:szCs w:val="18"/>
                <w:b w:val="1"/>
                <w:bCs w:val="1"/>
                <w:color w:val="auto"/>
                <w:vertAlign w:val="superscript"/>
              </w:rPr>
              <w:t>(1)</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(49,085)</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(48,119)</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 before tax</w:t>
            </w: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13,506</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13,073</w:t>
            </w:r>
          </w:p>
        </w:tc>
        <w:tc>
          <w:tcPr>
            <w:tcW w:w="0" w:type="dxa"/>
            <w:vAlign w:val="bottom"/>
          </w:tcPr>
          <w:p>
            <w:pPr>
              <w:spacing w:after="0"/>
              <w:rPr>
                <w:sz w:val="1"/>
                <w:szCs w:val="1"/>
                <w:color w:val="auto"/>
              </w:rPr>
            </w:pPr>
          </w:p>
        </w:tc>
      </w:tr>
      <w:tr>
        <w:trPr>
          <w:trHeight w:val="18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 benefit</w:t>
            </w:r>
          </w:p>
        </w:tc>
        <w:tc>
          <w:tcPr>
            <w:tcW w:w="1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44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 net of tax</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13,506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13,073</w:t>
            </w:r>
          </w:p>
        </w:tc>
        <w:tc>
          <w:tcPr>
            <w:tcW w:w="0" w:type="dxa"/>
            <w:vAlign w:val="bottom"/>
          </w:tcPr>
          <w:p>
            <w:pPr>
              <w:spacing w:after="0"/>
              <w:rPr>
                <w:sz w:val="1"/>
                <w:szCs w:val="1"/>
                <w:color w:val="auto"/>
              </w:rPr>
            </w:pPr>
          </w:p>
        </w:tc>
      </w:tr>
      <w:tr>
        <w:trPr>
          <w:trHeight w:val="186"/>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of gain from accumulated other comprehensive loss, before tax</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80"/>
        </w:trPr>
        <w:tc>
          <w:tcPr>
            <w:tcW w:w="6440" w:type="dxa"/>
            <w:vAlign w:val="bottom"/>
          </w:tcPr>
          <w:p>
            <w:pPr>
              <w:ind w:left="20"/>
              <w:spacing w:after="0"/>
              <w:rPr>
                <w:sz w:val="20"/>
                <w:szCs w:val="20"/>
                <w:color w:val="auto"/>
              </w:rPr>
            </w:pPr>
            <w:r>
              <w:rPr>
                <w:rFonts w:ascii="Arial" w:cs="Arial" w:eastAsia="Arial" w:hAnsi="Arial"/>
                <w:sz w:val="14"/>
                <w:szCs w:val="14"/>
                <w:color w:val="auto"/>
              </w:rPr>
              <w:t>Reclassification of tax benefit</w:t>
            </w: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of gain from accumulated other comprehensive loss, after tax</w:t>
            </w:r>
          </w:p>
        </w:tc>
        <w:tc>
          <w:tcPr>
            <w:tcW w:w="1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current-period other comprehensive loss, net of tax</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13,506</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12,540</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June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(35,579)</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(35,579)</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(6,232)</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(7,177)</w:t>
            </w:r>
          </w:p>
        </w:tc>
        <w:tc>
          <w:tcPr>
            <w:tcW w:w="0" w:type="dxa"/>
            <w:vAlign w:val="bottom"/>
          </w:tcPr>
          <w:p>
            <w:pPr>
              <w:spacing w:after="0"/>
              <w:rPr>
                <w:sz w:val="1"/>
                <w:szCs w:val="1"/>
                <w:color w:val="auto"/>
              </w:rPr>
            </w:pPr>
          </w:p>
        </w:tc>
      </w:tr>
      <w:tr>
        <w:trPr>
          <w:trHeight w:val="176"/>
        </w:trPr>
        <w:tc>
          <w:tcPr>
            <w:tcW w:w="644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Other comprehensive loss before reclassifications, before tax</w:t>
            </w: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(1,758)</w:t>
            </w: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(45,766)</w:t>
            </w:r>
          </w:p>
        </w:tc>
        <w:tc>
          <w:tcPr>
            <w:tcW w:w="1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(47,524)</w:t>
            </w:r>
          </w:p>
        </w:tc>
        <w:tc>
          <w:tcPr>
            <w:tcW w:w="0" w:type="dxa"/>
            <w:vAlign w:val="bottom"/>
          </w:tcPr>
          <w:p>
            <w:pPr>
              <w:spacing w:after="0"/>
              <w:rPr>
                <w:sz w:val="1"/>
                <w:szCs w:val="1"/>
                <w:color w:val="auto"/>
              </w:rPr>
            </w:pPr>
          </w:p>
        </w:tc>
      </w:tr>
      <w:tr>
        <w:trPr>
          <w:trHeight w:val="186"/>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benefit</w:t>
            </w:r>
          </w:p>
        </w:tc>
        <w:tc>
          <w:tcPr>
            <w:tcW w:w="1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 net of tax</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(45,766)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(47,524)</w:t>
            </w:r>
          </w:p>
        </w:tc>
        <w:tc>
          <w:tcPr>
            <w:tcW w:w="0" w:type="dxa"/>
            <w:vAlign w:val="bottom"/>
          </w:tcPr>
          <w:p>
            <w:pPr>
              <w:spacing w:after="0"/>
              <w:rPr>
                <w:sz w:val="1"/>
                <w:szCs w:val="1"/>
                <w:color w:val="auto"/>
              </w:rPr>
            </w:pPr>
          </w:p>
        </w:tc>
      </w:tr>
      <w:tr>
        <w:trPr>
          <w:trHeight w:val="191"/>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of gain from accumulated other comprehensive loss, before tax</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Reclassification of tax benefit</w:t>
            </w: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Reclassification of gain from accumulated other comprehensive loss, after tax</w:t>
            </w:r>
          </w:p>
        </w:tc>
        <w:tc>
          <w:tcPr>
            <w:tcW w:w="10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2"/>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current-period other comprehensive loss, net of tax</w:t>
            </w: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(45,766)</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(47,693)</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June 30,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(51,998)</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(54,870)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Taxes are not provided for foreign currency translation adjustments as translation adjustments are related to earnings that are intended to be reinvested in the countries where earned.</w:t>
      </w:r>
    </w:p>
    <w:p>
      <w:pPr>
        <w:spacing w:after="0" w:line="200" w:lineRule="exact"/>
        <w:rPr>
          <w:rFonts w:ascii="Arial" w:cs="Arial" w:eastAsia="Arial" w:hAnsi="Arial"/>
          <w:sz w:val="13"/>
          <w:szCs w:val="13"/>
          <w:color w:val="auto"/>
        </w:rPr>
      </w:pPr>
    </w:p>
    <w:p>
      <w:pPr>
        <w:spacing w:after="0" w:line="230" w:lineRule="exact"/>
        <w:rPr>
          <w:rFonts w:ascii="Arial" w:cs="Arial" w:eastAsia="Arial" w:hAnsi="Arial"/>
          <w:sz w:val="13"/>
          <w:szCs w:val="13"/>
          <w:color w:val="auto"/>
        </w:rPr>
      </w:pPr>
    </w:p>
    <w:p>
      <w:pPr>
        <w:ind w:left="5640"/>
        <w:spacing w:after="0"/>
        <w:rPr>
          <w:rFonts w:ascii="Arial" w:cs="Arial" w:eastAsia="Arial" w:hAnsi="Arial"/>
          <w:sz w:val="13"/>
          <w:szCs w:val="13"/>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Note 9. Stock-Based Incentive Plans</w:t>
      </w:r>
    </w:p>
    <w:p>
      <w:pPr>
        <w:spacing w:after="0" w:line="89" w:lineRule="exact"/>
        <w:rPr>
          <w:sz w:val="20"/>
          <w:szCs w:val="20"/>
          <w:color w:val="auto"/>
        </w:rPr>
      </w:pPr>
    </w:p>
    <w:p>
      <w:pPr>
        <w:ind w:right="120" w:firstLine="127"/>
        <w:spacing w:after="0" w:line="271" w:lineRule="auto"/>
        <w:rPr>
          <w:sz w:val="20"/>
          <w:szCs w:val="20"/>
          <w:color w:val="auto"/>
        </w:rPr>
      </w:pPr>
      <w:r>
        <w:rPr>
          <w:rFonts w:ascii="Arial" w:cs="Arial" w:eastAsia="Arial" w:hAnsi="Arial"/>
          <w:sz w:val="14"/>
          <w:szCs w:val="14"/>
          <w:color w:val="auto"/>
        </w:rPr>
        <w:t>During the six months ended June 30, 2023, LivaNova issued stock-based compensatory awards with terms approved by the Compensation Committee of LivaNova’s Board of Directors. The awards with service conditions generally vest ratably over four years and are subject to forfeiture unless service conditions are met. The market performance-based awards that were issued cliff vest after three years subject to the rank of LivaNova’s total shareholder return for the three-year period ending December 31, 2025 relative to the total shareholder returns for a peer group of companies. The adjusted free cash flow and return on invested capital operating performance-based awards that were issued, cliff vest after three years subject to the achievement of certain thresholds of cumulative results for the three-year period ending December 31, 2025. Compensation expense related to awards granted during 2023 for the three and six months ended June 30, 2023 was $2.4 million and $2.5 million, respectively.</w:t>
      </w:r>
    </w:p>
    <w:p>
      <w:pPr>
        <w:spacing w:after="0" w:line="55" w:lineRule="exact"/>
        <w:rPr>
          <w:sz w:val="20"/>
          <w:szCs w:val="20"/>
          <w:color w:val="auto"/>
        </w:rPr>
      </w:pPr>
    </w:p>
    <w:p>
      <w:pPr>
        <w:ind w:right="20" w:firstLine="127"/>
        <w:spacing w:after="0" w:line="272" w:lineRule="auto"/>
        <w:rPr>
          <w:sz w:val="20"/>
          <w:szCs w:val="20"/>
          <w:color w:val="auto"/>
        </w:rPr>
      </w:pPr>
      <w:r>
        <w:rPr>
          <w:rFonts w:ascii="Arial" w:cs="Arial" w:eastAsia="Arial" w:hAnsi="Arial"/>
          <w:sz w:val="14"/>
          <w:szCs w:val="14"/>
          <w:color w:val="auto"/>
        </w:rPr>
        <w:t>Stock-based awards may be granted under the 2015 Plan and the 2022 Plan in the form of stock options, SARs, RSUs and other stock-based and cash-based awards. As of June 30, 2023, there were 8,977 shares available for future grants to LivaNova’s Non-Executive Directors under the 2015 Plan and 1,376,623 shares pursuant to Options or Stock Appreciation Rights and 914,340 shares pursuant to other types of awards available for future grants to LivaNova’s employees under the 2022 Plan. In June 2023, the Company’s shareholders approved the A&amp;R 2022 Plan. The A&amp;R 2022 Plan increases the aggregate number of ordinary shares that can be issued under the 2022 Plan pursuant to options or SARs from 1,900,000 to 2,250,000, and the number of ordinary shares that can be issued pursuant to awards other than options or SARs from 1,200,000 to 1,500,000.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00" w:type="dxa"/>
            <w:vAlign w:val="bottom"/>
          </w:tcPr>
          <w:p>
            <w:pPr>
              <w:ind w:left="140"/>
              <w:spacing w:after="0"/>
              <w:rPr>
                <w:sz w:val="20"/>
                <w:szCs w:val="20"/>
                <w:color w:val="auto"/>
              </w:rPr>
            </w:pPr>
            <w:r>
              <w:rPr>
                <w:rFonts w:ascii="Arial" w:cs="Arial" w:eastAsia="Arial" w:hAnsi="Arial"/>
                <w:sz w:val="14"/>
                <w:szCs w:val="14"/>
                <w:color w:val="auto"/>
              </w:rPr>
              <w:t>Stock-based incentive plan compensation expense is as follows (in thousands):</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7"/>
        </w:trPr>
        <w:tc>
          <w:tcPr>
            <w:tcW w:w="5200" w:type="dxa"/>
            <w:vAlign w:val="bottom"/>
          </w:tcPr>
          <w:p>
            <w:pPr>
              <w:spacing w:after="0"/>
              <w:rPr>
                <w:sz w:val="18"/>
                <w:szCs w:val="18"/>
                <w:color w:val="auto"/>
              </w:rPr>
            </w:pPr>
          </w:p>
        </w:tc>
        <w:tc>
          <w:tcPr>
            <w:tcW w:w="248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589"/>
              <w:spacing w:after="0"/>
              <w:rPr>
                <w:sz w:val="20"/>
                <w:szCs w:val="20"/>
                <w:color w:val="auto"/>
              </w:rPr>
            </w:pPr>
            <w:r>
              <w:rPr>
                <w:rFonts w:ascii="Arial" w:cs="Arial" w:eastAsia="Arial" w:hAnsi="Arial"/>
                <w:sz w:val="14"/>
                <w:szCs w:val="14"/>
                <w:b w:val="1"/>
                <w:bCs w:val="1"/>
                <w:color w:val="auto"/>
              </w:rPr>
              <w:t>Six Months Ended June 30,</w:t>
            </w:r>
          </w:p>
        </w:tc>
      </w:tr>
      <w:tr>
        <w:trPr>
          <w:trHeight w:val="177"/>
        </w:trPr>
        <w:tc>
          <w:tcPr>
            <w:tcW w:w="520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5"/>
                <w:szCs w:val="15"/>
                <w:color w:val="auto"/>
              </w:rPr>
            </w:pPr>
          </w:p>
        </w:tc>
        <w:tc>
          <w:tcPr>
            <w:tcW w:w="104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Arial" w:cs="Arial" w:eastAsia="Arial" w:hAnsi="Arial"/>
                <w:sz w:val="14"/>
                <w:szCs w:val="14"/>
                <w:b w:val="1"/>
                <w:bCs w:val="1"/>
                <w:color w:val="auto"/>
              </w:rPr>
              <w:t>2022</w:t>
            </w:r>
          </w:p>
        </w:tc>
      </w:tr>
      <w:tr>
        <w:trPr>
          <w:trHeight w:val="17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RSUs</w:t>
            </w:r>
          </w:p>
        </w:tc>
        <w:tc>
          <w:tcPr>
            <w:tcW w:w="940" w:type="dxa"/>
            <w:vAlign w:val="bottom"/>
            <w:tcBorders>
              <w:top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4,696</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5,882</w:t>
            </w: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10,413</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11,226</w:t>
            </w:r>
          </w:p>
        </w:tc>
      </w:tr>
      <w:tr>
        <w:trPr>
          <w:trHeight w:val="185"/>
        </w:trPr>
        <w:tc>
          <w:tcPr>
            <w:tcW w:w="5200" w:type="dxa"/>
            <w:vAlign w:val="bottom"/>
          </w:tcPr>
          <w:p>
            <w:pPr>
              <w:ind w:left="20"/>
              <w:spacing w:after="0"/>
              <w:rPr>
                <w:sz w:val="20"/>
                <w:szCs w:val="20"/>
                <w:color w:val="auto"/>
              </w:rPr>
            </w:pPr>
            <w:r>
              <w:rPr>
                <w:rFonts w:ascii="Arial" w:cs="Arial" w:eastAsia="Arial" w:hAnsi="Arial"/>
                <w:sz w:val="14"/>
                <w:szCs w:val="14"/>
                <w:color w:val="auto"/>
              </w:rPr>
              <w:t>SARs</w:t>
            </w: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3,706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6,658</w:t>
            </w: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performance-based restricted stock units</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w:t>
            </w:r>
          </w:p>
        </w:tc>
      </w:tr>
      <w:tr>
        <w:trPr>
          <w:trHeight w:val="180"/>
        </w:trPr>
        <w:tc>
          <w:tcPr>
            <w:tcW w:w="5200" w:type="dxa"/>
            <w:vAlign w:val="bottom"/>
          </w:tcPr>
          <w:p>
            <w:pPr>
              <w:ind w:left="20"/>
              <w:spacing w:after="0"/>
              <w:rPr>
                <w:sz w:val="20"/>
                <w:szCs w:val="20"/>
                <w:color w:val="auto"/>
              </w:rPr>
            </w:pPr>
            <w:r>
              <w:rPr>
                <w:rFonts w:ascii="Arial" w:cs="Arial" w:eastAsia="Arial" w:hAnsi="Arial"/>
                <w:sz w:val="14"/>
                <w:szCs w:val="14"/>
                <w:color w:val="auto"/>
              </w:rPr>
              <w:t>Operating performance-based restricted stock units</w:t>
            </w: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1,396</w:t>
            </w:r>
          </w:p>
        </w:tc>
      </w:tr>
      <w:tr>
        <w:trPr>
          <w:trHeight w:val="191"/>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share purchase plan</w:t>
            </w:r>
          </w:p>
        </w:tc>
        <w:tc>
          <w:tcPr>
            <w:tcW w:w="9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w:t>
            </w:r>
          </w:p>
        </w:tc>
      </w:tr>
      <w:tr>
        <w:trPr>
          <w:trHeight w:val="171"/>
        </w:trPr>
        <w:tc>
          <w:tcPr>
            <w:tcW w:w="5200" w:type="dxa"/>
            <w:vAlign w:val="bottom"/>
          </w:tcPr>
          <w:p>
            <w:pPr>
              <w:ind w:left="20"/>
              <w:spacing w:after="0"/>
              <w:rPr>
                <w:sz w:val="20"/>
                <w:szCs w:val="20"/>
                <w:color w:val="auto"/>
              </w:rPr>
            </w:pPr>
            <w:r>
              <w:rPr>
                <w:rFonts w:ascii="Arial" w:cs="Arial" w:eastAsia="Arial" w:hAnsi="Arial"/>
                <w:sz w:val="14"/>
                <w:szCs w:val="14"/>
                <w:color w:val="auto"/>
              </w:rPr>
              <w:t>Total stock-based compensation expense</w:t>
            </w: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5,711</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11,509</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21,765</w:t>
            </w:r>
          </w:p>
        </w:tc>
      </w:tr>
      <w:tr>
        <w:trPr>
          <w:trHeight w:val="20"/>
        </w:trPr>
        <w:tc>
          <w:tcPr>
            <w:tcW w:w="5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40" w:firstLine="127"/>
        <w:spacing w:after="0" w:line="289" w:lineRule="auto"/>
        <w:rPr>
          <w:sz w:val="20"/>
          <w:szCs w:val="20"/>
          <w:color w:val="auto"/>
        </w:rPr>
      </w:pPr>
      <w:r>
        <w:rPr>
          <w:rFonts w:ascii="Arial" w:cs="Arial" w:eastAsia="Arial" w:hAnsi="Arial"/>
          <w:sz w:val="14"/>
          <w:szCs w:val="14"/>
          <w:color w:val="auto"/>
        </w:rPr>
        <w:t>Stock-based compensation agreements issued during the six months ended June 30, 2023 representing potential shares and their weighted average grant date fair values by type is as follows (shares in thousands, fair value in dollars):</w:t>
      </w:r>
    </w:p>
    <w:p>
      <w:pPr>
        <w:spacing w:after="0" w:line="1"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Six Months Ended June 30,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000" w:type="dxa"/>
            <w:vAlign w:val="bottom"/>
          </w:tcPr>
          <w:p>
            <w:pPr>
              <w:spacing w:after="0"/>
              <w:rPr>
                <w:sz w:val="11"/>
                <w:szCs w:val="11"/>
                <w:color w:val="auto"/>
              </w:rPr>
            </w:pPr>
          </w:p>
        </w:tc>
        <w:tc>
          <w:tcPr>
            <w:tcW w:w="1400" w:type="dxa"/>
            <w:vAlign w:val="bottom"/>
            <w:tcBorders>
              <w:top w:val="single" w:sz="8" w:color="auto"/>
            </w:tcBorders>
            <w:vMerge w:val="restart"/>
          </w:tcPr>
          <w:p>
            <w:pPr>
              <w:ind w:left="84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tcPr>
          <w:p>
            <w:pPr>
              <w:jc w:val="right"/>
              <w:ind w:right="69"/>
              <w:spacing w:after="0" w:line="129" w:lineRule="exact"/>
              <w:rPr>
                <w:sz w:val="20"/>
                <w:szCs w:val="20"/>
                <w:color w:val="auto"/>
              </w:rPr>
            </w:pPr>
            <w:r>
              <w:rPr>
                <w:rFonts w:ascii="Arial" w:cs="Arial" w:eastAsia="Arial" w:hAnsi="Arial"/>
                <w:sz w:val="14"/>
                <w:szCs w:val="14"/>
                <w:b w:val="1"/>
                <w:bCs w:val="1"/>
                <w:color w:val="auto"/>
                <w:w w:val="92"/>
              </w:rPr>
              <w:t>Weighted Average Grant Date</w:t>
            </w:r>
          </w:p>
        </w:tc>
        <w:tc>
          <w:tcPr>
            <w:tcW w:w="0" w:type="dxa"/>
            <w:vAlign w:val="bottom"/>
          </w:tcPr>
          <w:p>
            <w:pPr>
              <w:spacing w:after="0"/>
              <w:rPr>
                <w:sz w:val="1"/>
                <w:szCs w:val="1"/>
                <w:color w:val="auto"/>
              </w:rPr>
            </w:pPr>
          </w:p>
        </w:tc>
      </w:tr>
      <w:tr>
        <w:trPr>
          <w:trHeight w:val="187"/>
        </w:trPr>
        <w:tc>
          <w:tcPr>
            <w:tcW w:w="70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4"/>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Service-based SARs</w:t>
            </w:r>
          </w:p>
        </w:tc>
        <w:tc>
          <w:tcPr>
            <w:tcW w:w="1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974,204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0" w:type="dxa"/>
            <w:vAlign w:val="bottom"/>
          </w:tcPr>
          <w:p>
            <w:pPr>
              <w:spacing w:after="0"/>
              <w:rPr>
                <w:sz w:val="1"/>
                <w:szCs w:val="1"/>
                <w:color w:val="auto"/>
              </w:rPr>
            </w:pPr>
          </w:p>
        </w:tc>
      </w:tr>
      <w:tr>
        <w:trPr>
          <w:trHeight w:val="180"/>
        </w:trPr>
        <w:tc>
          <w:tcPr>
            <w:tcW w:w="8400" w:type="dxa"/>
            <w:vAlign w:val="bottom"/>
            <w:gridSpan w:val="2"/>
          </w:tcPr>
          <w:p>
            <w:pPr>
              <w:ind w:left="20"/>
              <w:spacing w:after="0"/>
              <w:rPr>
                <w:sz w:val="20"/>
                <w:szCs w:val="20"/>
                <w:color w:val="auto"/>
              </w:rPr>
            </w:pPr>
            <w:r>
              <w:rPr>
                <w:rFonts w:ascii="Arial" w:cs="Arial" w:eastAsia="Arial" w:hAnsi="Arial"/>
                <w:sz w:val="14"/>
                <w:szCs w:val="14"/>
                <w:color w:val="auto"/>
              </w:rPr>
              <w:t>Service-based RSUs</w:t>
            </w:r>
          </w:p>
        </w:tc>
        <w:tc>
          <w:tcPr>
            <w:tcW w:w="680" w:type="dxa"/>
            <w:vAlign w:val="bottom"/>
          </w:tcPr>
          <w:p>
            <w:pPr>
              <w:jc w:val="right"/>
              <w:spacing w:after="0"/>
              <w:rPr>
                <w:sz w:val="20"/>
                <w:szCs w:val="20"/>
                <w:color w:val="auto"/>
              </w:rPr>
            </w:pPr>
            <w:r>
              <w:rPr>
                <w:rFonts w:ascii="Arial" w:cs="Arial" w:eastAsia="Arial" w:hAnsi="Arial"/>
                <w:sz w:val="14"/>
                <w:szCs w:val="14"/>
                <w:color w:val="auto"/>
              </w:rPr>
              <w:t>499,301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42.79</w:t>
            </w:r>
          </w:p>
        </w:tc>
        <w:tc>
          <w:tcPr>
            <w:tcW w:w="0" w:type="dxa"/>
            <w:vAlign w:val="bottom"/>
          </w:tcPr>
          <w:p>
            <w:pPr>
              <w:spacing w:after="0"/>
              <w:rPr>
                <w:sz w:val="1"/>
                <w:szCs w:val="1"/>
                <w:color w:val="auto"/>
              </w:rPr>
            </w:pPr>
          </w:p>
        </w:tc>
      </w:tr>
      <w:tr>
        <w:trPr>
          <w:trHeight w:val="191"/>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 performance-based RSUs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38.95</w:t>
            </w:r>
          </w:p>
        </w:tc>
        <w:tc>
          <w:tcPr>
            <w:tcW w:w="0" w:type="dxa"/>
            <w:vAlign w:val="bottom"/>
          </w:tcPr>
          <w:p>
            <w:pPr>
              <w:spacing w:after="0"/>
              <w:rPr>
                <w:sz w:val="1"/>
                <w:szCs w:val="1"/>
                <w:color w:val="auto"/>
              </w:rPr>
            </w:pPr>
          </w:p>
        </w:tc>
      </w:tr>
      <w:tr>
        <w:trPr>
          <w:trHeight w:val="180"/>
        </w:trPr>
        <w:tc>
          <w:tcPr>
            <w:tcW w:w="8400" w:type="dxa"/>
            <w:vAlign w:val="bottom"/>
            <w:gridSpan w:val="2"/>
          </w:tcPr>
          <w:p>
            <w:pPr>
              <w:ind w:left="20"/>
              <w:spacing w:after="0"/>
              <w:rPr>
                <w:sz w:val="20"/>
                <w:szCs w:val="20"/>
                <w:color w:val="auto"/>
              </w:rPr>
            </w:pPr>
            <w:r>
              <w:rPr>
                <w:rFonts w:ascii="Arial" w:cs="Arial" w:eastAsia="Arial" w:hAnsi="Arial"/>
                <w:sz w:val="14"/>
                <w:szCs w:val="14"/>
                <w:color w:val="auto"/>
              </w:rPr>
              <w:t>Operating performance-based RSUs</w:t>
            </w:r>
          </w:p>
        </w:tc>
        <w:tc>
          <w:tcPr>
            <w:tcW w:w="680" w:type="dxa"/>
            <w:vAlign w:val="bottom"/>
          </w:tcPr>
          <w:p>
            <w:pPr>
              <w:jc w:val="right"/>
              <w:spacing w:after="0"/>
              <w:rPr>
                <w:sz w:val="20"/>
                <w:szCs w:val="20"/>
                <w:color w:val="auto"/>
              </w:rPr>
            </w:pPr>
            <w:r>
              <w:rPr>
                <w:rFonts w:ascii="Arial" w:cs="Arial" w:eastAsia="Arial" w:hAnsi="Arial"/>
                <w:sz w:val="14"/>
                <w:szCs w:val="14"/>
                <w:color w:val="auto"/>
              </w:rPr>
              <w:t>94,556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42.30</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Income Taxes</w:t>
      </w:r>
    </w:p>
    <w:p>
      <w:pPr>
        <w:spacing w:after="0" w:line="89" w:lineRule="exact"/>
        <w:rPr>
          <w:sz w:val="20"/>
          <w:szCs w:val="20"/>
          <w:color w:val="auto"/>
        </w:rPr>
      </w:pPr>
    </w:p>
    <w:p>
      <w:pPr>
        <w:ind w:right="260" w:firstLine="127"/>
        <w:spacing w:after="0" w:line="275" w:lineRule="auto"/>
        <w:rPr>
          <w:sz w:val="20"/>
          <w:szCs w:val="20"/>
          <w:color w:val="auto"/>
        </w:rPr>
      </w:pPr>
      <w:r>
        <w:rPr>
          <w:rFonts w:ascii="Arial" w:cs="Arial" w:eastAsia="Arial" w:hAnsi="Arial"/>
          <w:sz w:val="14"/>
          <w:szCs w:val="14"/>
          <w:color w:val="auto"/>
        </w:rPr>
        <w:t>LivaNova’s effective income tax rate for the three and six months ended June 30, 2023 was 77.6% and 43.0%, respectively, compared with 13.2% and 20.6% for the three and six months ended June 30, 2022, respectively. LivaNova’s effective income tax rate fluctuates based on, among other factors, changes in pretax income in countries with varying statutory tax rates, valuation allowances, tax credits and incentives and unrecognized tax benefits associated with uncertain tax positions.</w:t>
      </w:r>
    </w:p>
    <w:p>
      <w:pPr>
        <w:spacing w:after="0" w:line="62" w:lineRule="exact"/>
        <w:rPr>
          <w:sz w:val="20"/>
          <w:szCs w:val="20"/>
          <w:color w:val="auto"/>
        </w:rPr>
      </w:pPr>
    </w:p>
    <w:p>
      <w:pPr>
        <w:ind w:right="400" w:firstLine="127"/>
        <w:spacing w:after="0" w:line="297" w:lineRule="auto"/>
        <w:rPr>
          <w:sz w:val="20"/>
          <w:szCs w:val="20"/>
          <w:color w:val="auto"/>
        </w:rPr>
      </w:pPr>
      <w:r>
        <w:rPr>
          <w:rFonts w:ascii="Arial" w:cs="Arial" w:eastAsia="Arial" w:hAnsi="Arial"/>
          <w:sz w:val="14"/>
          <w:szCs w:val="14"/>
          <w:color w:val="auto"/>
        </w:rPr>
        <w:t>LivaNova continually assesses the realizability of its worldwide deferred tax asset and valuation allowance positions, and when the need arises, the Company establishes or releases valuation allowances accordingly.</w:t>
      </w:r>
    </w:p>
    <w:p>
      <w:pPr>
        <w:spacing w:after="0" w:line="37" w:lineRule="exact"/>
        <w:rPr>
          <w:sz w:val="20"/>
          <w:szCs w:val="20"/>
          <w:color w:val="auto"/>
        </w:rPr>
      </w:pPr>
    </w:p>
    <w:p>
      <w:pPr>
        <w:ind w:right="240" w:firstLine="127"/>
        <w:spacing w:after="0" w:line="297" w:lineRule="auto"/>
        <w:rPr>
          <w:sz w:val="20"/>
          <w:szCs w:val="20"/>
          <w:color w:val="auto"/>
        </w:rPr>
      </w:pPr>
      <w:r>
        <w:rPr>
          <w:rFonts w:ascii="Arial" w:cs="Arial" w:eastAsia="Arial" w:hAnsi="Arial"/>
          <w:sz w:val="14"/>
          <w:szCs w:val="14"/>
          <w:color w:val="auto"/>
        </w:rPr>
        <w:t>These increases in the effective tax rate for both the three and six months ended June 30, 2023 compared to the prior year periods were primarily attributable to changes in valuation allowances, year-over-year changes in income before tax in countries with varying statutory tax rates and an audit settlement.</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25" w:name="page26"/>
    <w:bookmarkEnd w:id="25"/>
    <w:p>
      <w:pPr>
        <w:ind w:right="120" w:firstLine="127"/>
        <w:spacing w:after="0" w:line="338" w:lineRule="auto"/>
        <w:rPr>
          <w:sz w:val="20"/>
          <w:szCs w:val="20"/>
          <w:color w:val="auto"/>
        </w:rPr>
      </w:pPr>
      <w:r>
        <w:rPr>
          <w:rFonts w:ascii="Arial" w:cs="Arial" w:eastAsia="Arial" w:hAnsi="Arial"/>
          <w:sz w:val="13"/>
          <w:szCs w:val="13"/>
          <w:color w:val="auto"/>
        </w:rPr>
        <w:t>LivaNova operates in multiple jurisdictions throughout the world, and its tax returns are periodically audited or subjected to review by tax authorities. As a result, there is an uncertainty in income taxes recognized in LivaNova’s financial statements. Tax benefits totaling $0.5 million and $1.6 million were unrecognized as of June 30, 2023 and December 31, 2022, respectively.</w:t>
      </w:r>
    </w:p>
    <w:p>
      <w:pPr>
        <w:spacing w:after="0" w:line="14" w:lineRule="exact"/>
        <w:rPr>
          <w:sz w:val="20"/>
          <w:szCs w:val="20"/>
          <w:color w:val="auto"/>
        </w:rPr>
      </w:pPr>
    </w:p>
    <w:p>
      <w:pPr>
        <w:ind w:right="120" w:firstLine="127"/>
        <w:spacing w:after="0" w:line="295" w:lineRule="auto"/>
        <w:rPr>
          <w:sz w:val="20"/>
          <w:szCs w:val="20"/>
          <w:color w:val="auto"/>
        </w:rPr>
      </w:pPr>
      <w:r>
        <w:rPr>
          <w:rFonts w:ascii="Arial" w:cs="Arial" w:eastAsia="Arial" w:hAnsi="Arial"/>
          <w:sz w:val="13"/>
          <w:szCs w:val="13"/>
          <w:color w:val="auto"/>
        </w:rPr>
        <w:t>On October 8, 2021, members of the OECD / G20 Inclusive Framework on BEPS agreed to a Two-Pillar Solution to address tax challenges of a global economy. The Two-Pillar Solution aims to ensure multinational companies will be subject to a minimum 15% global tax rate (Pillar Two) and will reallocate profits to the market jurisdictions where sales arise (Pillar One). As part of the ongoing release of Pillar Two rules by various jurisdictions, the UK Act was enacted on July 11, 2023, and implements the OECD’s BEPS Pillar Two income inclusion rule including a multinational top-up tax and a domestic top-up tax to the minimum effective tax rate of 15% for accounting periods beginning on or after December 31, 2023. The UK Act also includes a transitional safe harbor election for accounting periods beginning on or before Dec 31, 2026. We are reviewing the draft guidance issued on June 15, 2023, and the UK Act to assess the full implications for 2024 and will continue to monitor related guidance in the UK and other jurisdictions that impact LivaNova’s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Earnings Per Share</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Reconciliation of the shares used in the basic and diluted earnings per share computations for the three and six months ended June 30, 2023 and 2022 are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4"/>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589"/>
              <w:spacing w:after="0"/>
              <w:rPr>
                <w:sz w:val="20"/>
                <w:szCs w:val="20"/>
                <w:color w:val="auto"/>
              </w:rPr>
            </w:pPr>
            <w:r>
              <w:rPr>
                <w:rFonts w:ascii="Arial" w:cs="Arial" w:eastAsia="Arial" w:hAnsi="Arial"/>
                <w:sz w:val="14"/>
                <w:szCs w:val="14"/>
                <w:b w:val="1"/>
                <w:bCs w:val="1"/>
                <w:color w:val="auto"/>
              </w:rPr>
              <w:t>Six Months Ended June 30,</w:t>
            </w:r>
          </w:p>
        </w:tc>
      </w:tr>
      <w:tr>
        <w:trPr>
          <w:trHeight w:val="177"/>
        </w:trPr>
        <w:tc>
          <w:tcPr>
            <w:tcW w:w="5220" w:type="dxa"/>
            <w:vAlign w:val="bottom"/>
          </w:tcPr>
          <w:p>
            <w:pPr>
              <w:spacing w:after="0"/>
              <w:rPr>
                <w:sz w:val="15"/>
                <w:szCs w:val="15"/>
                <w:color w:val="auto"/>
              </w:rPr>
            </w:pPr>
          </w:p>
        </w:tc>
        <w:tc>
          <w:tcPr>
            <w:tcW w:w="920" w:type="dxa"/>
            <w:vAlign w:val="bottom"/>
          </w:tcPr>
          <w:p>
            <w:pPr>
              <w:ind w:left="580"/>
              <w:spacing w:after="0"/>
              <w:rPr>
                <w:sz w:val="20"/>
                <w:szCs w:val="20"/>
                <w:color w:val="auto"/>
              </w:rPr>
            </w:pPr>
            <w:r>
              <w:rPr>
                <w:rFonts w:ascii="Arial" w:cs="Arial" w:eastAsia="Arial" w:hAnsi="Arial"/>
                <w:sz w:val="14"/>
                <w:szCs w:val="14"/>
                <w:b w:val="1"/>
                <w:bCs w:val="1"/>
                <w:color w:val="auto"/>
              </w:rPr>
              <w:t>2023</w:t>
            </w:r>
          </w:p>
        </w:tc>
        <w:tc>
          <w:tcPr>
            <w:tcW w:w="15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1540" w:type="dxa"/>
            <w:vAlign w:val="bottom"/>
            <w:gridSpan w:val="2"/>
          </w:tcPr>
          <w:p>
            <w:pPr>
              <w:jc w:val="right"/>
              <w:ind w:right="509"/>
              <w:spacing w:after="0"/>
              <w:rPr>
                <w:sz w:val="20"/>
                <w:szCs w:val="20"/>
                <w:color w:val="auto"/>
              </w:rPr>
            </w:pPr>
            <w:r>
              <w:rPr>
                <w:rFonts w:ascii="Arial" w:cs="Arial" w:eastAsia="Arial" w:hAnsi="Arial"/>
                <w:sz w:val="14"/>
                <w:szCs w:val="14"/>
                <w:b w:val="1"/>
                <w:bCs w:val="1"/>
                <w:color w:val="auto"/>
              </w:rPr>
              <w:t>2022</w:t>
            </w:r>
          </w:p>
        </w:tc>
      </w:tr>
      <w:tr>
        <w:trPr>
          <w:trHeight w:val="171"/>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9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53,803</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53,506</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53,713</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53,420</w:t>
            </w:r>
          </w:p>
        </w:tc>
      </w:tr>
      <w:tr>
        <w:trPr>
          <w:trHeight w:val="191"/>
        </w:trPr>
        <w:tc>
          <w:tcPr>
            <w:tcW w:w="6140" w:type="dxa"/>
            <w:vAlign w:val="bottom"/>
            <w:gridSpan w:val="2"/>
          </w:tcPr>
          <w:p>
            <w:pPr>
              <w:ind w:left="20"/>
              <w:spacing w:after="0" w:line="191" w:lineRule="exact"/>
              <w:rPr>
                <w:sz w:val="20"/>
                <w:szCs w:val="20"/>
                <w:color w:val="auto"/>
              </w:rPr>
            </w:pPr>
            <w:r>
              <w:rPr>
                <w:rFonts w:ascii="Arial" w:cs="Arial" w:eastAsia="Arial" w:hAnsi="Arial"/>
                <w:sz w:val="14"/>
                <w:szCs w:val="14"/>
                <w:color w:val="auto"/>
              </w:rPr>
              <w:t xml:space="preserve">Add effects of share-based compensation instruments </w:t>
            </w:r>
            <w:r>
              <w:rPr>
                <w:rFonts w:ascii="Arial" w:cs="Arial" w:eastAsia="Arial" w:hAnsi="Arial"/>
                <w:sz w:val="18"/>
                <w:szCs w:val="18"/>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574</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229</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724</w:t>
            </w:r>
          </w:p>
        </w:tc>
      </w:tr>
      <w:tr>
        <w:trPr>
          <w:trHeight w:val="196"/>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92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54,080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54,144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520" w:right="520" w:hanging="260"/>
        <w:spacing w:after="0" w:line="368" w:lineRule="auto"/>
        <w:tabs>
          <w:tab w:leader="none" w:pos="520" w:val="left"/>
        </w:tabs>
        <w:numPr>
          <w:ilvl w:val="0"/>
          <w:numId w:val="5"/>
        </w:numPr>
        <w:rPr>
          <w:rFonts w:ascii="Arial" w:cs="Arial" w:eastAsia="Arial" w:hAnsi="Arial"/>
          <w:sz w:val="11"/>
          <w:szCs w:val="11"/>
          <w:color w:val="auto"/>
        </w:rPr>
      </w:pPr>
      <w:r>
        <w:rPr>
          <w:rFonts w:ascii="Arial" w:cs="Arial" w:eastAsia="Arial" w:hAnsi="Arial"/>
          <w:sz w:val="11"/>
          <w:szCs w:val="11"/>
          <w:color w:val="auto"/>
        </w:rPr>
        <w:t>Excluded from the computation of diluted earnings per share were stock options, SARs and restricted share units totaling 3.5 million and 2.2 million for the three months ended June 30, 2023 and 2022, respectively, and 3.4 million and 2.2 million for the six months ended June 30, 2023 and 2022, respectively, because to include them would have been anti-dilutive under the treasury stock method.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Geographic and Segment Information</w:t>
      </w:r>
    </w:p>
    <w:p>
      <w:pPr>
        <w:spacing w:after="0" w:line="89" w:lineRule="exact"/>
        <w:rPr>
          <w:sz w:val="20"/>
          <w:szCs w:val="20"/>
          <w:color w:val="auto"/>
        </w:rPr>
      </w:pPr>
    </w:p>
    <w:p>
      <w:pPr>
        <w:ind w:right="680" w:firstLine="127"/>
        <w:spacing w:after="0" w:line="297" w:lineRule="auto"/>
        <w:rPr>
          <w:sz w:val="20"/>
          <w:szCs w:val="20"/>
          <w:color w:val="auto"/>
        </w:rPr>
      </w:pPr>
      <w:r>
        <w:rPr>
          <w:rFonts w:ascii="Arial" w:cs="Arial" w:eastAsia="Arial" w:hAnsi="Arial"/>
          <w:sz w:val="14"/>
          <w:szCs w:val="14"/>
          <w:color w:val="auto"/>
        </w:rPr>
        <w:t>LivaNova identifies operating segments based on how it manages, evaluates and internally reports its business activities to allocate resources, develop and execute its strategy and assess performance. LivaNova has three reportable segments: Cardiopulmonary, Neuromodulation and ACS.</w:t>
      </w:r>
    </w:p>
    <w:p>
      <w:pPr>
        <w:spacing w:after="0" w:line="37" w:lineRule="exact"/>
        <w:rPr>
          <w:sz w:val="20"/>
          <w:szCs w:val="20"/>
          <w:color w:val="auto"/>
        </w:rPr>
      </w:pPr>
    </w:p>
    <w:p>
      <w:pPr>
        <w:ind w:right="320" w:firstLine="127"/>
        <w:spacing w:after="0" w:line="297" w:lineRule="auto"/>
        <w:rPr>
          <w:sz w:val="20"/>
          <w:szCs w:val="20"/>
          <w:color w:val="auto"/>
        </w:rPr>
      </w:pPr>
      <w:r>
        <w:rPr>
          <w:rFonts w:ascii="Arial" w:cs="Arial" w:eastAsia="Arial" w:hAnsi="Arial"/>
          <w:sz w:val="14"/>
          <w:szCs w:val="14"/>
          <w:color w:val="auto"/>
        </w:rPr>
        <w:t>LivaNova’s Cardiopulmonary segment is engaged in the development, production and sale of cardiopulmonary products, including heart-lung machines, oxygenators, autotransfusion systems, perfusion tubing systems, cannulae and other related accessories.</w:t>
      </w:r>
    </w:p>
    <w:p>
      <w:pPr>
        <w:spacing w:after="0" w:line="37" w:lineRule="exact"/>
        <w:rPr>
          <w:sz w:val="20"/>
          <w:szCs w:val="20"/>
          <w:color w:val="auto"/>
        </w:rPr>
      </w:pPr>
    </w:p>
    <w:p>
      <w:pPr>
        <w:ind w:right="20" w:firstLine="127"/>
        <w:spacing w:after="0" w:line="273" w:lineRule="auto"/>
        <w:rPr>
          <w:sz w:val="20"/>
          <w:szCs w:val="20"/>
          <w:color w:val="auto"/>
        </w:rPr>
      </w:pPr>
      <w:r>
        <w:rPr>
          <w:rFonts w:ascii="Arial" w:cs="Arial" w:eastAsia="Arial" w:hAnsi="Arial"/>
          <w:sz w:val="14"/>
          <w:szCs w:val="14"/>
          <w:color w:val="auto"/>
        </w:rPr>
        <w:t>LivaNova’s Neuromodulation segment is engaged in the design, development and marketing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 LivaNova’s Neuromodulation segment also includes costs associated with LivaNova’s former heart failure program, which, as previously disclosed, the Company began to wind down during the first quarter of 2023.</w:t>
      </w:r>
    </w:p>
    <w:p>
      <w:pPr>
        <w:spacing w:after="0" w:line="63" w:lineRule="exact"/>
        <w:rPr>
          <w:sz w:val="20"/>
          <w:szCs w:val="20"/>
          <w:color w:val="auto"/>
        </w:rPr>
      </w:pPr>
    </w:p>
    <w:p>
      <w:pPr>
        <w:ind w:firstLine="127"/>
        <w:spacing w:after="0" w:line="341" w:lineRule="auto"/>
        <w:rPr>
          <w:sz w:val="20"/>
          <w:szCs w:val="20"/>
          <w:color w:val="auto"/>
        </w:rPr>
      </w:pPr>
      <w:r>
        <w:rPr>
          <w:rFonts w:ascii="Arial" w:cs="Arial" w:eastAsia="Arial" w:hAnsi="Arial"/>
          <w:sz w:val="12"/>
          <w:szCs w:val="12"/>
          <w:color w:val="auto"/>
        </w:rPr>
        <w:t>LivaNova’s ACS segment is engaged in the development, production and sale of leading-edge temporary life support products. LivaNova’s ACS products, which comprise the LifeSPARC platform, simplify temporary extracorporeal cardiopulmonary life support solutions for critically ill patients. The LifeSPARC platform includes a common compact console and pump that provides temporary support for emergent rescue patients in a variety of settings. LivaNova’s ACS segment also includes the Hemolung RAS, which was acquired in May 2022 as part of the acquisition of ALung.</w:t>
      </w:r>
    </w:p>
    <w:p>
      <w:pPr>
        <w:spacing w:after="0" w:line="27" w:lineRule="exact"/>
        <w:rPr>
          <w:sz w:val="20"/>
          <w:szCs w:val="20"/>
          <w:color w:val="auto"/>
        </w:rPr>
      </w:pPr>
    </w:p>
    <w:p>
      <w:pPr>
        <w:jc w:val="both"/>
        <w:ind w:right="160" w:firstLine="127"/>
        <w:spacing w:after="0" w:line="341" w:lineRule="auto"/>
        <w:rPr>
          <w:sz w:val="20"/>
          <w:szCs w:val="20"/>
          <w:color w:val="auto"/>
        </w:rPr>
      </w:pPr>
      <w:r>
        <w:rPr>
          <w:rFonts w:ascii="Arial" w:cs="Arial" w:eastAsia="Arial" w:hAnsi="Arial"/>
          <w:sz w:val="12"/>
          <w:szCs w:val="12"/>
          <w:color w:val="auto"/>
        </w:rPr>
        <w:t>Net revenue of the Company’s reportable segments includes revenues from the sale of products that each reportable segment develops and manufactures or distributes. LivaNova defines segment income as operating income before merger and integration expense, restructuring expense, amortization of intangibles as well as other income and expense not allocated to segments. Other income and expense not allocated to segments primarily includes rental income and SG&amp;A expenses for finance, legal, human resources, information technology and corporate business development.</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6" w:name="page27"/>
    <w:bookmarkEnd w:id="26"/>
    <w:p>
      <w:pPr>
        <w:ind w:left="140"/>
        <w:spacing w:after="0"/>
        <w:rPr>
          <w:sz w:val="20"/>
          <w:szCs w:val="20"/>
          <w:color w:val="auto"/>
        </w:rPr>
      </w:pPr>
      <w:r>
        <w:rPr>
          <w:rFonts w:ascii="Arial" w:cs="Arial" w:eastAsia="Arial" w:hAnsi="Arial"/>
          <w:sz w:val="13"/>
          <w:szCs w:val="13"/>
          <w:color w:val="auto"/>
        </w:rPr>
        <w:t>LivaNova operates under three geographic regions: U.S., Europe, and Rest of World. The table below presents net revenue by operating segment and geographic region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889"/>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969"/>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3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2022</w:t>
            </w:r>
          </w:p>
        </w:tc>
      </w:tr>
      <w:tr>
        <w:trPr>
          <w:trHeight w:val="178"/>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Cardiopulmonary</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4"/>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United States</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46,711</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37,865</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82,825</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75,961</w:t>
            </w:r>
          </w:p>
        </w:tc>
      </w:tr>
      <w:tr>
        <w:trPr>
          <w:trHeight w:val="180"/>
        </w:trPr>
        <w:tc>
          <w:tcPr>
            <w:tcW w:w="3700" w:type="dxa"/>
            <w:vAlign w:val="bottom"/>
            <w:gridSpan w:val="2"/>
          </w:tcPr>
          <w:p>
            <w:pPr>
              <w:ind w:left="180"/>
              <w:spacing w:after="0" w:line="181" w:lineRule="exact"/>
              <w:rPr>
                <w:sz w:val="20"/>
                <w:szCs w:val="20"/>
                <w:color w:val="auto"/>
              </w:rPr>
            </w:pPr>
            <w:r>
              <w:rPr>
                <w:rFonts w:ascii="Arial" w:cs="Arial" w:eastAsia="Arial" w:hAnsi="Arial"/>
                <w:sz w:val="14"/>
                <w:szCs w:val="14"/>
                <w:color w:val="auto"/>
              </w:rPr>
              <w:t xml:space="preserve">Europe </w:t>
            </w:r>
            <w:r>
              <w:rPr>
                <w:rFonts w:ascii="Arial" w:cs="Arial" w:eastAsia="Arial" w:hAnsi="Arial"/>
                <w:sz w:val="18"/>
                <w:szCs w:val="18"/>
                <w:color w:val="auto"/>
                <w:vertAlign w:val="superscript"/>
              </w:rPr>
              <w:t>(1)</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39,169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33,159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75,452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65,226</w:t>
            </w:r>
          </w:p>
        </w:tc>
      </w:tr>
      <w:tr>
        <w:trPr>
          <w:trHeight w:val="191"/>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Rest of World</w:t>
            </w: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64,723</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54,796</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124,398</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101,708</w:t>
            </w:r>
          </w:p>
        </w:tc>
      </w:tr>
      <w:tr>
        <w:trPr>
          <w:trHeight w:val="171"/>
        </w:trPr>
        <w:tc>
          <w:tcPr>
            <w:tcW w:w="3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150,603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125,820</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282,675</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242,895</w:t>
            </w:r>
          </w:p>
        </w:tc>
      </w:tr>
      <w:tr>
        <w:trPr>
          <w:trHeight w:val="171"/>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Neuromodulation</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80"/>
        </w:trPr>
        <w:tc>
          <w:tcPr>
            <w:tcW w:w="3700" w:type="dxa"/>
            <w:vAlign w:val="bottom"/>
            <w:gridSpan w:val="2"/>
          </w:tcPr>
          <w:p>
            <w:pPr>
              <w:ind w:left="180"/>
              <w:spacing w:after="0"/>
              <w:rPr>
                <w:sz w:val="20"/>
                <w:szCs w:val="20"/>
                <w:color w:val="auto"/>
              </w:rPr>
            </w:pPr>
            <w:r>
              <w:rPr>
                <w:rFonts w:ascii="Arial" w:cs="Arial" w:eastAsia="Arial" w:hAnsi="Arial"/>
                <w:sz w:val="14"/>
                <w:szCs w:val="14"/>
                <w:color w:val="auto"/>
              </w:rPr>
              <w:t>United States</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104,065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91,431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198,554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178,641</w:t>
            </w:r>
          </w:p>
        </w:tc>
      </w:tr>
      <w:tr>
        <w:trPr>
          <w:trHeight w:val="181"/>
        </w:trPr>
        <w:tc>
          <w:tcPr>
            <w:tcW w:w="370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Europe </w:t>
            </w:r>
            <w:r>
              <w:rPr>
                <w:rFonts w:ascii="Arial" w:cs="Arial" w:eastAsia="Arial" w:hAnsi="Arial"/>
                <w:sz w:val="18"/>
                <w:szCs w:val="18"/>
                <w:color w:val="auto"/>
                <w:vertAlign w:val="superscript"/>
              </w:rPr>
              <w:t>(1)</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26,166</w:t>
            </w:r>
          </w:p>
        </w:tc>
      </w:tr>
      <w:tr>
        <w:trPr>
          <w:trHeight w:val="191"/>
        </w:trPr>
        <w:tc>
          <w:tcPr>
            <w:tcW w:w="3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Rest of World</w:t>
            </w: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13,991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26,945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23,215</w:t>
            </w:r>
          </w:p>
        </w:tc>
      </w:tr>
      <w:tr>
        <w:trPr>
          <w:trHeight w:val="171"/>
        </w:trPr>
        <w:tc>
          <w:tcPr>
            <w:tcW w:w="3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133,181</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117,795</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253,904</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228,022</w:t>
            </w:r>
          </w:p>
        </w:tc>
      </w:tr>
      <w:tr>
        <w:trPr>
          <w:trHeight w:val="171"/>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Advanced Circulatory Support</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0"/>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United States</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19,753</w:t>
            </w:r>
          </w:p>
        </w:tc>
      </w:tr>
      <w:tr>
        <w:trPr>
          <w:trHeight w:val="191"/>
        </w:trPr>
        <w:tc>
          <w:tcPr>
            <w:tcW w:w="3700" w:type="dxa"/>
            <w:vAlign w:val="bottom"/>
            <w:gridSpan w:val="2"/>
          </w:tcPr>
          <w:p>
            <w:pPr>
              <w:ind w:left="180"/>
              <w:spacing w:after="0" w:line="191" w:lineRule="exact"/>
              <w:rPr>
                <w:sz w:val="20"/>
                <w:szCs w:val="20"/>
                <w:color w:val="auto"/>
              </w:rPr>
            </w:pPr>
            <w:r>
              <w:rPr>
                <w:rFonts w:ascii="Arial" w:cs="Arial" w:eastAsia="Arial" w:hAnsi="Arial"/>
                <w:sz w:val="14"/>
                <w:szCs w:val="14"/>
                <w:color w:val="auto"/>
              </w:rPr>
              <w:t xml:space="preserve">Europe </w:t>
            </w:r>
            <w:r>
              <w:rPr>
                <w:rFonts w:ascii="Arial" w:cs="Arial" w:eastAsia="Arial" w:hAnsi="Arial"/>
                <w:sz w:val="18"/>
                <w:szCs w:val="18"/>
                <w:color w:val="auto"/>
                <w:vertAlign w:val="superscript"/>
              </w:rPr>
              <w:t>(1)</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1,106</w:t>
            </w:r>
          </w:p>
        </w:tc>
      </w:tr>
      <w:tr>
        <w:trPr>
          <w:trHeight w:val="180"/>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Rest of World</w:t>
            </w: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r>
      <w:tr>
        <w:trPr>
          <w:trHeight w:val="17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9,417</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19,259</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21,035</w:t>
            </w:r>
          </w:p>
        </w:tc>
      </w:tr>
      <w:tr>
        <w:trPr>
          <w:trHeight w:val="171"/>
        </w:trPr>
        <w:tc>
          <w:tcPr>
            <w:tcW w:w="370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4"/>
                <w:szCs w:val="14"/>
                <w:b w:val="1"/>
                <w:bCs w:val="1"/>
                <w:color w:val="auto"/>
              </w:rPr>
              <w:t xml:space="preserve">Other Revenue </w:t>
            </w:r>
            <w:r>
              <w:rPr>
                <w:rFonts w:ascii="Arial" w:cs="Arial" w:eastAsia="Arial" w:hAnsi="Arial"/>
                <w:sz w:val="18"/>
                <w:szCs w:val="18"/>
                <w:b w:val="1"/>
                <w:bCs w:val="1"/>
                <w:color w:val="auto"/>
                <w:vertAlign w:val="superscript"/>
              </w:rPr>
              <w:t>(2)</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80"/>
        </w:trPr>
        <w:tc>
          <w:tcPr>
            <w:tcW w:w="3700" w:type="dxa"/>
            <w:vAlign w:val="bottom"/>
            <w:gridSpan w:val="2"/>
          </w:tcPr>
          <w:p>
            <w:pPr>
              <w:ind w:left="180"/>
              <w:spacing w:after="0"/>
              <w:rPr>
                <w:sz w:val="20"/>
                <w:szCs w:val="20"/>
                <w:color w:val="auto"/>
              </w:rPr>
            </w:pPr>
            <w:r>
              <w:rPr>
                <w:rFonts w:ascii="Arial" w:cs="Arial" w:eastAsia="Arial" w:hAnsi="Arial"/>
                <w:sz w:val="14"/>
                <w:szCs w:val="14"/>
                <w:color w:val="auto"/>
              </w:rPr>
              <w:t>United States</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3700" w:type="dxa"/>
            <w:vAlign w:val="bottom"/>
            <w:gridSpan w:val="2"/>
            <w:shd w:val="clear" w:color="auto" w:fill="CCEEFF"/>
          </w:tcPr>
          <w:p>
            <w:pPr>
              <w:ind w:left="180"/>
              <w:spacing w:after="0" w:line="191" w:lineRule="exact"/>
              <w:rPr>
                <w:sz w:val="20"/>
                <w:szCs w:val="20"/>
                <w:color w:val="auto"/>
              </w:rPr>
            </w:pPr>
            <w:r>
              <w:rPr>
                <w:rFonts w:ascii="Arial" w:cs="Arial" w:eastAsia="Arial" w:hAnsi="Arial"/>
                <w:sz w:val="14"/>
                <w:szCs w:val="14"/>
                <w:color w:val="auto"/>
              </w:rPr>
              <w:t xml:space="preserve">Europe </w:t>
            </w:r>
            <w:r>
              <w:rPr>
                <w:rFonts w:ascii="Arial" w:cs="Arial" w:eastAsia="Arial" w:hAnsi="Arial"/>
                <w:sz w:val="18"/>
                <w:szCs w:val="18"/>
                <w:color w:val="auto"/>
                <w:vertAlign w:val="superscript"/>
              </w:rPr>
              <w:t>(1)</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700" w:type="dxa"/>
            <w:vAlign w:val="bottom"/>
            <w:gridSpan w:val="2"/>
          </w:tcPr>
          <w:p>
            <w:pPr>
              <w:ind w:left="180"/>
              <w:spacing w:after="0"/>
              <w:rPr>
                <w:sz w:val="20"/>
                <w:szCs w:val="20"/>
                <w:color w:val="auto"/>
              </w:rPr>
            </w:pPr>
            <w:r>
              <w:rPr>
                <w:rFonts w:ascii="Arial" w:cs="Arial" w:eastAsia="Arial" w:hAnsi="Arial"/>
                <w:sz w:val="14"/>
                <w:szCs w:val="14"/>
                <w:color w:val="auto"/>
              </w:rPr>
              <w:t>Rest of World</w:t>
            </w: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w:t>
            </w:r>
          </w:p>
        </w:tc>
      </w:tr>
      <w:tr>
        <w:trPr>
          <w:trHeight w:val="171"/>
        </w:trPr>
        <w:tc>
          <w:tcPr>
            <w:tcW w:w="3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w:t>
            </w:r>
          </w:p>
        </w:tc>
      </w:tr>
      <w:tr>
        <w:trPr>
          <w:trHeight w:val="171"/>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Totals</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1"/>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United States</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159,973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138,086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300,240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274,355</w:t>
            </w:r>
          </w:p>
        </w:tc>
      </w:tr>
      <w:tr>
        <w:trPr>
          <w:trHeight w:val="180"/>
        </w:trPr>
        <w:tc>
          <w:tcPr>
            <w:tcW w:w="3700" w:type="dxa"/>
            <w:vAlign w:val="bottom"/>
            <w:gridSpan w:val="2"/>
          </w:tcPr>
          <w:p>
            <w:pPr>
              <w:ind w:left="180"/>
              <w:spacing w:after="0" w:line="181" w:lineRule="exact"/>
              <w:rPr>
                <w:sz w:val="20"/>
                <w:szCs w:val="20"/>
                <w:color w:val="auto"/>
              </w:rPr>
            </w:pPr>
            <w:r>
              <w:rPr>
                <w:rFonts w:ascii="Arial" w:cs="Arial" w:eastAsia="Arial" w:hAnsi="Arial"/>
                <w:sz w:val="14"/>
                <w:szCs w:val="14"/>
                <w:color w:val="auto"/>
              </w:rPr>
              <w:t xml:space="preserve">Europe </w:t>
            </w:r>
            <w:r>
              <w:rPr>
                <w:rFonts w:ascii="Arial" w:cs="Arial" w:eastAsia="Arial" w:hAnsi="Arial"/>
                <w:sz w:val="18"/>
                <w:szCs w:val="18"/>
                <w:color w:val="auto"/>
                <w:vertAlign w:val="superscript"/>
              </w:rPr>
              <w:t>(1)</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54,459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47,372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104,102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92,498</w:t>
            </w:r>
          </w:p>
        </w:tc>
      </w:tr>
      <w:tr>
        <w:trPr>
          <w:trHeight w:val="180"/>
        </w:trPr>
        <w:tc>
          <w:tcPr>
            <w:tcW w:w="3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Rest of World</w:t>
            </w: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79,450</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68,693</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152,958</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127,473</w:t>
            </w:r>
          </w:p>
        </w:tc>
      </w:tr>
      <w:tr>
        <w:trPr>
          <w:trHeight w:val="182"/>
        </w:trPr>
        <w:tc>
          <w:tcPr>
            <w:tcW w:w="3700" w:type="dxa"/>
            <w:vAlign w:val="bottom"/>
            <w:gridSpan w:val="2"/>
          </w:tcPr>
          <w:p>
            <w:pPr>
              <w:ind w:left="360"/>
              <w:spacing w:after="0" w:line="182" w:lineRule="exact"/>
              <w:rPr>
                <w:sz w:val="20"/>
                <w:szCs w:val="20"/>
                <w:color w:val="auto"/>
              </w:rPr>
            </w:pPr>
            <w:r>
              <w:rPr>
                <w:rFonts w:ascii="Arial" w:cs="Arial" w:eastAsia="Arial" w:hAnsi="Arial"/>
                <w:sz w:val="14"/>
                <w:szCs w:val="14"/>
                <w:color w:val="auto"/>
              </w:rPr>
              <w:t xml:space="preserve">Total </w:t>
            </w:r>
            <w:r>
              <w:rPr>
                <w:rFonts w:ascii="Arial" w:cs="Arial" w:eastAsia="Arial" w:hAnsi="Arial"/>
                <w:sz w:val="18"/>
                <w:szCs w:val="18"/>
                <w:color w:val="auto"/>
                <w:vertAlign w:val="superscript"/>
              </w:rPr>
              <w:t>(3)</w:t>
            </w: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293,882</w:t>
            </w: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254,151</w:t>
            </w: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557,300</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494,326</w:t>
            </w: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countries in Europe where the Company has a direct sales presence. Countries where sales are made through distributors are included in “Rest of World.”</w:t>
      </w:r>
    </w:p>
    <w:p>
      <w:pPr>
        <w:spacing w:after="0" w:line="41" w:lineRule="exact"/>
        <w:rPr>
          <w:rFonts w:ascii="Arial" w:cs="Arial" w:eastAsia="Arial" w:hAnsi="Arial"/>
          <w:sz w:val="13"/>
          <w:szCs w:val="13"/>
          <w:color w:val="auto"/>
        </w:rPr>
      </w:pPr>
    </w:p>
    <w:p>
      <w:pPr>
        <w:ind w:left="520" w:hanging="260"/>
        <w:spacing w:after="0"/>
        <w:tabs>
          <w:tab w:leader="none" w:pos="520" w:val="left"/>
        </w:tabs>
        <w:numPr>
          <w:ilvl w:val="0"/>
          <w:numId w:val="6"/>
        </w:numPr>
        <w:rPr>
          <w:rFonts w:ascii="Arial" w:cs="Arial" w:eastAsia="Arial" w:hAnsi="Arial"/>
          <w:sz w:val="13"/>
          <w:szCs w:val="13"/>
          <w:color w:val="auto"/>
        </w:rPr>
      </w:pPr>
      <w:r>
        <w:rPr>
          <w:rFonts w:ascii="Arial" w:cs="Arial" w:eastAsia="Arial" w:hAnsi="Arial"/>
          <w:sz w:val="13"/>
          <w:szCs w:val="13"/>
          <w:color w:val="auto"/>
        </w:rPr>
        <w:t>Other revenue primarily includes rental income not allocated to segments.</w:t>
      </w:r>
    </w:p>
    <w:p>
      <w:pPr>
        <w:spacing w:after="0" w:line="30" w:lineRule="exact"/>
        <w:rPr>
          <w:rFonts w:ascii="Arial" w:cs="Arial" w:eastAsia="Arial" w:hAnsi="Arial"/>
          <w:sz w:val="13"/>
          <w:szCs w:val="13"/>
          <w:color w:val="auto"/>
        </w:rPr>
      </w:pPr>
    </w:p>
    <w:p>
      <w:pPr>
        <w:ind w:left="520" w:hanging="260"/>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No single customer represented over 10% of the Company’s consolidated net revenue. No country’s net revenue exceeded 10% of the Company’s consolidated revenue except for the U.S.</w:t>
      </w: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7" w:name="page28"/>
    <w:bookmarkEnd w:id="27"/>
    <w:p>
      <w:pPr>
        <w:ind w:left="140"/>
        <w:spacing w:after="0"/>
        <w:rPr>
          <w:sz w:val="20"/>
          <w:szCs w:val="20"/>
          <w:color w:val="auto"/>
        </w:rPr>
      </w:pPr>
      <w:r>
        <w:rPr>
          <w:rFonts w:ascii="Arial" w:cs="Arial" w:eastAsia="Arial" w:hAnsi="Arial"/>
          <w:sz w:val="14"/>
          <w:szCs w:val="14"/>
          <w:color w:val="auto"/>
        </w:rPr>
        <w:t>The table below presents a reconciliation of segment income to consolidated income before tax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89"/>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4420" w:type="dxa"/>
            <w:vAlign w:val="bottom"/>
          </w:tcPr>
          <w:p>
            <w:pPr>
              <w:spacing w:after="0"/>
              <w:rPr>
                <w:sz w:val="14"/>
                <w:szCs w:val="14"/>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2022</w:t>
            </w:r>
          </w:p>
        </w:tc>
      </w:tr>
      <w:tr>
        <w:trPr>
          <w:trHeight w:val="182"/>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Cardiopulmonary</w:t>
            </w:r>
          </w:p>
        </w:tc>
        <w:tc>
          <w:tcPr>
            <w:tcW w:w="1040" w:type="dxa"/>
            <w:vAlign w:val="bottom"/>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11,381</w:t>
            </w:r>
          </w:p>
        </w:tc>
        <w:tc>
          <w:tcPr>
            <w:tcW w:w="1140" w:type="dxa"/>
            <w:vAlign w:val="bottom"/>
            <w:gridSpan w:val="2"/>
            <w:shd w:val="clear" w:color="auto" w:fill="CCEEFF"/>
          </w:tcPr>
          <w:p>
            <w:pPr>
              <w:jc w:val="right"/>
              <w:ind w:right="88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3,644</w:t>
            </w:r>
          </w:p>
        </w:tc>
        <w:tc>
          <w:tcPr>
            <w:tcW w:w="48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center"/>
              <w:ind w:left="689"/>
              <w:spacing w:after="0"/>
              <w:rPr>
                <w:sz w:val="20"/>
                <w:szCs w:val="20"/>
                <w:color w:val="auto"/>
              </w:rPr>
            </w:pPr>
            <w:r>
              <w:rPr>
                <w:rFonts w:ascii="Arial" w:cs="Arial" w:eastAsia="Arial" w:hAnsi="Arial"/>
                <w:sz w:val="14"/>
                <w:szCs w:val="14"/>
                <w:color w:val="auto"/>
                <w:w w:val="88"/>
              </w:rPr>
              <w:t>18,965</w:t>
            </w:r>
          </w:p>
        </w:tc>
        <w:tc>
          <w:tcPr>
            <w:tcW w:w="48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10,539</w:t>
            </w:r>
          </w:p>
        </w:tc>
      </w:tr>
      <w:tr>
        <w:trPr>
          <w:trHeight w:val="180"/>
        </w:trPr>
        <w:tc>
          <w:tcPr>
            <w:tcW w:w="4420" w:type="dxa"/>
            <w:vAlign w:val="bottom"/>
          </w:tcPr>
          <w:p>
            <w:pPr>
              <w:ind w:left="20"/>
              <w:spacing w:after="0"/>
              <w:rPr>
                <w:sz w:val="20"/>
                <w:szCs w:val="20"/>
                <w:color w:val="auto"/>
              </w:rPr>
            </w:pPr>
            <w:r>
              <w:rPr>
                <w:rFonts w:ascii="Arial" w:cs="Arial" w:eastAsia="Arial" w:hAnsi="Arial"/>
                <w:sz w:val="14"/>
                <w:szCs w:val="14"/>
                <w:color w:val="auto"/>
              </w:rPr>
              <w:t>Neuromodulation</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38,148</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51,360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center"/>
              <w:ind w:left="689"/>
              <w:spacing w:after="0"/>
              <w:rPr>
                <w:sz w:val="20"/>
                <w:szCs w:val="20"/>
                <w:color w:val="auto"/>
              </w:rPr>
            </w:pPr>
            <w:r>
              <w:rPr>
                <w:rFonts w:ascii="Arial" w:cs="Arial" w:eastAsia="Arial" w:hAnsi="Arial"/>
                <w:sz w:val="14"/>
                <w:szCs w:val="14"/>
                <w:color w:val="auto"/>
                <w:w w:val="88"/>
              </w:rPr>
              <w:t>65,154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88,838</w:t>
            </w:r>
          </w:p>
        </w:tc>
      </w:tr>
      <w:tr>
        <w:trPr>
          <w:trHeight w:val="18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Advanced Circulatory Support</w:t>
            </w: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(4,750)</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center"/>
              <w:ind w:left="669"/>
              <w:spacing w:after="0"/>
              <w:rPr>
                <w:sz w:val="20"/>
                <w:szCs w:val="20"/>
                <w:color w:val="auto"/>
              </w:rPr>
            </w:pPr>
            <w:r>
              <w:rPr>
                <w:rFonts w:ascii="Arial" w:cs="Arial" w:eastAsia="Arial" w:hAnsi="Arial"/>
                <w:sz w:val="14"/>
                <w:szCs w:val="14"/>
                <w:color w:val="auto"/>
                <w:w w:val="91"/>
              </w:rPr>
              <w:t>(11,199)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(1,953)</w:t>
            </w:r>
          </w:p>
        </w:tc>
      </w:tr>
      <w:tr>
        <w:trPr>
          <w:trHeight w:val="176"/>
        </w:trPr>
        <w:tc>
          <w:tcPr>
            <w:tcW w:w="4420" w:type="dxa"/>
            <w:vAlign w:val="bottom"/>
          </w:tcPr>
          <w:p>
            <w:pPr>
              <w:ind w:left="20"/>
              <w:spacing w:after="0"/>
              <w:rPr>
                <w:sz w:val="20"/>
                <w:szCs w:val="20"/>
                <w:color w:val="auto"/>
              </w:rPr>
            </w:pPr>
            <w:r>
              <w:rPr>
                <w:rFonts w:ascii="Arial" w:cs="Arial" w:eastAsia="Arial" w:hAnsi="Arial"/>
                <w:sz w:val="14"/>
                <w:szCs w:val="14"/>
                <w:color w:val="auto"/>
              </w:rPr>
              <w:t>Segment income</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44,779</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58,489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center"/>
              <w:ind w:left="689"/>
              <w:spacing w:after="0"/>
              <w:rPr>
                <w:sz w:val="20"/>
                <w:szCs w:val="20"/>
                <w:color w:val="auto"/>
              </w:rPr>
            </w:pPr>
            <w:r>
              <w:rPr>
                <w:rFonts w:ascii="Arial" w:cs="Arial" w:eastAsia="Arial" w:hAnsi="Arial"/>
                <w:sz w:val="14"/>
                <w:szCs w:val="14"/>
                <w:color w:val="auto"/>
                <w:w w:val="88"/>
              </w:rPr>
              <w:t>72,920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97,424</w:t>
            </w:r>
          </w:p>
        </w:tc>
      </w:tr>
      <w:tr>
        <w:trPr>
          <w:trHeight w:val="186"/>
        </w:trPr>
        <w:tc>
          <w:tcPr>
            <w:tcW w:w="4420" w:type="dxa"/>
            <w:vAlign w:val="bottom"/>
            <w:shd w:val="clear" w:color="auto" w:fill="CCEEFF"/>
          </w:tcPr>
          <w:p>
            <w:pPr>
              <w:ind w:left="20"/>
              <w:spacing w:after="0" w:line="186" w:lineRule="exact"/>
              <w:rPr>
                <w:sz w:val="20"/>
                <w:szCs w:val="20"/>
                <w:color w:val="auto"/>
              </w:rPr>
            </w:pPr>
            <w:r>
              <w:rPr>
                <w:rFonts w:ascii="Arial" w:cs="Arial" w:eastAsia="Arial" w:hAnsi="Arial"/>
                <w:sz w:val="14"/>
                <w:szCs w:val="14"/>
                <w:color w:val="auto"/>
              </w:rPr>
              <w:t xml:space="preserve">Other income/(expense) </w:t>
            </w:r>
            <w:r>
              <w:rPr>
                <w:rFonts w:ascii="Arial" w:cs="Arial" w:eastAsia="Arial" w:hAnsi="Arial"/>
                <w:sz w:val="18"/>
                <w:szCs w:val="18"/>
                <w:color w:val="auto"/>
                <w:vertAlign w:val="superscript"/>
              </w:rPr>
              <w:t>(1)</w:t>
            </w:r>
          </w:p>
        </w:tc>
        <w:tc>
          <w:tcPr>
            <w:tcW w:w="10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(27,403)</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(26,733)</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ind w:left="669"/>
              <w:spacing w:after="0"/>
              <w:rPr>
                <w:sz w:val="20"/>
                <w:szCs w:val="20"/>
                <w:color w:val="auto"/>
              </w:rPr>
            </w:pPr>
            <w:r>
              <w:rPr>
                <w:rFonts w:ascii="Arial" w:cs="Arial" w:eastAsia="Arial" w:hAnsi="Arial"/>
                <w:sz w:val="14"/>
                <w:szCs w:val="14"/>
                <w:color w:val="auto"/>
                <w:w w:val="91"/>
              </w:rPr>
              <w:t>(57,886)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(56,163)</w:t>
            </w:r>
          </w:p>
        </w:tc>
      </w:tr>
      <w:tr>
        <w:trPr>
          <w:trHeight w:val="171"/>
        </w:trPr>
        <w:tc>
          <w:tcPr>
            <w:tcW w:w="442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17,376</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31,756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center"/>
              <w:ind w:left="689"/>
              <w:spacing w:after="0"/>
              <w:rPr>
                <w:sz w:val="20"/>
                <w:szCs w:val="20"/>
                <w:color w:val="auto"/>
              </w:rPr>
            </w:pPr>
            <w:r>
              <w:rPr>
                <w:rFonts w:ascii="Arial" w:cs="Arial" w:eastAsia="Arial" w:hAnsi="Arial"/>
                <w:sz w:val="14"/>
                <w:szCs w:val="14"/>
                <w:color w:val="auto"/>
                <w:w w:val="88"/>
              </w:rPr>
              <w:t>15,034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41,261</w:t>
            </w:r>
          </w:p>
        </w:tc>
      </w:tr>
      <w:tr>
        <w:trPr>
          <w:trHeight w:val="19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(14,809)</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center"/>
              <w:ind w:left="669"/>
              <w:spacing w:after="0"/>
              <w:rPr>
                <w:sz w:val="20"/>
                <w:szCs w:val="20"/>
                <w:color w:val="auto"/>
              </w:rPr>
            </w:pPr>
            <w:r>
              <w:rPr>
                <w:rFonts w:ascii="Arial" w:cs="Arial" w:eastAsia="Arial" w:hAnsi="Arial"/>
                <w:sz w:val="14"/>
                <w:szCs w:val="14"/>
                <w:color w:val="auto"/>
                <w:w w:val="91"/>
              </w:rPr>
              <w:t>(28,246)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(22,228)</w:t>
            </w:r>
          </w:p>
        </w:tc>
      </w:tr>
      <w:tr>
        <w:trPr>
          <w:trHeight w:val="18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exchange and other income/(expense)</w:t>
            </w: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2,713</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left="689"/>
              <w:spacing w:after="0"/>
              <w:rPr>
                <w:sz w:val="20"/>
                <w:szCs w:val="20"/>
                <w:color w:val="auto"/>
              </w:rPr>
            </w:pPr>
            <w:r>
              <w:rPr>
                <w:rFonts w:ascii="Arial" w:cs="Arial" w:eastAsia="Arial" w:hAnsi="Arial"/>
                <w:sz w:val="14"/>
                <w:szCs w:val="14"/>
                <w:color w:val="auto"/>
                <w:w w:val="88"/>
              </w:rPr>
              <w:t>28,260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5,537</w:t>
            </w:r>
          </w:p>
        </w:tc>
      </w:tr>
      <w:tr>
        <w:trPr>
          <w:trHeight w:val="196"/>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tax</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5,280</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center"/>
              <w:ind w:left="689"/>
              <w:spacing w:after="0"/>
              <w:rPr>
                <w:sz w:val="20"/>
                <w:szCs w:val="20"/>
                <w:color w:val="auto"/>
              </w:rPr>
            </w:pPr>
            <w:r>
              <w:rPr>
                <w:rFonts w:ascii="Arial" w:cs="Arial" w:eastAsia="Arial" w:hAnsi="Arial"/>
                <w:sz w:val="14"/>
                <w:szCs w:val="14"/>
                <w:color w:val="auto"/>
                <w:w w:val="88"/>
              </w:rPr>
              <w:t>15,048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24,570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520" w:right="620" w:hanging="260"/>
        <w:spacing w:after="0" w:line="274" w:lineRule="auto"/>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income/(expense) primarily includes rental income, SG&amp;A expenses for finance, legal, human resources, information technology and corporate business development, as well as amortization of intangible assets, merger and integration expense and restructuring expense.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00" w:type="dxa"/>
            <w:vAlign w:val="bottom"/>
          </w:tcPr>
          <w:p>
            <w:pPr>
              <w:ind w:left="140"/>
              <w:spacing w:after="0"/>
              <w:rPr>
                <w:sz w:val="20"/>
                <w:szCs w:val="20"/>
                <w:color w:val="auto"/>
              </w:rPr>
            </w:pPr>
            <w:r>
              <w:rPr>
                <w:rFonts w:ascii="Arial" w:cs="Arial" w:eastAsia="Arial" w:hAnsi="Arial"/>
                <w:sz w:val="14"/>
                <w:szCs w:val="14"/>
                <w:color w:val="auto"/>
                <w:w w:val="99"/>
              </w:rPr>
              <w:t>Assets by segment are as follows (in thousands):</w:t>
            </w:r>
          </w:p>
        </w:tc>
        <w:tc>
          <w:tcPr>
            <w:tcW w:w="1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2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Cardiopulmonary</w:t>
            </w:r>
          </w:p>
        </w:tc>
        <w:tc>
          <w:tcPr>
            <w:tcW w:w="1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909,837</w:t>
            </w:r>
          </w:p>
        </w:tc>
        <w:tc>
          <w:tcPr>
            <w:tcW w:w="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874,143</w:t>
            </w:r>
          </w:p>
        </w:tc>
        <w:tc>
          <w:tcPr>
            <w:tcW w:w="0" w:type="dxa"/>
            <w:vAlign w:val="bottom"/>
          </w:tcPr>
          <w:p>
            <w:pPr>
              <w:spacing w:after="0"/>
              <w:rPr>
                <w:sz w:val="1"/>
                <w:szCs w:val="1"/>
                <w:color w:val="auto"/>
              </w:rPr>
            </w:pPr>
          </w:p>
        </w:tc>
      </w:tr>
      <w:tr>
        <w:trPr>
          <w:trHeight w:val="185"/>
        </w:trPr>
        <w:tc>
          <w:tcPr>
            <w:tcW w:w="3200" w:type="dxa"/>
            <w:vAlign w:val="bottom"/>
          </w:tcPr>
          <w:p>
            <w:pPr>
              <w:ind w:left="20"/>
              <w:spacing w:after="0"/>
              <w:rPr>
                <w:sz w:val="20"/>
                <w:szCs w:val="20"/>
                <w:color w:val="auto"/>
              </w:rPr>
            </w:pPr>
            <w:r>
              <w:rPr>
                <w:rFonts w:ascii="Arial" w:cs="Arial" w:eastAsia="Arial" w:hAnsi="Arial"/>
                <w:sz w:val="14"/>
                <w:szCs w:val="14"/>
                <w:color w:val="auto"/>
              </w:rPr>
              <w:t>Neuromodulation</w:t>
            </w:r>
          </w:p>
        </w:tc>
        <w:tc>
          <w:tcPr>
            <w:tcW w:w="1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642,041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646,633</w:t>
            </w:r>
          </w:p>
        </w:tc>
        <w:tc>
          <w:tcPr>
            <w:tcW w:w="0" w:type="dxa"/>
            <w:vAlign w:val="bottom"/>
          </w:tcPr>
          <w:p>
            <w:pPr>
              <w:spacing w:after="0"/>
              <w:rPr>
                <w:sz w:val="1"/>
                <w:szCs w:val="1"/>
                <w:color w:val="auto"/>
              </w:rPr>
            </w:pPr>
          </w:p>
        </w:tc>
      </w:tr>
      <w:tr>
        <w:trPr>
          <w:trHeight w:val="186"/>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Circulatory Support</w:t>
            </w:r>
          </w:p>
        </w:tc>
        <w:tc>
          <w:tcPr>
            <w:tcW w:w="1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116,229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121,454</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Other assets </w:t>
            </w:r>
            <w:r>
              <w:rPr>
                <w:rFonts w:ascii="Arial" w:cs="Arial" w:eastAsia="Arial" w:hAnsi="Arial"/>
                <w:sz w:val="18"/>
                <w:szCs w:val="18"/>
                <w:color w:val="auto"/>
                <w:vertAlign w:val="superscript"/>
              </w:rPr>
              <w:t>(1)</w:t>
            </w:r>
          </w:p>
        </w:tc>
        <w:tc>
          <w:tcPr>
            <w:tcW w:w="1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673,448</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652,543</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2,341,555</w:t>
            </w:r>
          </w:p>
        </w:tc>
        <w:tc>
          <w:tcPr>
            <w:tcW w:w="34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2,294,773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Arial" w:cs="Arial" w:eastAsia="Arial" w:hAnsi="Arial"/>
                <w:sz w:val="13"/>
                <w:szCs w:val="13"/>
                <w:color w:val="auto"/>
                <w:w w:val="93"/>
              </w:rPr>
              <w:t>(1)  Other assets primarily includes corporate assets not allocated to segments.</w:t>
            </w: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540" w:type="dxa"/>
            <w:vAlign w:val="bottom"/>
            <w:gridSpan w:val="2"/>
            <w:vMerge w:val="continue"/>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4540" w:type="dxa"/>
            <w:vAlign w:val="bottom"/>
            <w:gridSpan w:val="2"/>
          </w:tcPr>
          <w:p>
            <w:pPr>
              <w:ind w:left="140"/>
              <w:spacing w:after="0"/>
              <w:rPr>
                <w:sz w:val="20"/>
                <w:szCs w:val="20"/>
                <w:color w:val="auto"/>
              </w:rPr>
            </w:pPr>
            <w:r>
              <w:rPr>
                <w:rFonts w:ascii="Arial" w:cs="Arial" w:eastAsia="Arial" w:hAnsi="Arial"/>
                <w:sz w:val="14"/>
                <w:szCs w:val="14"/>
                <w:color w:val="auto"/>
              </w:rPr>
              <w:t>Capital expenditures by segment are as follows (in thousands):</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3400" w:type="dxa"/>
            <w:vAlign w:val="bottom"/>
            <w:tcBorders>
              <w:bottom w:val="single" w:sz="8" w:color="auto"/>
            </w:tcBorders>
            <w:gridSpan w:val="4"/>
          </w:tcPr>
          <w:p>
            <w:pPr>
              <w:jc w:val="right"/>
              <w:ind w:right="409"/>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5"/>
          </w:tcPr>
          <w:p>
            <w:pPr>
              <w:jc w:val="right"/>
              <w:ind w:right="108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1340" w:type="dxa"/>
            <w:vAlign w:val="bottom"/>
          </w:tcPr>
          <w:p>
            <w:pPr>
              <w:jc w:val="right"/>
              <w:ind w:right="149"/>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5"/>
                <w:szCs w:val="15"/>
                <w:color w:val="auto"/>
              </w:rPr>
            </w:pPr>
          </w:p>
        </w:tc>
        <w:tc>
          <w:tcPr>
            <w:tcW w:w="144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right"/>
              <w:ind w:right="76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ind w:right="76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4"/>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Cardiopulmonary</w:t>
            </w:r>
          </w:p>
        </w:tc>
        <w:tc>
          <w:tcPr>
            <w:tcW w:w="1340" w:type="dxa"/>
            <w:vAlign w:val="bottom"/>
            <w:tcBorders>
              <w:top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3,213</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7,341</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5,042</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Arial" w:cs="Arial" w:eastAsia="Arial" w:hAnsi="Arial"/>
                <w:sz w:val="14"/>
                <w:szCs w:val="14"/>
                <w:color w:val="auto"/>
              </w:rPr>
              <w:t>Neuromodulation</w:t>
            </w:r>
          </w:p>
        </w:tc>
        <w:tc>
          <w:tcPr>
            <w:tcW w:w="1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492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91"/>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Circulatory Support</w:t>
            </w:r>
          </w:p>
        </w:tc>
        <w:tc>
          <w:tcPr>
            <w:tcW w:w="1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80"/>
        </w:trPr>
        <w:tc>
          <w:tcPr>
            <w:tcW w:w="320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 xml:space="preserve">Other capital expenditures </w:t>
            </w:r>
            <w:r>
              <w:rPr>
                <w:rFonts w:ascii="Arial" w:cs="Arial" w:eastAsia="Arial" w:hAnsi="Arial"/>
                <w:sz w:val="18"/>
                <w:szCs w:val="18"/>
                <w:color w:val="auto"/>
                <w:vertAlign w:val="superscript"/>
              </w:rPr>
              <w:t>(1)</w:t>
            </w:r>
          </w:p>
        </w:tc>
        <w:tc>
          <w:tcPr>
            <w:tcW w:w="1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2,671</w:t>
            </w: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5,228</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5,587</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6,055</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18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5,863</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13,906</w:t>
            </w: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Other capital expenditures primarily includes corporate capital expenditures not allocated to segments.</w:t>
      </w:r>
    </w:p>
    <w:p>
      <w:pPr>
        <w:spacing w:after="0" w:line="9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changes in the carrying amount of goodwill by segment for the six months ended June 30, 2023 were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Cardiopulmonary</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Neuromodulation</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auto"/>
              </w:rPr>
              <w:t>Total</w:t>
            </w:r>
          </w:p>
        </w:tc>
      </w:tr>
      <w:tr>
        <w:trPr>
          <w:trHeight w:val="177"/>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2022</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370,033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398,754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768,787</w:t>
            </w: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color w:val="auto"/>
              </w:rPr>
              <w:t>Foreign currency adjustments</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10,425</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10,425</w:t>
            </w:r>
          </w:p>
        </w:tc>
      </w:tr>
      <w:tr>
        <w:trPr>
          <w:trHeight w:val="202"/>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30, 2023</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380,458</w:t>
            </w:r>
          </w:p>
        </w:tc>
        <w:tc>
          <w:tcPr>
            <w:tcW w:w="34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398,754</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779,212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758"/>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ind w:right="1349"/>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1"/>
        </w:trPr>
        <w:tc>
          <w:tcPr>
            <w:tcW w:w="52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0"/>
        </w:trPr>
        <w:tc>
          <w:tcPr>
            <w:tcW w:w="7280" w:type="dxa"/>
            <w:vAlign w:val="bottom"/>
          </w:tcPr>
          <w:p>
            <w:pPr>
              <w:ind w:left="140"/>
              <w:spacing w:after="0"/>
              <w:rPr>
                <w:sz w:val="20"/>
                <w:szCs w:val="20"/>
                <w:color w:val="auto"/>
              </w:rPr>
            </w:pPr>
            <w:r>
              <w:rPr>
                <w:rFonts w:ascii="Arial" w:cs="Arial" w:eastAsia="Arial" w:hAnsi="Arial"/>
                <w:sz w:val="14"/>
                <w:szCs w:val="14"/>
                <w:color w:val="auto"/>
              </w:rPr>
              <w:t>Property, plant and equipment, net by geography are as follows (in thousands):</w:t>
            </w:r>
          </w:p>
        </w:tc>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2"/>
        </w:trPr>
        <w:tc>
          <w:tcPr>
            <w:tcW w:w="72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December 31, 2022</w:t>
            </w:r>
          </w:p>
        </w:tc>
      </w:tr>
      <w:tr>
        <w:trPr>
          <w:trHeight w:val="171"/>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420" w:type="dxa"/>
            <w:vAlign w:val="bottom"/>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66,360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63,458</w:t>
            </w:r>
          </w:p>
        </w:tc>
      </w:tr>
      <w:tr>
        <w:trPr>
          <w:trHeight w:val="185"/>
        </w:trPr>
        <w:tc>
          <w:tcPr>
            <w:tcW w:w="7280" w:type="dxa"/>
            <w:vAlign w:val="bottom"/>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79,102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79,654</w:t>
            </w:r>
          </w:p>
        </w:tc>
      </w:tr>
      <w:tr>
        <w:trPr>
          <w:trHeight w:val="18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 of World</w:t>
            </w:r>
          </w:p>
        </w:tc>
        <w:tc>
          <w:tcPr>
            <w:tcW w:w="14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4,106</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4,075</w:t>
            </w:r>
          </w:p>
        </w:tc>
      </w:tr>
      <w:tr>
        <w:trPr>
          <w:trHeight w:val="171"/>
        </w:trPr>
        <w:tc>
          <w:tcPr>
            <w:tcW w:w="7280" w:type="dxa"/>
            <w:vAlign w:val="bottom"/>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tcPr>
          <w:p>
            <w:pPr>
              <w:jc w:val="right"/>
              <w:ind w:right="12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149,568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147,187</w:t>
            </w:r>
          </w:p>
        </w:tc>
      </w:tr>
      <w:tr>
        <w:trPr>
          <w:trHeight w:val="20"/>
        </w:trPr>
        <w:tc>
          <w:tcPr>
            <w:tcW w:w="7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Supplemental Financial Information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80" w:type="dxa"/>
            <w:vAlign w:val="bottom"/>
          </w:tcPr>
          <w:p>
            <w:pPr>
              <w:ind w:left="140"/>
              <w:spacing w:after="0"/>
              <w:rPr>
                <w:sz w:val="20"/>
                <w:szCs w:val="20"/>
                <w:color w:val="auto"/>
              </w:rPr>
            </w:pPr>
            <w:r>
              <w:rPr>
                <w:rFonts w:ascii="Arial" w:cs="Arial" w:eastAsia="Arial" w:hAnsi="Arial"/>
                <w:sz w:val="14"/>
                <w:szCs w:val="14"/>
                <w:color w:val="auto"/>
              </w:rPr>
              <w:t>Inventories consisted of the following (in thousands):</w:t>
            </w:r>
          </w:p>
        </w:tc>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2"/>
        </w:trPr>
        <w:tc>
          <w:tcPr>
            <w:tcW w:w="72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December 31, 2022</w:t>
            </w:r>
          </w:p>
        </w:tc>
      </w:tr>
      <w:tr>
        <w:trPr>
          <w:trHeight w:val="182"/>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1420" w:type="dxa"/>
            <w:vAlign w:val="bottom"/>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86,929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70,027</w:t>
            </w:r>
          </w:p>
        </w:tc>
      </w:tr>
      <w:tr>
        <w:trPr>
          <w:trHeight w:val="180"/>
        </w:trPr>
        <w:tc>
          <w:tcPr>
            <w:tcW w:w="7280" w:type="dxa"/>
            <w:vAlign w:val="bottom"/>
          </w:tcPr>
          <w:p>
            <w:pPr>
              <w:ind w:left="20"/>
              <w:spacing w:after="0"/>
              <w:rPr>
                <w:sz w:val="20"/>
                <w:szCs w:val="20"/>
                <w:color w:val="auto"/>
              </w:rPr>
            </w:pPr>
            <w:r>
              <w:rPr>
                <w:rFonts w:ascii="Arial" w:cs="Arial" w:eastAsia="Arial" w:hAnsi="Arial"/>
                <w:sz w:val="14"/>
                <w:szCs w:val="14"/>
                <w:color w:val="auto"/>
              </w:rPr>
              <w:t>Work-in-process</w:t>
            </w:r>
          </w:p>
        </w:tc>
        <w:tc>
          <w:tcPr>
            <w:tcW w:w="1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18,521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15,508</w:t>
            </w:r>
          </w:p>
        </w:tc>
      </w:tr>
      <w:tr>
        <w:trPr>
          <w:trHeight w:val="18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14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50,996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43,844</w:t>
            </w:r>
          </w:p>
        </w:tc>
      </w:tr>
      <w:tr>
        <w:trPr>
          <w:trHeight w:val="176"/>
        </w:trPr>
        <w:tc>
          <w:tcPr>
            <w:tcW w:w="7280" w:type="dxa"/>
            <w:vAlign w:val="bottom"/>
          </w:tcPr>
          <w:p>
            <w:pPr>
              <w:spacing w:after="0"/>
              <w:rPr>
                <w:sz w:val="15"/>
                <w:szCs w:val="15"/>
                <w:color w:val="auto"/>
              </w:rPr>
            </w:pPr>
          </w:p>
        </w:tc>
        <w:tc>
          <w:tcPr>
            <w:tcW w:w="1420" w:type="dxa"/>
            <w:vAlign w:val="bottom"/>
          </w:tcPr>
          <w:p>
            <w:pPr>
              <w:jc w:val="right"/>
              <w:ind w:right="126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156,446</w:t>
            </w: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129,379</w:t>
            </w:r>
          </w:p>
        </w:tc>
      </w:tr>
      <w:tr>
        <w:trPr>
          <w:trHeight w:val="20"/>
        </w:trPr>
        <w:tc>
          <w:tcPr>
            <w:tcW w:w="7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As of June 30, 2023 and December 31, 2022, inventories included adjustments totaling $11.2 million and $8.2 million, respectively, to record balances at lower of cost or net realizable value.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80" w:type="dxa"/>
            <w:vAlign w:val="bottom"/>
          </w:tcPr>
          <w:p>
            <w:pPr>
              <w:ind w:left="140"/>
              <w:spacing w:after="0"/>
              <w:rPr>
                <w:sz w:val="20"/>
                <w:szCs w:val="20"/>
                <w:color w:val="auto"/>
              </w:rPr>
            </w:pPr>
            <w:r>
              <w:rPr>
                <w:rFonts w:ascii="Arial" w:cs="Arial" w:eastAsia="Arial" w:hAnsi="Arial"/>
                <w:sz w:val="14"/>
                <w:szCs w:val="14"/>
                <w:color w:val="auto"/>
              </w:rPr>
              <w:t>Accrued liabilities and other consisted of the following (in thousands):</w:t>
            </w:r>
          </w:p>
        </w:tc>
        <w:tc>
          <w:tcPr>
            <w:tcW w:w="1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2"/>
        </w:trPr>
        <w:tc>
          <w:tcPr>
            <w:tcW w:w="72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December 31, 2022</w:t>
            </w:r>
          </w:p>
        </w:tc>
      </w:tr>
      <w:tr>
        <w:trPr>
          <w:trHeight w:val="171"/>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Legal and professional costs</w:t>
            </w:r>
          </w:p>
        </w:tc>
        <w:tc>
          <w:tcPr>
            <w:tcW w:w="1440" w:type="dxa"/>
            <w:vAlign w:val="bottom"/>
            <w:shd w:val="clear" w:color="auto" w:fill="CCEEFF"/>
          </w:tcPr>
          <w:p>
            <w:pPr>
              <w:jc w:val="right"/>
              <w:ind w:right="128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12,071</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8,653</w:t>
            </w:r>
          </w:p>
        </w:tc>
      </w:tr>
      <w:tr>
        <w:trPr>
          <w:trHeight w:val="185"/>
        </w:trPr>
        <w:tc>
          <w:tcPr>
            <w:tcW w:w="7280" w:type="dxa"/>
            <w:vAlign w:val="bottom"/>
          </w:tcPr>
          <w:p>
            <w:pPr>
              <w:ind w:left="20"/>
              <w:spacing w:after="0"/>
              <w:rPr>
                <w:sz w:val="20"/>
                <w:szCs w:val="20"/>
                <w:color w:val="auto"/>
              </w:rPr>
            </w:pPr>
            <w:r>
              <w:rPr>
                <w:rFonts w:ascii="Arial" w:cs="Arial" w:eastAsia="Arial" w:hAnsi="Arial"/>
                <w:sz w:val="14"/>
                <w:szCs w:val="14"/>
                <w:color w:val="auto"/>
              </w:rPr>
              <w:t>Contract liabilities</w:t>
            </w:r>
          </w:p>
        </w:tc>
        <w:tc>
          <w:tcPr>
            <w:tcW w:w="14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11,042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10,226</w:t>
            </w:r>
          </w:p>
        </w:tc>
      </w:tr>
      <w:tr>
        <w:trPr>
          <w:trHeight w:val="18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14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9,379</w:t>
            </w:r>
          </w:p>
        </w:tc>
      </w:tr>
      <w:tr>
        <w:trPr>
          <w:trHeight w:val="180"/>
        </w:trPr>
        <w:tc>
          <w:tcPr>
            <w:tcW w:w="7280" w:type="dxa"/>
            <w:vAlign w:val="bottom"/>
          </w:tcPr>
          <w:p>
            <w:pPr>
              <w:ind w:left="20"/>
              <w:spacing w:after="0"/>
              <w:rPr>
                <w:sz w:val="20"/>
                <w:szCs w:val="20"/>
                <w:color w:val="auto"/>
              </w:rPr>
            </w:pPr>
            <w:r>
              <w:rPr>
                <w:rFonts w:ascii="Arial" w:cs="Arial" w:eastAsia="Arial" w:hAnsi="Arial"/>
                <w:sz w:val="14"/>
                <w:szCs w:val="14"/>
                <w:color w:val="auto"/>
              </w:rPr>
              <w:t>Interest payable</w:t>
            </w:r>
          </w:p>
        </w:tc>
        <w:tc>
          <w:tcPr>
            <w:tcW w:w="14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7,493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costs</w:t>
            </w:r>
          </w:p>
        </w:tc>
        <w:tc>
          <w:tcPr>
            <w:tcW w:w="14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7,020</w:t>
            </w:r>
          </w:p>
        </w:tc>
      </w:tr>
      <w:tr>
        <w:trPr>
          <w:trHeight w:val="180"/>
        </w:trPr>
        <w:tc>
          <w:tcPr>
            <w:tcW w:w="7280" w:type="dxa"/>
            <w:vAlign w:val="bottom"/>
          </w:tcPr>
          <w:p>
            <w:pPr>
              <w:ind w:left="20"/>
              <w:spacing w:after="0"/>
              <w:rPr>
                <w:sz w:val="20"/>
                <w:szCs w:val="20"/>
                <w:color w:val="auto"/>
              </w:rPr>
            </w:pPr>
            <w:r>
              <w:rPr>
                <w:rFonts w:ascii="Arial" w:cs="Arial" w:eastAsia="Arial" w:hAnsi="Arial"/>
                <w:sz w:val="14"/>
                <w:szCs w:val="14"/>
                <w:color w:val="auto"/>
              </w:rPr>
              <w:t>Italian medical device payback law</w:t>
            </w:r>
          </w:p>
        </w:tc>
        <w:tc>
          <w:tcPr>
            <w:tcW w:w="14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7,401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6,414</w:t>
            </w:r>
          </w:p>
        </w:tc>
      </w:tr>
      <w:tr>
        <w:trPr>
          <w:trHeight w:val="181"/>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Royalty accrual</w:t>
            </w:r>
          </w:p>
        </w:tc>
        <w:tc>
          <w:tcPr>
            <w:tcW w:w="14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3,950</w:t>
            </w:r>
          </w:p>
        </w:tc>
      </w:tr>
      <w:tr>
        <w:trPr>
          <w:trHeight w:val="185"/>
        </w:trPr>
        <w:tc>
          <w:tcPr>
            <w:tcW w:w="7280" w:type="dxa"/>
            <w:vAlign w:val="bottom"/>
          </w:tcPr>
          <w:p>
            <w:pPr>
              <w:ind w:left="20"/>
              <w:spacing w:after="0"/>
              <w:rPr>
                <w:sz w:val="20"/>
                <w:szCs w:val="20"/>
                <w:color w:val="auto"/>
              </w:rPr>
            </w:pPr>
            <w:r>
              <w:rPr>
                <w:rFonts w:ascii="Arial" w:cs="Arial" w:eastAsia="Arial" w:hAnsi="Arial"/>
                <w:sz w:val="14"/>
                <w:szCs w:val="14"/>
                <w:color w:val="auto"/>
              </w:rPr>
              <w:t>Provisions for agents, returns and other</w:t>
            </w:r>
          </w:p>
        </w:tc>
        <w:tc>
          <w:tcPr>
            <w:tcW w:w="14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4,432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1,678</w:t>
            </w:r>
          </w:p>
        </w:tc>
      </w:tr>
      <w:tr>
        <w:trPr>
          <w:trHeight w:val="18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derivative liabilities</w:t>
            </w:r>
          </w:p>
        </w:tc>
        <w:tc>
          <w:tcPr>
            <w:tcW w:w="14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5,886</w:t>
            </w:r>
          </w:p>
        </w:tc>
      </w:tr>
      <w:tr>
        <w:trPr>
          <w:trHeight w:val="180"/>
        </w:trPr>
        <w:tc>
          <w:tcPr>
            <w:tcW w:w="7280" w:type="dxa"/>
            <w:vAlign w:val="bottom"/>
          </w:tcPr>
          <w:p>
            <w:pPr>
              <w:ind w:left="20"/>
              <w:spacing w:after="0"/>
              <w:rPr>
                <w:sz w:val="20"/>
                <w:szCs w:val="20"/>
                <w:color w:val="auto"/>
              </w:rPr>
            </w:pPr>
            <w:r>
              <w:rPr>
                <w:rFonts w:ascii="Arial" w:cs="Arial" w:eastAsia="Arial" w:hAnsi="Arial"/>
                <w:sz w:val="14"/>
                <w:szCs w:val="14"/>
                <w:color w:val="auto"/>
              </w:rPr>
              <w:t>Restructuring liabilities</w:t>
            </w:r>
          </w:p>
        </w:tc>
        <w:tc>
          <w:tcPr>
            <w:tcW w:w="14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2,045</w:t>
            </w:r>
          </w:p>
        </w:tc>
      </w:tr>
      <w:tr>
        <w:trPr>
          <w:trHeight w:val="191"/>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accrued expenses</w:t>
            </w:r>
          </w:p>
        </w:tc>
        <w:tc>
          <w:tcPr>
            <w:tcW w:w="14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18,326</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26,230</w:t>
            </w:r>
          </w:p>
        </w:tc>
      </w:tr>
      <w:tr>
        <w:trPr>
          <w:trHeight w:val="171"/>
        </w:trPr>
        <w:tc>
          <w:tcPr>
            <w:tcW w:w="7280" w:type="dxa"/>
            <w:vAlign w:val="bottom"/>
          </w:tcPr>
          <w:p>
            <w:pPr>
              <w:spacing w:after="0"/>
              <w:rPr>
                <w:sz w:val="14"/>
                <w:szCs w:val="14"/>
                <w:color w:val="auto"/>
              </w:rPr>
            </w:pPr>
          </w:p>
        </w:tc>
        <w:tc>
          <w:tcPr>
            <w:tcW w:w="1440" w:type="dxa"/>
            <w:vAlign w:val="bottom"/>
            <w:tcBorders>
              <w:bottom w:val="single" w:sz="8" w:color="auto"/>
            </w:tcBorders>
          </w:tcPr>
          <w:p>
            <w:pPr>
              <w:jc w:val="right"/>
              <w:ind w:right="12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82,038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81,481</w:t>
            </w:r>
          </w:p>
        </w:tc>
      </w:tr>
      <w:tr>
        <w:trPr>
          <w:trHeight w:val="20"/>
        </w:trPr>
        <w:tc>
          <w:tcPr>
            <w:tcW w:w="7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127"/>
        <w:spacing w:after="0" w:line="281" w:lineRule="auto"/>
        <w:rPr>
          <w:sz w:val="20"/>
          <w:szCs w:val="20"/>
          <w:color w:val="auto"/>
        </w:rPr>
      </w:pPr>
      <w:r>
        <w:rPr>
          <w:rFonts w:ascii="Arial" w:cs="Arial" w:eastAsia="Arial" w:hAnsi="Arial"/>
          <w:sz w:val="14"/>
          <w:szCs w:val="14"/>
          <w:color w:val="auto"/>
        </w:rPr>
        <w:t>As of June 30, 2023 and December 31, 2022, contract liabilities totaling $15.6 million and $14.1 million, respectively, were included within accrued liabilities and other long-term liabilities on the condensed consolidated balance sheets.</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table below presents the items included within “Foreign exchange and other income/(expense)” on the condensed consolidated statements of income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09"/>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51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r>
      <w:tr>
        <w:trPr>
          <w:trHeight w:val="182"/>
        </w:trPr>
        <w:tc>
          <w:tcPr>
            <w:tcW w:w="512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Exchangeable Notes fair value adjustment </w:t>
            </w:r>
            <w:r>
              <w:rPr>
                <w:rFonts w:ascii="Arial" w:cs="Arial" w:eastAsia="Arial" w:hAnsi="Arial"/>
                <w:sz w:val="18"/>
                <w:szCs w:val="18"/>
                <w:color w:val="auto"/>
                <w:vertAlign w:val="superscript"/>
              </w:rPr>
              <w:t>(1)</w:t>
            </w:r>
          </w:p>
        </w:tc>
        <w:tc>
          <w:tcPr>
            <w:tcW w:w="920" w:type="dxa"/>
            <w:vAlign w:val="bottom"/>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(12,420)</w:t>
            </w:r>
          </w:p>
        </w:tc>
        <w:tc>
          <w:tcPr>
            <w:tcW w:w="1000" w:type="dxa"/>
            <w:vAlign w:val="bottom"/>
            <w:gridSpan w:val="2"/>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36,570</w:t>
            </w:r>
          </w:p>
        </w:tc>
        <w:tc>
          <w:tcPr>
            <w:tcW w:w="44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31,970</w:t>
            </w:r>
          </w:p>
        </w:tc>
        <w:tc>
          <w:tcPr>
            <w:tcW w:w="44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47,610</w:t>
            </w:r>
          </w:p>
        </w:tc>
      </w:tr>
      <w:tr>
        <w:trPr>
          <w:trHeight w:val="180"/>
        </w:trPr>
        <w:tc>
          <w:tcPr>
            <w:tcW w:w="512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Capped call fair value adjustment </w:t>
            </w:r>
            <w:r>
              <w:rPr>
                <w:rFonts w:ascii="Arial" w:cs="Arial" w:eastAsia="Arial" w:hAnsi="Arial"/>
                <w:sz w:val="18"/>
                <w:szCs w:val="18"/>
                <w:color w:val="auto"/>
                <w:vertAlign w:val="superscript"/>
              </w:rPr>
              <w:t>(1)</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11,020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(35,109)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(12,359)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(45,021)</w:t>
            </w:r>
          </w:p>
        </w:tc>
      </w:tr>
      <w:tr>
        <w:trPr>
          <w:trHeight w:val="180"/>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rate fluctuations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3,132</w:t>
            </w:r>
          </w:p>
        </w:tc>
      </w:tr>
      <w:tr>
        <w:trPr>
          <w:trHeight w:val="185"/>
        </w:trPr>
        <w:tc>
          <w:tcPr>
            <w:tcW w:w="51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5,528</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18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171"/>
        </w:trPr>
        <w:tc>
          <w:tcPr>
            <w:tcW w:w="5120" w:type="dxa"/>
            <w:vAlign w:val="bottom"/>
          </w:tcPr>
          <w:p>
            <w:pPr>
              <w:ind w:left="20"/>
              <w:spacing w:after="0"/>
              <w:rPr>
                <w:sz w:val="20"/>
                <w:szCs w:val="20"/>
                <w:color w:val="auto"/>
              </w:rPr>
            </w:pPr>
            <w:r>
              <w:rPr>
                <w:rFonts w:ascii="Arial" w:cs="Arial" w:eastAsia="Arial" w:hAnsi="Arial"/>
                <w:sz w:val="14"/>
                <w:szCs w:val="14"/>
                <w:color w:val="auto"/>
              </w:rPr>
              <w:t>Foreign exchange and other income/(expense)</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2,713</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28,260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5,537</w:t>
            </w: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Refer to “Note 4. Fair Value Measurements”</w:t>
      </w: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9" w:name="page30"/>
    <w:bookmarkEnd w:id="29"/>
    <w:p>
      <w:pPr>
        <w:ind w:right="360" w:firstLine="127"/>
        <w:spacing w:after="0" w:line="281" w:lineRule="auto"/>
        <w:rPr>
          <w:sz w:val="20"/>
          <w:szCs w:val="20"/>
          <w:color w:val="auto"/>
        </w:rPr>
      </w:pPr>
      <w:r>
        <w:rPr>
          <w:rFonts w:ascii="Arial" w:cs="Arial" w:eastAsia="Arial" w:hAnsi="Arial"/>
          <w:sz w:val="14"/>
          <w:szCs w:val="14"/>
          <w:color w:val="auto"/>
        </w:rPr>
        <w:t>The table below presents a reconciliation of cash, cash equivalents and restricted cash reported on the condensed consolidated balance sheets that sum to the total of the amounts shown on the condensed consolidated statement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December 31, 2022</w:t>
            </w:r>
          </w:p>
        </w:tc>
      </w:tr>
      <w:tr>
        <w:trPr>
          <w:trHeight w:val="177"/>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420" w:type="dxa"/>
            <w:vAlign w:val="bottom"/>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222,935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214,172</w:t>
            </w:r>
          </w:p>
        </w:tc>
      </w:tr>
      <w:tr>
        <w:trPr>
          <w:trHeight w:val="180"/>
        </w:trPr>
        <w:tc>
          <w:tcPr>
            <w:tcW w:w="726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Restricted cash </w:t>
            </w:r>
            <w:r>
              <w:rPr>
                <w:rFonts w:ascii="Arial" w:cs="Arial" w:eastAsia="Arial" w:hAnsi="Arial"/>
                <w:sz w:val="18"/>
                <w:szCs w:val="18"/>
                <w:color w:val="auto"/>
                <w:vertAlign w:val="superscript"/>
              </w:rPr>
              <w:t>(1)</w:t>
            </w:r>
          </w:p>
        </w:tc>
        <w:tc>
          <w:tcPr>
            <w:tcW w:w="1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311,425</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301,446</w:t>
            </w:r>
          </w:p>
        </w:tc>
      </w:tr>
      <w:tr>
        <w:trPr>
          <w:trHeight w:val="202"/>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1420" w:type="dxa"/>
            <w:vAlign w:val="bottom"/>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534,360</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515,618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Restricted cash represents funds held as collateral for the SNIA Litigation Guarantee. Refer to “Note 7. Commitments and Contingencies.”</w:t>
      </w:r>
    </w:p>
    <w:p>
      <w:pPr>
        <w:spacing w:after="0" w:line="200" w:lineRule="exact"/>
        <w:rPr>
          <w:rFonts w:ascii="Arial" w:cs="Arial" w:eastAsia="Arial" w:hAnsi="Arial"/>
          <w:sz w:val="13"/>
          <w:szCs w:val="13"/>
          <w:color w:val="auto"/>
        </w:rPr>
      </w:pPr>
    </w:p>
    <w:p>
      <w:pPr>
        <w:spacing w:after="0" w:line="240" w:lineRule="exact"/>
        <w:rPr>
          <w:rFonts w:ascii="Arial" w:cs="Arial" w:eastAsia="Arial" w:hAnsi="Arial"/>
          <w:sz w:val="13"/>
          <w:szCs w:val="13"/>
          <w:color w:val="auto"/>
        </w:rPr>
      </w:pPr>
    </w:p>
    <w:p>
      <w:pPr>
        <w:ind w:left="5640"/>
        <w:spacing w:after="0"/>
        <w:rPr>
          <w:rFonts w:ascii="Arial" w:cs="Arial" w:eastAsia="Arial" w:hAnsi="Arial"/>
          <w:sz w:val="13"/>
          <w:szCs w:val="13"/>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01" w:lineRule="exact"/>
        <w:rPr>
          <w:sz w:val="20"/>
          <w:szCs w:val="20"/>
          <w:color w:val="auto"/>
        </w:rPr>
      </w:pPr>
    </w:p>
    <w:p>
      <w:pPr>
        <w:ind w:right="100" w:firstLine="127"/>
        <w:spacing w:after="0" w:line="300" w:lineRule="auto"/>
        <w:rPr>
          <w:sz w:val="20"/>
          <w:szCs w:val="20"/>
          <w:color w:val="auto"/>
        </w:rPr>
      </w:pPr>
      <w:r>
        <w:rPr>
          <w:rFonts w:ascii="Arial" w:cs="Arial" w:eastAsia="Arial" w:hAnsi="Arial"/>
          <w:sz w:val="13"/>
          <w:szCs w:val="13"/>
          <w:color w:val="auto"/>
        </w:rPr>
        <w:t>The following discussion and analysis should be read in conjunction with the condensed consolidated financial statements and related notes, which appear elsewhere in this document, and with LivaNova’s 2022 Form 10-K. LivaNova’s discussion and analysis may contain forward-looking statements that involve risks and uncertainties. The Company’s actual results may differ materially from those anticipated in these forward-looking statements as a result of certain factors, including those set forth under “Risk Factors” in Part I, Item 1A. of LivaNova’s 2022 Form 10-K, as updated and supplemented by LivaNova’s Quarterly Reports on Form 10-Q, including in Part II, Item 1A. and elsewhere in this Quarterly Report on Form 10-Q.</w:t>
      </w:r>
    </w:p>
    <w:p>
      <w:pPr>
        <w:spacing w:after="0" w:line="4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capitalized terms used below have been defined in the notes to LivaNova’s condensed consolidated financial statements and the “Definitions” section of this Quarterly Report on Form 10-Q.</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Environment</w:t>
      </w:r>
    </w:p>
    <w:p>
      <w:pPr>
        <w:spacing w:after="0" w:line="100" w:lineRule="exact"/>
        <w:rPr>
          <w:sz w:val="20"/>
          <w:szCs w:val="20"/>
          <w:color w:val="auto"/>
        </w:rPr>
      </w:pPr>
    </w:p>
    <w:p>
      <w:pPr>
        <w:ind w:right="80" w:firstLine="127"/>
        <w:spacing w:after="0" w:line="268" w:lineRule="auto"/>
        <w:rPr>
          <w:sz w:val="20"/>
          <w:szCs w:val="20"/>
          <w:color w:val="auto"/>
        </w:rPr>
      </w:pPr>
      <w:r>
        <w:rPr>
          <w:rFonts w:ascii="Arial" w:cs="Arial" w:eastAsia="Arial" w:hAnsi="Arial"/>
          <w:sz w:val="14"/>
          <w:szCs w:val="14"/>
          <w:color w:val="auto"/>
        </w:rPr>
        <w:t>The current macroeconomic environment, including foreign exchange volatility, supply chain challenges, inflationary pressures, and geopolitical instability, has impacted and may continue to impact LivaNova’s business. LivaNova’s net revenue and profitability have been negatively affected by the unfavorable foreign currency exchange impact of the strengthened USD against a number of currencies. Furthermore, LivaNova continues to experience supply chain delays and interruptions, labor shortages, inflationary pressures and logistical issues. Though, to date, the Company’s supply of raw materials and the production and distribution of finished products have not been materially affected, demand and low capacity worldwide have caused longer lead times and put price pressure on key raw materials. Moreover, freight and labor costs at LivaNova’s manufacturing facilities have increased substantially in the wake of inflation globally. The Company continues to respond to such challenges, and while LivaNova has business continuity plans in place, the impact of the ongoing challenges the Company is navigating, along with their potential escalation, may adversely affect its business.</w:t>
      </w:r>
    </w:p>
    <w:p>
      <w:pPr>
        <w:spacing w:after="0" w:line="57" w:lineRule="exact"/>
        <w:rPr>
          <w:sz w:val="20"/>
          <w:szCs w:val="20"/>
          <w:color w:val="auto"/>
        </w:rPr>
      </w:pPr>
    </w:p>
    <w:p>
      <w:pPr>
        <w:ind w:right="140" w:firstLine="127"/>
        <w:spacing w:after="0" w:line="273" w:lineRule="auto"/>
        <w:rPr>
          <w:sz w:val="20"/>
          <w:szCs w:val="20"/>
          <w:color w:val="auto"/>
        </w:rPr>
      </w:pPr>
      <w:r>
        <w:rPr>
          <w:rFonts w:ascii="Arial" w:cs="Arial" w:eastAsia="Arial" w:hAnsi="Arial"/>
          <w:sz w:val="14"/>
          <w:szCs w:val="14"/>
          <w:color w:val="auto"/>
        </w:rPr>
        <w:t>In February 2022, Russia launched an invasion in Ukraine, which caused the Company to assess its ability to sell in the market due to international sanctions, consider the potential impact of raw material sourced from the region, and determine whether LivaNova is able to transact in a compliant fashion. Although business across Russia, Ukraine and Belarus represented 1% of LivaNova’s total net revenue for 2022, the invasion of Ukraine has increased economic uncertainties, and a significant escalation or continuation of the conflict could have a material, global impact on the Company’s operating results.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89" w:lineRule="exact"/>
        <w:rPr>
          <w:sz w:val="20"/>
          <w:szCs w:val="20"/>
          <w:color w:val="auto"/>
        </w:rPr>
      </w:pPr>
    </w:p>
    <w:p>
      <w:pPr>
        <w:ind w:right="220" w:firstLine="127"/>
        <w:spacing w:after="0" w:line="275" w:lineRule="auto"/>
        <w:rPr>
          <w:sz w:val="20"/>
          <w:szCs w:val="20"/>
          <w:color w:val="auto"/>
        </w:rPr>
      </w:pPr>
      <w:r>
        <w:rPr>
          <w:rFonts w:ascii="Arial" w:cs="Arial" w:eastAsia="Arial" w:hAnsi="Arial"/>
          <w:sz w:val="14"/>
          <w:szCs w:val="14"/>
          <w:color w:val="auto"/>
        </w:rPr>
        <w:t>LivaNova is a global medical technology company built on nearly five decades of experience and a relentless commitment to provide hope for patients and their families through medical technologies, delivering life-changing improvements for both the Head and Heart. The Company is a public limited company organized under the laws of England and Wales and headquartered in London, England.</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LivaNova is comprised of three reportable segments: Cardiopulmonary, Neuromodulation and ACS, corresponding to its primary business units.</w:t>
      </w:r>
    </w:p>
    <w:p>
      <w:pPr>
        <w:spacing w:after="0" w:line="104" w:lineRule="exact"/>
        <w:rPr>
          <w:sz w:val="20"/>
          <w:szCs w:val="20"/>
          <w:color w:val="auto"/>
        </w:rPr>
      </w:pPr>
    </w:p>
    <w:p>
      <w:pPr>
        <w:ind w:right="500" w:firstLine="127"/>
        <w:spacing w:after="0" w:line="281" w:lineRule="auto"/>
        <w:rPr>
          <w:sz w:val="20"/>
          <w:szCs w:val="20"/>
          <w:color w:val="auto"/>
        </w:rPr>
      </w:pPr>
      <w:r>
        <w:rPr>
          <w:rFonts w:ascii="Arial" w:cs="Arial" w:eastAsia="Arial" w:hAnsi="Arial"/>
          <w:sz w:val="14"/>
          <w:szCs w:val="14"/>
          <w:color w:val="auto"/>
        </w:rPr>
        <w:t>For further information regarding LivaNova’s business segments, historical financial information and its methodology for the presentation of financial results, please refer to the condensed consolidated financial statements and accompanying notes of this Quarterly Report on Form 10-Q.</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Cardiopulmonary</w:t>
      </w:r>
    </w:p>
    <w:p>
      <w:pPr>
        <w:spacing w:after="0" w:line="83" w:lineRule="exact"/>
        <w:rPr>
          <w:sz w:val="20"/>
          <w:szCs w:val="20"/>
          <w:color w:val="auto"/>
        </w:rPr>
      </w:pPr>
    </w:p>
    <w:p>
      <w:pPr>
        <w:ind w:right="300" w:firstLine="127"/>
        <w:spacing w:after="0" w:line="297" w:lineRule="auto"/>
        <w:rPr>
          <w:sz w:val="20"/>
          <w:szCs w:val="20"/>
          <w:color w:val="auto"/>
        </w:rPr>
      </w:pPr>
      <w:r>
        <w:rPr>
          <w:rFonts w:ascii="Arial" w:cs="Arial" w:eastAsia="Arial" w:hAnsi="Arial"/>
          <w:sz w:val="14"/>
          <w:szCs w:val="14"/>
          <w:color w:val="auto"/>
        </w:rPr>
        <w:t>LivaNova’s Cardiopulmonary segment is engaged in the development, production and sale of cardiopulmonary products, including heart-lung machines, oxygenators, autotransfusion systems, perfusion tubing systems, cannulae and other related accessories.</w:t>
      </w:r>
    </w:p>
    <w:p>
      <w:pPr>
        <w:spacing w:after="0" w:line="47" w:lineRule="exact"/>
        <w:rPr>
          <w:sz w:val="20"/>
          <w:szCs w:val="20"/>
          <w:color w:val="auto"/>
        </w:rPr>
      </w:pPr>
    </w:p>
    <w:p>
      <w:pPr>
        <w:ind w:firstLine="127"/>
        <w:spacing w:after="0" w:line="305" w:lineRule="auto"/>
        <w:rPr>
          <w:sz w:val="20"/>
          <w:szCs w:val="20"/>
          <w:color w:val="auto"/>
        </w:rPr>
      </w:pPr>
      <w:r>
        <w:rPr>
          <w:rFonts w:ascii="Arial" w:cs="Arial" w:eastAsia="Arial" w:hAnsi="Arial"/>
          <w:sz w:val="13"/>
          <w:szCs w:val="13"/>
          <w:color w:val="auto"/>
        </w:rPr>
        <w:t>In March 2023, LivaNova announced it received FDA 510(k) clearance for its Essenz HLM. With FDA clearance, LivaNova initiated the commercial launch of Essenz in the U.S. The Company has also recently received approval for the Essenz HLM from Health Canada and the Japanese Pharmaceuticals and Medical Devices Agency. Additionally, in March 2023, LivaNova initiated a broad commercial release in Europe following a successful limited commercial release that supported more than 200 adult, pediatric and neonatal patients in Europe.</w:t>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Information on Cardiopulmonary that could potentially impact LivaNova’s condensed consolidated financial statements and related disclosures is incorporated by reference to Part I. Note 7.</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Commitments and Contingencies: Product Liability Litigation.</w:t>
      </w: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4"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Neuromodulation</w:t>
      </w:r>
    </w:p>
    <w:p>
      <w:pPr>
        <w:spacing w:after="0" w:line="83" w:lineRule="exact"/>
        <w:rPr>
          <w:sz w:val="20"/>
          <w:szCs w:val="20"/>
          <w:color w:val="auto"/>
        </w:rPr>
      </w:pPr>
    </w:p>
    <w:p>
      <w:pPr>
        <w:ind w:right="20" w:firstLine="127"/>
        <w:spacing w:after="0" w:line="272" w:lineRule="auto"/>
        <w:rPr>
          <w:sz w:val="20"/>
          <w:szCs w:val="20"/>
          <w:color w:val="auto"/>
        </w:rPr>
      </w:pPr>
      <w:r>
        <w:rPr>
          <w:rFonts w:ascii="Arial" w:cs="Arial" w:eastAsia="Arial" w:hAnsi="Arial"/>
          <w:sz w:val="14"/>
          <w:szCs w:val="14"/>
          <w:color w:val="auto"/>
        </w:rPr>
        <w:t>LivaNova’s Neuromodulation segment is engaged in the design, development and marketing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 This device stimulates the hypoglossal nerve, which engages certain tongue muscles to open the airway while a patient sleeps. LivaNova’s Neuromodulation segment also includes costs associated with LivaNova’s former heart failure program, which the Company began to wind down during the first quarter of 2023.</w:t>
      </w:r>
    </w:p>
    <w:p>
      <w:pPr>
        <w:spacing w:after="0" w:line="64" w:lineRule="exact"/>
        <w:rPr>
          <w:sz w:val="20"/>
          <w:szCs w:val="20"/>
          <w:color w:val="auto"/>
        </w:rPr>
      </w:pPr>
    </w:p>
    <w:p>
      <w:pPr>
        <w:ind w:right="360" w:firstLine="127"/>
        <w:spacing w:after="0" w:line="321" w:lineRule="auto"/>
        <w:rPr>
          <w:sz w:val="20"/>
          <w:szCs w:val="20"/>
          <w:color w:val="auto"/>
        </w:rPr>
      </w:pPr>
      <w:r>
        <w:rPr>
          <w:rFonts w:ascii="Arial" w:cs="Arial" w:eastAsia="Arial" w:hAnsi="Arial"/>
          <w:sz w:val="13"/>
          <w:szCs w:val="13"/>
          <w:color w:val="auto"/>
        </w:rPr>
        <w:t>In March 2023, LivaNova randomized the 500th unipolar depression patient into the RECOVER clinical study and subsequently completed all implants in May. Upon receipt of the 12-month follow-up data for all 500 patients, the Company expects to conduct a final analysis for the unipolar cohort, culminating in a publication of the study results for that cohort.</w:t>
      </w:r>
    </w:p>
    <w:p>
      <w:pPr>
        <w:spacing w:after="0" w:line="35" w:lineRule="exact"/>
        <w:rPr>
          <w:sz w:val="20"/>
          <w:szCs w:val="20"/>
          <w:color w:val="auto"/>
        </w:rPr>
      </w:pPr>
    </w:p>
    <w:p>
      <w:pPr>
        <w:ind w:right="60" w:firstLine="127"/>
        <w:spacing w:after="0" w:line="297" w:lineRule="auto"/>
        <w:rPr>
          <w:sz w:val="20"/>
          <w:szCs w:val="20"/>
          <w:color w:val="auto"/>
        </w:rPr>
      </w:pPr>
      <w:r>
        <w:rPr>
          <w:rFonts w:ascii="Arial" w:cs="Arial" w:eastAsia="Arial" w:hAnsi="Arial"/>
          <w:sz w:val="13"/>
          <w:szCs w:val="13"/>
          <w:color w:val="auto"/>
        </w:rPr>
        <w:t>In June 2023, LivaNova randomized the 150th bipolar depression patient into the RECOVER clinical study. The RECOVER clinical study’s protocol allows for a minimum of 150 and a maximum of 500 bipolar depression patients to be randomized into the study. Having randomized the 150th bipolar patient, a series of interim analyses will be conducted by an independent Statistical Analysis Committee to assess if predictive probability of success has been reached for the bipolar cohort of the study. If any analysis reveals that the predictive probability of success has been reached, recruitment into the bipolar arm of the study will cease and we will notify CMS of the initiation of the prospective open-label longitudinal study for future bipolar Medicare patients. After the last patient enrolled into the RECOVER clinical study has completed 12 months of follow-up, a final analysis will be conducted on the complete bipolar dataset.</w:t>
      </w:r>
    </w:p>
    <w:p>
      <w:pPr>
        <w:spacing w:after="0" w:line="41" w:lineRule="exact"/>
        <w:rPr>
          <w:sz w:val="20"/>
          <w:szCs w:val="20"/>
          <w:color w:val="auto"/>
        </w:rPr>
      </w:pPr>
    </w:p>
    <w:p>
      <w:pPr>
        <w:ind w:right="580" w:firstLine="127"/>
        <w:spacing w:after="0" w:line="297" w:lineRule="auto"/>
        <w:rPr>
          <w:sz w:val="20"/>
          <w:szCs w:val="20"/>
          <w:color w:val="auto"/>
        </w:rPr>
      </w:pPr>
      <w:r>
        <w:rPr>
          <w:rFonts w:ascii="Arial" w:cs="Arial" w:eastAsia="Arial" w:hAnsi="Arial"/>
          <w:sz w:val="14"/>
          <w:szCs w:val="14"/>
          <w:color w:val="auto"/>
        </w:rPr>
        <w:t>The RECOVER clinical study, if successful, will be used to support a peer-reviewed article and reconsideration of reimbursement for VNS therapy by CMS for the treatment of DTD. The reconsideration process will happen independently for the unipolar and bipolar cohorts.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Advanced Circulatory Support</w:t>
      </w:r>
    </w:p>
    <w:p>
      <w:pPr>
        <w:spacing w:after="0" w:line="83" w:lineRule="exact"/>
        <w:rPr>
          <w:sz w:val="20"/>
          <w:szCs w:val="20"/>
          <w:color w:val="auto"/>
        </w:rPr>
      </w:pPr>
    </w:p>
    <w:p>
      <w:pPr>
        <w:ind w:firstLine="127"/>
        <w:spacing w:after="0" w:line="268" w:lineRule="auto"/>
        <w:rPr>
          <w:sz w:val="20"/>
          <w:szCs w:val="20"/>
          <w:color w:val="auto"/>
        </w:rPr>
      </w:pPr>
      <w:r>
        <w:rPr>
          <w:rFonts w:ascii="Arial" w:cs="Arial" w:eastAsia="Arial" w:hAnsi="Arial"/>
          <w:sz w:val="14"/>
          <w:szCs w:val="14"/>
          <w:color w:val="auto"/>
        </w:rPr>
        <w:t>LivaNova’s ACS segment is engaged in the development, production and sale of leading-edge temporary life support products. LivaNova’s ACS products, which comprise the LifeSPARC platform, simplify temporary extracorporeal cardiopulmonary life support solutions for critically ill patients. The LifeSPARC platform includes a common compact console and pump that provides temporary support for emergent rescue patients in a variety of settings. Designed for ease of use, the system offers power and versatility for multi-disciplinary programs to support more patients in more places. The platform is accompanied by four specialized and ready-to-deploy kits, each designed to support diverse cannulation strategies. LivaNova’s ACS segment also includes the Hemolung RAS. The Hemolung RAS is the only FDA-cleared platform designed specifically for low-flow extracorporeal carbon dioxide removal for acute respiratory failure. The Hemolung RAS was acquired in May 2022 as part of the acquisition of ALung.</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8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For a discussion of LivaNova’s critical accounting estimates, see “Management’s Discussion and Analysis of Financial Condition and Results of Operations” included in the 2022 Form 10-K.</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accompanying unaudited condensed consolidated financial statements of LivaNova and its consolidated subsidiaries have been prepared in accordance with U.S. GAAP on an interim basis.</w:t>
      </w: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Results of Operations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20" w:type="dxa"/>
            <w:vAlign w:val="bottom"/>
            <w:gridSpan w:val="2"/>
          </w:tcPr>
          <w:p>
            <w:pPr>
              <w:ind w:left="140"/>
              <w:spacing w:after="0"/>
              <w:rPr>
                <w:sz w:val="20"/>
                <w:szCs w:val="20"/>
                <w:color w:val="auto"/>
              </w:rPr>
            </w:pPr>
            <w:r>
              <w:rPr>
                <w:rFonts w:ascii="Arial" w:cs="Arial" w:eastAsia="Arial" w:hAnsi="Arial"/>
                <w:sz w:val="14"/>
                <w:szCs w:val="14"/>
                <w:color w:val="auto"/>
                <w:w w:val="91"/>
              </w:rPr>
              <w:t>The following table summarizes LivaNova’s condensed consolidated results of operations (in thousands):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2"/>
        </w:trPr>
        <w:tc>
          <w:tcPr>
            <w:tcW w:w="5200" w:type="dxa"/>
            <w:vAlign w:val="bottom"/>
          </w:tcPr>
          <w:p>
            <w:pPr>
              <w:spacing w:after="0"/>
              <w:rPr>
                <w:sz w:val="18"/>
                <w:szCs w:val="18"/>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589"/>
              <w:spacing w:after="0"/>
              <w:rPr>
                <w:sz w:val="20"/>
                <w:szCs w:val="20"/>
                <w:color w:val="auto"/>
              </w:rPr>
            </w:pPr>
            <w:r>
              <w:rPr>
                <w:rFonts w:ascii="Arial" w:cs="Arial" w:eastAsia="Arial" w:hAnsi="Arial"/>
                <w:sz w:val="14"/>
                <w:szCs w:val="14"/>
                <w:b w:val="1"/>
                <w:bCs w:val="1"/>
                <w:color w:val="auto"/>
              </w:rPr>
              <w:t>Six Months Ended June 30,</w:t>
            </w:r>
          </w:p>
        </w:tc>
      </w:tr>
      <w:tr>
        <w:trPr>
          <w:trHeight w:val="178"/>
        </w:trPr>
        <w:tc>
          <w:tcPr>
            <w:tcW w:w="5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Arial" w:cs="Arial" w:eastAsia="Arial" w:hAnsi="Arial"/>
                <w:sz w:val="14"/>
                <w:szCs w:val="14"/>
                <w:b w:val="1"/>
                <w:bCs w:val="1"/>
                <w:color w:val="auto"/>
              </w:rPr>
              <w:t>2022</w:t>
            </w:r>
          </w:p>
        </w:tc>
      </w:tr>
      <w:tr>
        <w:trPr>
          <w:trHeight w:val="17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293,882</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254,151</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557,300</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494,326</w:t>
            </w:r>
          </w:p>
        </w:tc>
      </w:tr>
      <w:tr>
        <w:trPr>
          <w:trHeight w:val="180"/>
        </w:trPr>
        <w:tc>
          <w:tcPr>
            <w:tcW w:w="52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88,685</w:t>
            </w: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69,801</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178,020</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141,533</w:t>
            </w:r>
          </w:p>
        </w:tc>
      </w:tr>
      <w:tr>
        <w:trPr>
          <w:trHeight w:val="182"/>
        </w:trPr>
        <w:tc>
          <w:tcPr>
            <w:tcW w:w="5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Gross profit</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205,197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184,350</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379,280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352,793</w:t>
            </w:r>
          </w:p>
        </w:tc>
      </w:tr>
      <w:tr>
        <w:trPr>
          <w:trHeight w:val="180"/>
        </w:trPr>
        <w:tc>
          <w:tcPr>
            <w:tcW w:w="52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Selling, general and administrative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125,872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116,482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235,007</w:t>
            </w:r>
          </w:p>
        </w:tc>
      </w:tr>
      <w:tr>
        <w:trPr>
          <w:trHeight w:val="185"/>
        </w:trPr>
        <w:tc>
          <w:tcPr>
            <w:tcW w:w="5200" w:type="dxa"/>
            <w:vAlign w:val="bottom"/>
          </w:tcPr>
          <w:p>
            <w:pPr>
              <w:ind w:left="120"/>
              <w:spacing w:after="0"/>
              <w:rPr>
                <w:sz w:val="20"/>
                <w:szCs w:val="20"/>
                <w:color w:val="auto"/>
              </w:rPr>
            </w:pPr>
            <w:r>
              <w:rPr>
                <w:rFonts w:ascii="Arial" w:cs="Arial" w:eastAsia="Arial" w:hAnsi="Arial"/>
                <w:sz w:val="14"/>
                <w:szCs w:val="14"/>
                <w:color w:val="auto"/>
              </w:rPr>
              <w:t>Research and development</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51,124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34,229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101,110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75,147</w:t>
            </w:r>
          </w:p>
        </w:tc>
      </w:tr>
      <w:tr>
        <w:trPr>
          <w:trHeight w:val="186"/>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operating expense</w:t>
            </w:r>
          </w:p>
        </w:tc>
        <w:tc>
          <w:tcPr>
            <w:tcW w:w="9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10,825</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1,378</w:t>
            </w:r>
          </w:p>
        </w:tc>
      </w:tr>
      <w:tr>
        <w:trPr>
          <w:trHeight w:val="171"/>
        </w:trPr>
        <w:tc>
          <w:tcPr>
            <w:tcW w:w="5200" w:type="dxa"/>
            <w:vAlign w:val="bottom"/>
          </w:tcPr>
          <w:p>
            <w:pPr>
              <w:ind w:left="180"/>
              <w:spacing w:after="0"/>
              <w:rPr>
                <w:sz w:val="20"/>
                <w:szCs w:val="20"/>
                <w:color w:val="auto"/>
              </w:rPr>
            </w:pPr>
            <w:r>
              <w:rPr>
                <w:rFonts w:ascii="Arial" w:cs="Arial" w:eastAsia="Arial" w:hAnsi="Arial"/>
                <w:sz w:val="14"/>
                <w:szCs w:val="14"/>
                <w:color w:val="auto"/>
              </w:rPr>
              <w:t>Operating income</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17,376</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31,756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15,034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41,261</w:t>
            </w:r>
          </w:p>
        </w:tc>
      </w:tr>
      <w:tr>
        <w:trPr>
          <w:trHeight w:val="191"/>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(14,809)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(14,388)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(28,246)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(22,228)</w:t>
            </w:r>
          </w:p>
        </w:tc>
      </w:tr>
      <w:tr>
        <w:trPr>
          <w:trHeight w:val="18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exchange and other income/(expense)</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2,713</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28,260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5,537</w:t>
            </w:r>
          </w:p>
        </w:tc>
      </w:tr>
      <w:tr>
        <w:trPr>
          <w:trHeight w:val="171"/>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before tax</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24,570</w:t>
            </w:r>
          </w:p>
        </w:tc>
      </w:tr>
      <w:tr>
        <w:trPr>
          <w:trHeight w:val="185"/>
        </w:trPr>
        <w:tc>
          <w:tcPr>
            <w:tcW w:w="52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4,097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5,052</w:t>
            </w: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Losses from equity method investments</w:t>
            </w:r>
          </w:p>
        </w:tc>
        <w:tc>
          <w:tcPr>
            <w:tcW w:w="9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71"/>
        </w:trPr>
        <w:tc>
          <w:tcPr>
            <w:tcW w:w="52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16,444</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19,437</w:t>
            </w:r>
          </w:p>
        </w:tc>
      </w:tr>
      <w:tr>
        <w:trPr>
          <w:trHeight w:val="20"/>
        </w:trPr>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50"/>
        </w:trPr>
        <w:tc>
          <w:tcPr>
            <w:tcW w:w="5200" w:type="dxa"/>
            <w:vAlign w:val="bottom"/>
          </w:tcPr>
          <w:p>
            <w:pPr>
              <w:spacing w:after="0"/>
              <w:rPr>
                <w:sz w:val="24"/>
                <w:szCs w:val="24"/>
                <w:color w:val="auto"/>
              </w:rPr>
            </w:pPr>
          </w:p>
        </w:tc>
        <w:tc>
          <w:tcPr>
            <w:tcW w:w="920" w:type="dxa"/>
            <w:vAlign w:val="bottom"/>
          </w:tcPr>
          <w:p>
            <w:pPr>
              <w:jc w:val="right"/>
              <w:ind w:right="269"/>
              <w:spacing w:after="0"/>
              <w:rPr>
                <w:sz w:val="20"/>
                <w:szCs w:val="20"/>
                <w:color w:val="auto"/>
              </w:rPr>
            </w:pPr>
            <w:r>
              <w:rPr>
                <w:rFonts w:ascii="Arial" w:cs="Arial" w:eastAsia="Arial" w:hAnsi="Arial"/>
                <w:sz w:val="14"/>
                <w:szCs w:val="14"/>
                <w:color w:val="auto"/>
              </w:rPr>
              <w:t>33</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2"/>
        </w:trPr>
        <w:tc>
          <w:tcPr>
            <w:tcW w:w="52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Net Revenue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00" w:type="dxa"/>
            <w:vAlign w:val="bottom"/>
            <w:gridSpan w:val="9"/>
          </w:tcPr>
          <w:p>
            <w:pPr>
              <w:jc w:val="right"/>
              <w:ind w:right="330"/>
              <w:spacing w:after="0"/>
              <w:rPr>
                <w:sz w:val="20"/>
                <w:szCs w:val="20"/>
                <w:color w:val="auto"/>
              </w:rPr>
            </w:pPr>
            <w:r>
              <w:rPr>
                <w:rFonts w:ascii="Arial" w:cs="Arial" w:eastAsia="Arial" w:hAnsi="Arial"/>
                <w:sz w:val="14"/>
                <w:szCs w:val="14"/>
                <w:color w:val="auto"/>
                <w:w w:val="91"/>
              </w:rPr>
              <w:t>The table below presents net revenue by operating segment and geographic region (in thousands, except for percentages):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2"/>
        </w:trPr>
        <w:tc>
          <w:tcPr>
            <w:tcW w:w="3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Three Months Ended June 30,</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93"/>
              </w:rPr>
              <w:t>Six Months Ended June 30,</w:t>
            </w:r>
          </w:p>
        </w:tc>
        <w:tc>
          <w:tcPr>
            <w:tcW w:w="1000" w:type="dxa"/>
            <w:vAlign w:val="bottom"/>
            <w:tcBorders>
              <w:bottom w:val="single" w:sz="8" w:color="auto"/>
            </w:tcBorders>
          </w:tcPr>
          <w:p>
            <w:pPr>
              <w:spacing w:after="0"/>
              <w:rPr>
                <w:sz w:val="18"/>
                <w:szCs w:val="18"/>
                <w:color w:val="auto"/>
              </w:rPr>
            </w:pPr>
          </w:p>
        </w:tc>
      </w:tr>
      <w:tr>
        <w:trPr>
          <w:trHeight w:val="177"/>
        </w:trPr>
        <w:tc>
          <w:tcPr>
            <w:tcW w:w="3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w w:val="95"/>
              </w:rPr>
              <w:t>% Change</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 Change</w:t>
            </w:r>
          </w:p>
        </w:tc>
      </w:tr>
      <w:tr>
        <w:trPr>
          <w:trHeight w:val="165"/>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Cardiopulmonary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1"/>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United States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46,711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37,865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23.4 %</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82,825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75,961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r>
      <w:tr>
        <w:trPr>
          <w:trHeight w:val="180"/>
        </w:trPr>
        <w:tc>
          <w:tcPr>
            <w:tcW w:w="3620" w:type="dxa"/>
            <w:vAlign w:val="bottom"/>
          </w:tcPr>
          <w:p>
            <w:pPr>
              <w:ind w:left="180"/>
              <w:spacing w:after="0" w:line="181" w:lineRule="exact"/>
              <w:rPr>
                <w:sz w:val="20"/>
                <w:szCs w:val="20"/>
                <w:color w:val="auto"/>
              </w:rPr>
            </w:pPr>
            <w:r>
              <w:rPr>
                <w:rFonts w:ascii="Arial" w:cs="Arial" w:eastAsia="Arial" w:hAnsi="Arial"/>
                <w:sz w:val="14"/>
                <w:szCs w:val="14"/>
                <w:color w:val="auto"/>
              </w:rPr>
              <w:t xml:space="preserve">Europe </w:t>
            </w:r>
            <w:r>
              <w:rPr>
                <w:rFonts w:ascii="Arial" w:cs="Arial" w:eastAsia="Arial" w:hAnsi="Arial"/>
                <w:sz w:val="18"/>
                <w:szCs w:val="18"/>
                <w:color w:val="auto"/>
                <w:vertAlign w:val="superscript"/>
              </w:rPr>
              <w:t>(1)</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39,169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33,159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75,452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65,226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15.7 %</w:t>
            </w:r>
          </w:p>
        </w:tc>
      </w:tr>
      <w:tr>
        <w:trPr>
          <w:trHeight w:val="18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Rest of World</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64,723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54,796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18.1 %</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124,398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101,708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22.3 %</w:t>
            </w:r>
          </w:p>
        </w:tc>
      </w:tr>
      <w:tr>
        <w:trPr>
          <w:trHeight w:val="181"/>
        </w:trPr>
        <w:tc>
          <w:tcPr>
            <w:tcW w:w="36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150,603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125,820</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19.7 %</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282,675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242,895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16.4 %</w:t>
            </w:r>
          </w:p>
        </w:tc>
      </w:tr>
      <w:tr>
        <w:trPr>
          <w:trHeight w:val="171"/>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Neuromodulation</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0"/>
        </w:trPr>
        <w:tc>
          <w:tcPr>
            <w:tcW w:w="362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104,065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91,431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198,554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178,641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11.1 %</w:t>
            </w:r>
          </w:p>
        </w:tc>
      </w:tr>
      <w:tr>
        <w:trPr>
          <w:trHeight w:val="181"/>
        </w:trPr>
        <w:tc>
          <w:tcPr>
            <w:tcW w:w="362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Europe </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26,166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8.6 %</w:t>
            </w:r>
          </w:p>
        </w:tc>
      </w:tr>
      <w:tr>
        <w:trPr>
          <w:trHeight w:val="191"/>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Rest of World</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13,991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10.6 %</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26,945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23,215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16.1 %</w:t>
            </w:r>
          </w:p>
        </w:tc>
      </w:tr>
      <w:tr>
        <w:trPr>
          <w:trHeight w:val="171"/>
        </w:trPr>
        <w:tc>
          <w:tcPr>
            <w:tcW w:w="36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133,181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117,795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13.1 %</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253,904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228,022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11.4 %</w:t>
            </w:r>
          </w:p>
        </w:tc>
      </w:tr>
      <w:tr>
        <w:trPr>
          <w:trHeight w:val="167"/>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Advanced Circulatory Support</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4"/>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United States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0"/>
        </w:trPr>
        <w:tc>
          <w:tcPr>
            <w:tcW w:w="3620" w:type="dxa"/>
            <w:vAlign w:val="bottom"/>
          </w:tcPr>
          <w:p>
            <w:pPr>
              <w:ind w:left="180"/>
              <w:spacing w:after="0" w:line="181" w:lineRule="exact"/>
              <w:rPr>
                <w:sz w:val="20"/>
                <w:szCs w:val="20"/>
                <w:color w:val="auto"/>
              </w:rPr>
            </w:pPr>
            <w:r>
              <w:rPr>
                <w:rFonts w:ascii="Arial" w:cs="Arial" w:eastAsia="Arial" w:hAnsi="Arial"/>
                <w:sz w:val="14"/>
                <w:szCs w:val="14"/>
                <w:color w:val="auto"/>
              </w:rPr>
              <w:t xml:space="preserve">Europe </w:t>
            </w:r>
            <w:r>
              <w:rPr>
                <w:rFonts w:ascii="Arial" w:cs="Arial" w:eastAsia="Arial" w:hAnsi="Arial"/>
                <w:sz w:val="18"/>
                <w:szCs w:val="18"/>
                <w:color w:val="auto"/>
                <w:vertAlign w:val="superscript"/>
              </w:rPr>
              <w:t>(1)</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(77.8)%</w:t>
            </w:r>
          </w:p>
        </w:tc>
      </w:tr>
      <w:tr>
        <w:trPr>
          <w:trHeight w:val="191"/>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 of World</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171"/>
        </w:trPr>
        <w:tc>
          <w:tcPr>
            <w:tcW w:w="3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9,417</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0.7 %</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19,259</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21,035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71"/>
        </w:trPr>
        <w:tc>
          <w:tcPr>
            <w:tcW w:w="3620" w:type="dxa"/>
            <w:vAlign w:val="bottom"/>
            <w:shd w:val="clear" w:color="auto" w:fill="CCEEFF"/>
          </w:tcPr>
          <w:p>
            <w:pPr>
              <w:ind w:left="20"/>
              <w:spacing w:after="0" w:line="171" w:lineRule="exact"/>
              <w:rPr>
                <w:sz w:val="20"/>
                <w:szCs w:val="20"/>
                <w:color w:val="auto"/>
              </w:rPr>
            </w:pPr>
            <w:r>
              <w:rPr>
                <w:rFonts w:ascii="Arial" w:cs="Arial" w:eastAsia="Arial" w:hAnsi="Arial"/>
                <w:sz w:val="14"/>
                <w:szCs w:val="14"/>
                <w:b w:val="1"/>
                <w:bCs w:val="1"/>
                <w:color w:val="auto"/>
              </w:rPr>
              <w:t xml:space="preserve">Other Revenue </w:t>
            </w:r>
            <w:r>
              <w:rPr>
                <w:rFonts w:ascii="Arial" w:cs="Arial" w:eastAsia="Arial" w:hAnsi="Arial"/>
                <w:sz w:val="18"/>
                <w:szCs w:val="18"/>
                <w:b w:val="1"/>
                <w:bCs w:val="1"/>
                <w:color w:val="auto"/>
                <w:vertAlign w:val="superscript"/>
              </w:rPr>
              <w:t>(2)</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0"/>
        </w:trPr>
        <w:tc>
          <w:tcPr>
            <w:tcW w:w="362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91"/>
        </w:trPr>
        <w:tc>
          <w:tcPr>
            <w:tcW w:w="3620" w:type="dxa"/>
            <w:vAlign w:val="bottom"/>
            <w:shd w:val="clear" w:color="auto" w:fill="CCEEFF"/>
          </w:tcPr>
          <w:p>
            <w:pPr>
              <w:ind w:left="180"/>
              <w:spacing w:after="0" w:line="191" w:lineRule="exact"/>
              <w:rPr>
                <w:sz w:val="20"/>
                <w:szCs w:val="20"/>
                <w:color w:val="auto"/>
              </w:rPr>
            </w:pPr>
            <w:r>
              <w:rPr>
                <w:rFonts w:ascii="Arial" w:cs="Arial" w:eastAsia="Arial" w:hAnsi="Arial"/>
                <w:sz w:val="14"/>
                <w:szCs w:val="14"/>
                <w:color w:val="auto"/>
              </w:rPr>
              <w:t xml:space="preserve">Europe </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Rest of World</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(42.5)%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(38.4)%</w:t>
            </w:r>
          </w:p>
        </w:tc>
      </w:tr>
      <w:tr>
        <w:trPr>
          <w:trHeight w:val="171"/>
        </w:trPr>
        <w:tc>
          <w:tcPr>
            <w:tcW w:w="36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w:t>
            </w:r>
          </w:p>
        </w:tc>
      </w:tr>
      <w:tr>
        <w:trPr>
          <w:trHeight w:val="171"/>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Totals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0"/>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United States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159,973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138,086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300,240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274,355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9.4 %</w:t>
            </w:r>
          </w:p>
        </w:tc>
      </w:tr>
      <w:tr>
        <w:trPr>
          <w:trHeight w:val="191"/>
        </w:trPr>
        <w:tc>
          <w:tcPr>
            <w:tcW w:w="3620" w:type="dxa"/>
            <w:vAlign w:val="bottom"/>
          </w:tcPr>
          <w:p>
            <w:pPr>
              <w:ind w:left="180"/>
              <w:spacing w:after="0" w:line="191" w:lineRule="exact"/>
              <w:rPr>
                <w:sz w:val="20"/>
                <w:szCs w:val="20"/>
                <w:color w:val="auto"/>
              </w:rPr>
            </w:pPr>
            <w:r>
              <w:rPr>
                <w:rFonts w:ascii="Arial" w:cs="Arial" w:eastAsia="Arial" w:hAnsi="Arial"/>
                <w:sz w:val="14"/>
                <w:szCs w:val="14"/>
                <w:color w:val="auto"/>
              </w:rPr>
              <w:t xml:space="preserve">Europe </w:t>
            </w:r>
            <w:r>
              <w:rPr>
                <w:rFonts w:ascii="Arial" w:cs="Arial" w:eastAsia="Arial" w:hAnsi="Arial"/>
                <w:sz w:val="18"/>
                <w:szCs w:val="18"/>
                <w:color w:val="auto"/>
                <w:vertAlign w:val="superscript"/>
              </w:rPr>
              <w:t>(1)</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54,459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47,372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104,102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92,498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12.5 %</w:t>
            </w:r>
          </w:p>
        </w:tc>
      </w:tr>
      <w:tr>
        <w:trPr>
          <w:trHeight w:val="18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Rest of World</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79,450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68,693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15.7 %</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152,958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127,473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20.0 %</w:t>
            </w:r>
          </w:p>
        </w:tc>
      </w:tr>
      <w:tr>
        <w:trPr>
          <w:trHeight w:val="171"/>
        </w:trPr>
        <w:tc>
          <w:tcPr>
            <w:tcW w:w="3620" w:type="dxa"/>
            <w:vAlign w:val="bottom"/>
          </w:tcPr>
          <w:p>
            <w:pPr>
              <w:ind w:left="36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293,882</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254,151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15.6 %</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557,300</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494,326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12.7 %</w:t>
            </w:r>
          </w:p>
        </w:tc>
      </w:tr>
      <w:tr>
        <w:trPr>
          <w:trHeight w:val="20"/>
        </w:trPr>
        <w:tc>
          <w:tcPr>
            <w:tcW w:w="3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52"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countries in Europe where the Company has a direct sales presence. Countries where sales are made through distributors are included in “Rest of World.”</w:t>
      </w:r>
    </w:p>
    <w:p>
      <w:pPr>
        <w:spacing w:after="0" w:line="94" w:lineRule="exact"/>
        <w:rPr>
          <w:rFonts w:ascii="Arial" w:cs="Arial" w:eastAsia="Arial" w:hAnsi="Arial"/>
          <w:sz w:val="13"/>
          <w:szCs w:val="13"/>
          <w:color w:val="auto"/>
        </w:rPr>
      </w:pPr>
    </w:p>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Other revenue primarily includes rental income not allocated to segments.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34" w:name="page35"/>
    <w:bookmarkEnd w:id="34"/>
    <w:p>
      <w:pPr>
        <w:ind w:left="140"/>
        <w:spacing w:after="0"/>
        <w:rPr>
          <w:sz w:val="20"/>
          <w:szCs w:val="20"/>
          <w:color w:val="auto"/>
        </w:rPr>
      </w:pPr>
      <w:r>
        <w:rPr>
          <w:rFonts w:ascii="Arial" w:cs="Arial" w:eastAsia="Arial" w:hAnsi="Arial"/>
          <w:sz w:val="14"/>
          <w:szCs w:val="14"/>
          <w:color w:val="auto"/>
        </w:rPr>
        <w:t>The table below presents segment income (in thousands, except for percentages):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w w:val="96"/>
              </w:rPr>
              <w:t>Three Months Ended June 30,</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9"/>
              </w:rPr>
              <w:t>Six Months Ended June 30,</w:t>
            </w:r>
          </w:p>
        </w:tc>
        <w:tc>
          <w:tcPr>
            <w:tcW w:w="1160" w:type="dxa"/>
            <w:vAlign w:val="bottom"/>
            <w:tcBorders>
              <w:bottom w:val="single" w:sz="8" w:color="auto"/>
            </w:tcBorders>
          </w:tcPr>
          <w:p>
            <w:pPr>
              <w:spacing w:after="0"/>
              <w:rPr>
                <w:sz w:val="16"/>
                <w:szCs w:val="16"/>
                <w:color w:val="auto"/>
              </w:rPr>
            </w:pPr>
          </w:p>
        </w:tc>
      </w:tr>
      <w:tr>
        <w:trPr>
          <w:trHeight w:val="171"/>
        </w:trPr>
        <w:tc>
          <w:tcPr>
            <w:tcW w:w="25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 Change</w:t>
            </w:r>
          </w:p>
        </w:tc>
      </w:tr>
      <w:tr>
        <w:trPr>
          <w:trHeight w:val="182"/>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Cardiopulmonary</w:t>
            </w:r>
          </w:p>
        </w:tc>
        <w:tc>
          <w:tcPr>
            <w:tcW w:w="86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11,381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212.3 %</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center"/>
              <w:ind w:left="489"/>
              <w:spacing w:after="0"/>
              <w:rPr>
                <w:sz w:val="20"/>
                <w:szCs w:val="20"/>
                <w:color w:val="auto"/>
              </w:rPr>
            </w:pPr>
            <w:r>
              <w:rPr>
                <w:rFonts w:ascii="Arial" w:cs="Arial" w:eastAsia="Arial" w:hAnsi="Arial"/>
                <w:sz w:val="14"/>
                <w:szCs w:val="14"/>
                <w:color w:val="auto"/>
                <w:w w:val="88"/>
              </w:rPr>
              <w:t>18,965</w:t>
            </w: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4"/>
                <w:szCs w:val="14"/>
                <w:color w:val="auto"/>
                <w:w w:val="97"/>
              </w:rPr>
              <w:t>10,539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80.0 %</w:t>
            </w:r>
          </w:p>
        </w:tc>
      </w:tr>
      <w:tr>
        <w:trPr>
          <w:trHeight w:val="180"/>
        </w:trPr>
        <w:tc>
          <w:tcPr>
            <w:tcW w:w="2580" w:type="dxa"/>
            <w:vAlign w:val="bottom"/>
          </w:tcPr>
          <w:p>
            <w:pPr>
              <w:ind w:left="20"/>
              <w:spacing w:after="0"/>
              <w:rPr>
                <w:sz w:val="20"/>
                <w:szCs w:val="20"/>
                <w:color w:val="auto"/>
              </w:rPr>
            </w:pPr>
            <w:r>
              <w:rPr>
                <w:rFonts w:ascii="Arial" w:cs="Arial" w:eastAsia="Arial" w:hAnsi="Arial"/>
                <w:sz w:val="14"/>
                <w:szCs w:val="14"/>
                <w:color w:val="auto"/>
              </w:rPr>
              <w:t>Neuromodulation</w:t>
            </w:r>
          </w:p>
        </w:tc>
        <w:tc>
          <w:tcPr>
            <w:tcW w:w="86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4"/>
                <w:szCs w:val="14"/>
                <w:color w:val="auto"/>
              </w:rPr>
              <w:t>38,148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51,360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ind w:left="489"/>
              <w:spacing w:after="0"/>
              <w:rPr>
                <w:sz w:val="20"/>
                <w:szCs w:val="20"/>
                <w:color w:val="auto"/>
              </w:rPr>
            </w:pPr>
            <w:r>
              <w:rPr>
                <w:rFonts w:ascii="Arial" w:cs="Arial" w:eastAsia="Arial" w:hAnsi="Arial"/>
                <w:sz w:val="14"/>
                <w:szCs w:val="14"/>
                <w:color w:val="auto"/>
                <w:w w:val="88"/>
              </w:rPr>
              <w:t>65,154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ind w:left="580"/>
              <w:spacing w:after="0"/>
              <w:rPr>
                <w:sz w:val="20"/>
                <w:szCs w:val="20"/>
                <w:color w:val="auto"/>
              </w:rPr>
            </w:pPr>
            <w:r>
              <w:rPr>
                <w:rFonts w:ascii="Arial" w:cs="Arial" w:eastAsia="Arial" w:hAnsi="Arial"/>
                <w:sz w:val="14"/>
                <w:szCs w:val="14"/>
                <w:color w:val="auto"/>
                <w:w w:val="97"/>
              </w:rPr>
              <w:t>88,838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18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Advanced Circulatory Support</w:t>
            </w: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94"/>
              </w:rPr>
              <w:t>(4,750)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center"/>
              <w:ind w:left="469"/>
              <w:spacing w:after="0"/>
              <w:rPr>
                <w:sz w:val="20"/>
                <w:szCs w:val="20"/>
                <w:color w:val="auto"/>
              </w:rPr>
            </w:pPr>
            <w:r>
              <w:rPr>
                <w:rFonts w:ascii="Arial" w:cs="Arial" w:eastAsia="Arial" w:hAnsi="Arial"/>
                <w:sz w:val="14"/>
                <w:szCs w:val="14"/>
                <w:color w:val="auto"/>
                <w:w w:val="91"/>
              </w:rPr>
              <w:t>(11,199)</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w w:val="90"/>
              </w:rPr>
              <w:t>(1,953)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473.4 %</w:t>
            </w:r>
          </w:p>
        </w:tc>
      </w:tr>
      <w:tr>
        <w:trPr>
          <w:trHeight w:val="182"/>
        </w:trPr>
        <w:tc>
          <w:tcPr>
            <w:tcW w:w="2580" w:type="dxa"/>
            <w:vAlign w:val="bottom"/>
          </w:tcPr>
          <w:p>
            <w:pPr>
              <w:ind w:left="20"/>
              <w:spacing w:after="0" w:line="182" w:lineRule="exact"/>
              <w:rPr>
                <w:sz w:val="20"/>
                <w:szCs w:val="20"/>
                <w:color w:val="auto"/>
              </w:rPr>
            </w:pPr>
            <w:r>
              <w:rPr>
                <w:rFonts w:ascii="Arial" w:cs="Arial" w:eastAsia="Arial" w:hAnsi="Arial"/>
                <w:sz w:val="14"/>
                <w:szCs w:val="14"/>
                <w:color w:val="auto"/>
              </w:rPr>
              <w:t xml:space="preserve">Segment income </w:t>
            </w:r>
            <w:r>
              <w:rPr>
                <w:rFonts w:ascii="Arial" w:cs="Arial" w:eastAsia="Arial" w:hAnsi="Arial"/>
                <w:sz w:val="18"/>
                <w:szCs w:val="18"/>
                <w:color w:val="auto"/>
                <w:vertAlign w:val="superscript"/>
              </w:rPr>
              <w:t>(1)</w:t>
            </w:r>
          </w:p>
        </w:tc>
        <w:tc>
          <w:tcPr>
            <w:tcW w:w="860" w:type="dxa"/>
            <w:vAlign w:val="bottom"/>
          </w:tcPr>
          <w:p>
            <w:pPr>
              <w:jc w:val="right"/>
              <w:ind w:right="709"/>
              <w:spacing w:after="0"/>
              <w:rPr>
                <w:sz w:val="20"/>
                <w:szCs w:val="20"/>
                <w:color w:val="auto"/>
              </w:rPr>
            </w:pPr>
            <w:r>
              <w:rPr>
                <w:rFonts w:ascii="Arial" w:cs="Arial" w:eastAsia="Arial" w:hAnsi="Arial"/>
                <w:sz w:val="14"/>
                <w:szCs w:val="14"/>
                <w:color w:val="auto"/>
                <w:w w:val="76"/>
              </w:rPr>
              <w:t>$</w:t>
            </w:r>
          </w:p>
        </w:tc>
        <w:tc>
          <w:tcPr>
            <w:tcW w:w="500" w:type="dxa"/>
            <w:vAlign w:val="bottom"/>
          </w:tcPr>
          <w:p>
            <w:pPr>
              <w:ind w:left="40"/>
              <w:spacing w:after="0"/>
              <w:rPr>
                <w:sz w:val="20"/>
                <w:szCs w:val="20"/>
                <w:color w:val="auto"/>
              </w:rPr>
            </w:pPr>
            <w:r>
              <w:rPr>
                <w:rFonts w:ascii="Arial" w:cs="Arial" w:eastAsia="Arial" w:hAnsi="Arial"/>
                <w:sz w:val="14"/>
                <w:szCs w:val="14"/>
                <w:color w:val="auto"/>
              </w:rPr>
              <w:t>44,779</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58,489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(23.4)%</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left="489"/>
              <w:spacing w:after="0"/>
              <w:rPr>
                <w:sz w:val="20"/>
                <w:szCs w:val="20"/>
                <w:color w:val="auto"/>
              </w:rPr>
            </w:pPr>
            <w:r>
              <w:rPr>
                <w:rFonts w:ascii="Arial" w:cs="Arial" w:eastAsia="Arial" w:hAnsi="Arial"/>
                <w:sz w:val="14"/>
                <w:szCs w:val="14"/>
                <w:color w:val="auto"/>
                <w:w w:val="88"/>
              </w:rPr>
              <w:t>72,920</w:t>
            </w:r>
          </w:p>
        </w:tc>
        <w:tc>
          <w:tcPr>
            <w:tcW w:w="4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ind w:left="580"/>
              <w:spacing w:after="0"/>
              <w:rPr>
                <w:sz w:val="20"/>
                <w:szCs w:val="20"/>
                <w:color w:val="auto"/>
              </w:rPr>
            </w:pPr>
            <w:r>
              <w:rPr>
                <w:rFonts w:ascii="Arial" w:cs="Arial" w:eastAsia="Arial" w:hAnsi="Arial"/>
                <w:sz w:val="14"/>
                <w:szCs w:val="14"/>
                <w:color w:val="auto"/>
                <w:w w:val="97"/>
              </w:rPr>
              <w:t>97,424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(25.2)%</w:t>
            </w:r>
          </w:p>
        </w:tc>
      </w:tr>
      <w:tr>
        <w:trPr>
          <w:trHeight w:val="20"/>
        </w:trPr>
        <w:tc>
          <w:tcPr>
            <w:tcW w:w="2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2" w:lineRule="exact"/>
        <w:rPr>
          <w:sz w:val="20"/>
          <w:szCs w:val="20"/>
          <w:color w:val="auto"/>
        </w:rPr>
      </w:pPr>
    </w:p>
    <w:p>
      <w:pPr>
        <w:ind w:left="520" w:right="420" w:hanging="260"/>
        <w:spacing w:after="0" w:line="274" w:lineRule="auto"/>
        <w:tabs>
          <w:tab w:leader="none" w:pos="5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For a reconciliation of segment income to income before tax refer to “Note 12. Geographic and Segment Information” in the condensed consolidated financial statements in this Quarterly Report on Form 10-Q.</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Cardiopulmonary</w:t>
      </w:r>
    </w:p>
    <w:p>
      <w:pPr>
        <w:spacing w:after="0" w:line="94" w:lineRule="exact"/>
        <w:rPr>
          <w:sz w:val="20"/>
          <w:szCs w:val="20"/>
          <w:color w:val="auto"/>
        </w:rPr>
      </w:pPr>
    </w:p>
    <w:p>
      <w:pPr>
        <w:ind w:right="80" w:firstLine="127"/>
        <w:spacing w:after="0" w:line="281" w:lineRule="auto"/>
        <w:rPr>
          <w:sz w:val="20"/>
          <w:szCs w:val="20"/>
          <w:color w:val="auto"/>
        </w:rPr>
      </w:pPr>
      <w:r>
        <w:rPr>
          <w:rFonts w:ascii="Arial" w:cs="Arial" w:eastAsia="Arial" w:hAnsi="Arial"/>
          <w:sz w:val="14"/>
          <w:szCs w:val="14"/>
          <w:color w:val="auto"/>
        </w:rPr>
        <w:t>Cardiopulmonary net revenue for the three and six months ended June 30, 2023 increased 19.7% to $150.6 million and 16.4% to $282.7 million, respectively, compared to the three and six months ended June 30, 2022, respectively. These increases were primarily driven by strong oxygenator demand and increased heart-lung machine placements.</w:t>
      </w:r>
    </w:p>
    <w:p>
      <w:pPr>
        <w:spacing w:after="0" w:line="58" w:lineRule="exact"/>
        <w:rPr>
          <w:sz w:val="20"/>
          <w:szCs w:val="20"/>
          <w:color w:val="auto"/>
        </w:rPr>
      </w:pPr>
    </w:p>
    <w:p>
      <w:pPr>
        <w:ind w:right="60" w:firstLine="127"/>
        <w:spacing w:after="0" w:line="273" w:lineRule="auto"/>
        <w:rPr>
          <w:sz w:val="20"/>
          <w:szCs w:val="20"/>
          <w:color w:val="auto"/>
        </w:rPr>
      </w:pPr>
      <w:r>
        <w:rPr>
          <w:rFonts w:ascii="Arial" w:cs="Arial" w:eastAsia="Arial" w:hAnsi="Arial"/>
          <w:sz w:val="14"/>
          <w:szCs w:val="14"/>
          <w:color w:val="auto"/>
        </w:rPr>
        <w:t>Cardiopulmonary segment income for the three and six months ended June 30, 2023 was $11.4 million and $19.0 million, respectively, as compared to $3.6 million and $10.5 million for the three and six months ended June 30, 2022, respectively. These increases in segment income were primarily due to the increase in net revenue, as described above, partially offset by an increase in the litigation provision related to LivaNova’s 3T Heater-Cooler device of $9.8 million and $11.4 million for the three- and six-month comparative periods, respectively, as well as an increase in sales and marketing expense associated with the launch of Essenz.</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Neuromodulation</w:t>
      </w:r>
    </w:p>
    <w:p>
      <w:pPr>
        <w:spacing w:after="0" w:line="83" w:lineRule="exact"/>
        <w:rPr>
          <w:sz w:val="20"/>
          <w:szCs w:val="20"/>
          <w:color w:val="auto"/>
        </w:rPr>
      </w:pPr>
    </w:p>
    <w:p>
      <w:pPr>
        <w:ind w:right="80" w:firstLine="127"/>
        <w:spacing w:after="0" w:line="297" w:lineRule="auto"/>
        <w:rPr>
          <w:sz w:val="20"/>
          <w:szCs w:val="20"/>
          <w:color w:val="auto"/>
        </w:rPr>
      </w:pPr>
      <w:r>
        <w:rPr>
          <w:rFonts w:ascii="Arial" w:cs="Arial" w:eastAsia="Arial" w:hAnsi="Arial"/>
          <w:sz w:val="14"/>
          <w:szCs w:val="14"/>
          <w:color w:val="auto"/>
        </w:rPr>
        <w:t>Neuromodulation net revenue for the three and six months ended June 30, 2023 increased 13.1% to $133.2 million and 11.4% to $253.9 million, respectively, compared to the three and six months ended June 30, 2022, respectively. These increases were primarily driven by growth in new and replacement implants across all regions.</w:t>
      </w:r>
    </w:p>
    <w:p>
      <w:pPr>
        <w:spacing w:after="0" w:line="37" w:lineRule="exact"/>
        <w:rPr>
          <w:sz w:val="20"/>
          <w:szCs w:val="20"/>
          <w:color w:val="auto"/>
        </w:rPr>
      </w:pPr>
    </w:p>
    <w:p>
      <w:pPr>
        <w:ind w:right="20" w:firstLine="127"/>
        <w:spacing w:after="0" w:line="297" w:lineRule="auto"/>
        <w:rPr>
          <w:sz w:val="20"/>
          <w:szCs w:val="20"/>
          <w:color w:val="auto"/>
        </w:rPr>
      </w:pPr>
      <w:r>
        <w:rPr>
          <w:rFonts w:ascii="Arial" w:cs="Arial" w:eastAsia="Arial" w:hAnsi="Arial"/>
          <w:sz w:val="13"/>
          <w:szCs w:val="13"/>
          <w:color w:val="auto"/>
        </w:rPr>
        <w:t>Neuromodulation segment income for the three and six months ended June 30, 2023 was $38.1 million and $65.2 million, respectively, as compared to $51.4 million and $88.8 million for the three and six months ended June 30, 2022, respectively. The decreases in segment income were primarily due to the net unfavorable impact of the change in fair value of the sales-based and milestone-based contingent consideration arrangement associated with the acquisition of ImThera of $14.9 million and $22.1 million for the three- and six-month comparative periods, respectively, as well as an increase in R&amp;D expense for the three- and six-month comparative periods totaling $3.8 million and $8.8 million, respectively, associated with the Company’s RECOVER clinical study and OSPREY clinical trial. These increases in expense were partially offset by the increase in net revenue, as described above.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Advanced Circulatory Support</w:t>
      </w:r>
    </w:p>
    <w:p>
      <w:pPr>
        <w:spacing w:after="0" w:line="94" w:lineRule="exact"/>
        <w:rPr>
          <w:sz w:val="20"/>
          <w:szCs w:val="20"/>
          <w:color w:val="auto"/>
        </w:rPr>
      </w:pPr>
    </w:p>
    <w:p>
      <w:pPr>
        <w:ind w:right="80" w:firstLine="127"/>
        <w:spacing w:after="0" w:line="273" w:lineRule="auto"/>
        <w:rPr>
          <w:sz w:val="20"/>
          <w:szCs w:val="20"/>
          <w:color w:val="auto"/>
        </w:rPr>
      </w:pPr>
      <w:r>
        <w:rPr>
          <w:rFonts w:ascii="Arial" w:cs="Arial" w:eastAsia="Arial" w:hAnsi="Arial"/>
          <w:sz w:val="14"/>
          <w:szCs w:val="14"/>
          <w:color w:val="auto"/>
        </w:rPr>
        <w:t>ACS net revenue for the three months ended June 30, 2023 increased 0.7% to $9.4 million, compared to the three months ended June 30, 2022, reflecting growth in cardiac case volumes, partially offset by respiratory case declines and product mix. ACS net revenue for the six months ended June 30, 2023, decreased 8.4% to $19.3 million, compared to the six months ended June 30, 2022. The decrease in net revenue for the six-month period was primarily due to a reduction in patients treated with ECMO as a result of fewer severe COVID-19 cases and product mix, partially offset by growth in non-COVID-19 cases.</w:t>
      </w:r>
    </w:p>
    <w:p>
      <w:pPr>
        <w:spacing w:after="0" w:line="53" w:lineRule="exact"/>
        <w:rPr>
          <w:sz w:val="20"/>
          <w:szCs w:val="20"/>
          <w:color w:val="auto"/>
        </w:rPr>
      </w:pPr>
    </w:p>
    <w:p>
      <w:pPr>
        <w:ind w:firstLine="127"/>
        <w:spacing w:after="0" w:line="272" w:lineRule="auto"/>
        <w:rPr>
          <w:sz w:val="20"/>
          <w:szCs w:val="20"/>
          <w:color w:val="auto"/>
        </w:rPr>
      </w:pPr>
      <w:r>
        <w:rPr>
          <w:rFonts w:ascii="Arial" w:cs="Arial" w:eastAsia="Arial" w:hAnsi="Arial"/>
          <w:sz w:val="14"/>
          <w:szCs w:val="14"/>
          <w:color w:val="auto"/>
        </w:rPr>
        <w:t>ACS segment loss for the three and six months ended June 30, 2023, was $4.8 million and $11.2 million, respectively, as compared to segment income of $3.5 million for the three months ended June 30, 2022 and segment loss of $2.0 million for the six months ended June 30, 2022. These increases in segment loss were primarily due to the net unfavorable impact of the change in fair value of the TandemLife contingent consideration arrangement of $5.7 million and $6.0 million for the three and six months ended June 30, 2022, respectively. The increase in segment loss for the six months ended June 30, 2023, was also impacted by the decrease in net revenue, as described above, partially offset by expenses associated with the acquisition of ALung incurred during the six months ended June 30, 2022.</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Cost of Sales and Expenses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40" w:type="dxa"/>
            <w:vAlign w:val="bottom"/>
            <w:gridSpan w:val="10"/>
          </w:tcPr>
          <w:p>
            <w:pPr>
              <w:ind w:left="140"/>
              <w:spacing w:after="0"/>
              <w:rPr>
                <w:sz w:val="20"/>
                <w:szCs w:val="20"/>
                <w:color w:val="auto"/>
              </w:rPr>
            </w:pPr>
            <w:r>
              <w:rPr>
                <w:rFonts w:ascii="Arial" w:cs="Arial" w:eastAsia="Arial" w:hAnsi="Arial"/>
                <w:sz w:val="14"/>
                <w:szCs w:val="14"/>
                <w:color w:val="auto"/>
                <w:w w:val="89"/>
              </w:rPr>
              <w:t>The following table presents costs and expenses as a percentage of net revenue for the three and six months ended June 30, 2023 and 2022:</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2"/>
        </w:trPr>
        <w:tc>
          <w:tcPr>
            <w:tcW w:w="39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3"/>
              </w:rPr>
              <w:t>Three Months Ended 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4"/>
              </w:rPr>
              <w:t>Six Months Ended June 30,</w:t>
            </w:r>
          </w:p>
        </w:tc>
        <w:tc>
          <w:tcPr>
            <w:tcW w:w="900" w:type="dxa"/>
            <w:vAlign w:val="bottom"/>
            <w:tcBorders>
              <w:bottom w:val="single" w:sz="8" w:color="auto"/>
            </w:tcBorders>
          </w:tcPr>
          <w:p>
            <w:pPr>
              <w:spacing w:after="0"/>
              <w:rPr>
                <w:sz w:val="18"/>
                <w:szCs w:val="18"/>
                <w:color w:val="auto"/>
              </w:rPr>
            </w:pPr>
          </w:p>
        </w:tc>
      </w:tr>
      <w:tr>
        <w:trPr>
          <w:trHeight w:val="178"/>
        </w:trPr>
        <w:tc>
          <w:tcPr>
            <w:tcW w:w="39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5"/>
                <w:szCs w:val="15"/>
                <w:color w:val="auto"/>
              </w:rPr>
            </w:pPr>
          </w:p>
        </w:tc>
        <w:tc>
          <w:tcPr>
            <w:tcW w:w="1240" w:type="dxa"/>
            <w:vAlign w:val="bottom"/>
            <w:gridSpan w:val="2"/>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269"/>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2023</w:t>
            </w:r>
          </w:p>
        </w:tc>
        <w:tc>
          <w:tcPr>
            <w:tcW w:w="420" w:type="dxa"/>
            <w:vAlign w:val="bottom"/>
          </w:tcPr>
          <w:p>
            <w:pPr>
              <w:spacing w:after="0"/>
              <w:rPr>
                <w:sz w:val="15"/>
                <w:szCs w:val="15"/>
                <w:color w:val="auto"/>
              </w:rPr>
            </w:pPr>
          </w:p>
        </w:tc>
        <w:tc>
          <w:tcPr>
            <w:tcW w:w="1260" w:type="dxa"/>
            <w:vAlign w:val="bottom"/>
            <w:gridSpan w:val="2"/>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269"/>
              <w:spacing w:after="0"/>
              <w:rPr>
                <w:sz w:val="20"/>
                <w:szCs w:val="20"/>
                <w:color w:val="auto"/>
              </w:rPr>
            </w:pPr>
            <w:r>
              <w:rPr>
                <w:rFonts w:ascii="Arial" w:cs="Arial" w:eastAsia="Arial" w:hAnsi="Arial"/>
                <w:sz w:val="14"/>
                <w:szCs w:val="14"/>
                <w:b w:val="1"/>
                <w:bCs w:val="1"/>
                <w:color w:val="auto"/>
              </w:rPr>
              <w:t>Change</w:t>
            </w:r>
          </w:p>
        </w:tc>
      </w:tr>
      <w:tr>
        <w:trPr>
          <w:trHeight w:val="17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30.2 %</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27.5 %</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31.9 %</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28.6 %</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3.3 %</w:t>
            </w:r>
          </w:p>
        </w:tc>
      </w:tr>
      <w:tr>
        <w:trPr>
          <w:trHeight w:val="180"/>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420" w:type="dxa"/>
            <w:vAlign w:val="bottom"/>
          </w:tcPr>
          <w:p>
            <w:pPr>
              <w:jc w:val="right"/>
              <w:spacing w:after="0"/>
              <w:rPr>
                <w:sz w:val="20"/>
                <w:szCs w:val="20"/>
                <w:color w:val="auto"/>
              </w:rPr>
            </w:pPr>
            <w:r>
              <w:rPr>
                <w:rFonts w:ascii="Arial" w:cs="Arial" w:eastAsia="Arial" w:hAnsi="Arial"/>
                <w:sz w:val="14"/>
                <w:szCs w:val="14"/>
                <w:color w:val="auto"/>
                <w:w w:val="91"/>
              </w:rPr>
              <w:t>42.8 %</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45.8 %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1"/>
              </w:rPr>
              <w:t>44.9 %</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47.5 %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91"/>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17.4 %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18.1 %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2.9 %</w:t>
            </w:r>
          </w:p>
        </w:tc>
      </w:tr>
      <w:tr>
        <w:trPr>
          <w:trHeight w:val="180"/>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Other operating expense</w:t>
            </w:r>
          </w:p>
        </w:tc>
        <w:tc>
          <w:tcPr>
            <w:tcW w:w="420" w:type="dxa"/>
            <w:vAlign w:val="bottom"/>
          </w:tcPr>
          <w:p>
            <w:pPr>
              <w:jc w:val="right"/>
              <w:spacing w:after="0"/>
              <w:rPr>
                <w:sz w:val="20"/>
                <w:szCs w:val="20"/>
                <w:color w:val="auto"/>
              </w:rPr>
            </w:pPr>
            <w:r>
              <w:rPr>
                <w:rFonts w:ascii="Arial" w:cs="Arial" w:eastAsia="Arial" w:hAnsi="Arial"/>
                <w:sz w:val="14"/>
                <w:szCs w:val="14"/>
                <w:color w:val="auto"/>
              </w:rPr>
              <w:t>3.7 %</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0.7 %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2.4 %</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0.3 %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Cost of Sales</w:t>
      </w:r>
    </w:p>
    <w:p>
      <w:pPr>
        <w:spacing w:after="0" w:line="8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Cost of sales consists primarily of direct labor, allocated manufacturing overhead and raw materials and components.</w:t>
      </w:r>
    </w:p>
    <w:p>
      <w:pPr>
        <w:spacing w:after="0" w:line="104" w:lineRule="exact"/>
        <w:rPr>
          <w:sz w:val="20"/>
          <w:szCs w:val="20"/>
          <w:color w:val="auto"/>
        </w:rPr>
      </w:pPr>
    </w:p>
    <w:p>
      <w:pPr>
        <w:ind w:right="20" w:firstLine="127"/>
        <w:spacing w:after="0" w:line="293" w:lineRule="auto"/>
        <w:rPr>
          <w:sz w:val="20"/>
          <w:szCs w:val="20"/>
          <w:color w:val="auto"/>
        </w:rPr>
      </w:pPr>
      <w:r>
        <w:rPr>
          <w:rFonts w:ascii="Arial" w:cs="Arial" w:eastAsia="Arial" w:hAnsi="Arial"/>
          <w:sz w:val="13"/>
          <w:szCs w:val="13"/>
          <w:color w:val="auto"/>
        </w:rPr>
        <w:t>Cost of sales as a percentage of net revenue was 30.2% and 31.9% for the three and six months ended June 30, 2023, respectively, an increase of 2.7% and 3.3% compared to the three and six months ended June 30, 2022, respectively. These increases were primarily due to the net impact of the change in fair value of sales-based contingent consideration arrangements totaling $14.0 million and $19.0 million for the three- and six-month comparative periods, respectively, as well as increased costs driven by supply chain delays and interruptions, labor shortages, inflationary pressures and logistical issues. The aforementioned increases to cost of sales as a percentage of net revenue were partially offset by favorable realized price from pricing initiatives implemented in the second half of 2022, higher volume which drove better fixed overhead absorption, as well as lower inbound freight costs.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w:t>
      </w:r>
    </w:p>
    <w:p>
      <w:pPr>
        <w:spacing w:after="0" w:line="8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SG&amp;A expense is comprised of sales, marketing, and general and administrative activities.</w:t>
      </w:r>
    </w:p>
    <w:p>
      <w:pPr>
        <w:spacing w:after="0" w:line="104" w:lineRule="exact"/>
        <w:rPr>
          <w:sz w:val="20"/>
          <w:szCs w:val="20"/>
          <w:color w:val="auto"/>
        </w:rPr>
      </w:pPr>
    </w:p>
    <w:p>
      <w:pPr>
        <w:jc w:val="both"/>
        <w:ind w:right="200" w:firstLine="127"/>
        <w:spacing w:after="0" w:line="275" w:lineRule="auto"/>
        <w:rPr>
          <w:sz w:val="20"/>
          <w:szCs w:val="20"/>
          <w:color w:val="auto"/>
        </w:rPr>
      </w:pPr>
      <w:r>
        <w:rPr>
          <w:rFonts w:ascii="Arial" w:cs="Arial" w:eastAsia="Arial" w:hAnsi="Arial"/>
          <w:sz w:val="14"/>
          <w:szCs w:val="14"/>
          <w:color w:val="auto"/>
        </w:rPr>
        <w:t>SG&amp;A expense as a percentage of net revenue was 42.8% and 44.9% for the three and six months ended June 30, 2023, respectively, a decrease of 3.0% and 2.6% compared to the three and six months ended June 30, 2022, respectively. The decreases were primarily due to a decrease in stock-based compensation expense due to forfeitures of awards associated with the recent departure of the Company’s former CEO and prior year business development expense related to the acquisition of ALung.</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w:t>
      </w:r>
    </w:p>
    <w:p>
      <w:pPr>
        <w:spacing w:after="0" w:line="83" w:lineRule="exact"/>
        <w:rPr>
          <w:sz w:val="20"/>
          <w:szCs w:val="20"/>
          <w:color w:val="auto"/>
        </w:rPr>
      </w:pPr>
    </w:p>
    <w:p>
      <w:pPr>
        <w:ind w:right="40" w:firstLine="127"/>
        <w:spacing w:after="0" w:line="297" w:lineRule="auto"/>
        <w:rPr>
          <w:sz w:val="20"/>
          <w:szCs w:val="20"/>
          <w:color w:val="auto"/>
        </w:rPr>
      </w:pPr>
      <w:r>
        <w:rPr>
          <w:rFonts w:ascii="Arial" w:cs="Arial" w:eastAsia="Arial" w:hAnsi="Arial"/>
          <w:sz w:val="14"/>
          <w:szCs w:val="14"/>
          <w:color w:val="auto"/>
        </w:rPr>
        <w:t>R&amp;D expense consists of product design and development efforts, clinical study programs and regulatory activities, which are essential to LivaNova’s strategic portfolio initiatives, including DTD, OSA and, until recently, heart failure.</w:t>
      </w:r>
    </w:p>
    <w:p>
      <w:pPr>
        <w:spacing w:after="0" w:line="37" w:lineRule="exact"/>
        <w:rPr>
          <w:sz w:val="20"/>
          <w:szCs w:val="20"/>
          <w:color w:val="auto"/>
        </w:rPr>
      </w:pPr>
    </w:p>
    <w:p>
      <w:pPr>
        <w:jc w:val="both"/>
        <w:ind w:right="300" w:firstLine="127"/>
        <w:spacing w:after="0" w:line="283" w:lineRule="auto"/>
        <w:rPr>
          <w:sz w:val="20"/>
          <w:szCs w:val="20"/>
          <w:color w:val="auto"/>
        </w:rPr>
      </w:pPr>
      <w:r>
        <w:rPr>
          <w:rFonts w:ascii="Arial" w:cs="Arial" w:eastAsia="Arial" w:hAnsi="Arial"/>
          <w:sz w:val="14"/>
          <w:szCs w:val="14"/>
          <w:color w:val="auto"/>
        </w:rPr>
        <w:t>R&amp;D expense as a percentage of net revenue was 17.4% and 18.1% for the three and six months ended June 30, 2023, respectively, an increase of 3.9% and 2.9% compared to the three and six months ended June 30, 2022, respectively. These increases were primarily due to the net impact of the change in the fair value of milestone-based contingent consideration arrangements totaling $12.1 million and $15.6 million for the three- and six-month comparative periods,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Other Operating Expense</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operating expense primarily consists of the provision for litigation involving LivaNova’s 3T Heater-Cooler device, restructuring expense, and merger and integration expense.</w:t>
      </w:r>
    </w:p>
    <w:p>
      <w:pPr>
        <w:spacing w:after="0" w:line="94" w:lineRule="exact"/>
        <w:rPr>
          <w:sz w:val="20"/>
          <w:szCs w:val="20"/>
          <w:color w:val="auto"/>
        </w:rPr>
      </w:pPr>
    </w:p>
    <w:p>
      <w:pPr>
        <w:ind w:right="40" w:firstLine="127"/>
        <w:spacing w:after="0" w:line="283" w:lineRule="auto"/>
        <w:rPr>
          <w:sz w:val="20"/>
          <w:szCs w:val="20"/>
          <w:color w:val="auto"/>
        </w:rPr>
      </w:pPr>
      <w:r>
        <w:rPr>
          <w:rFonts w:ascii="Arial" w:cs="Arial" w:eastAsia="Arial" w:hAnsi="Arial"/>
          <w:sz w:val="14"/>
          <w:szCs w:val="14"/>
          <w:color w:val="auto"/>
        </w:rPr>
        <w:t>Other operating expense as a percentage of net revenue was 3.7% and 2.4% for the three and six months ended June 30, 2023, respectively, an increase of 3.0% and 2.1% compared to the three and six months ended June 30, 2022, respectively. These increases were primarily due to an increase in the litigation provision related to LivaNova’s 3T Heater-Cooler device of $9.8 million and $11.4 million for the three- and six-month comparative periods, respectively.</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For additional information, please refer to “Note 7. Commitments and Contingencies” in the condensed consolidated financial statements in this Quarterly Report on Form 10-Q.</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w:t>
      </w:r>
    </w:p>
    <w:p>
      <w:pPr>
        <w:spacing w:after="0" w:line="83" w:lineRule="exact"/>
        <w:rPr>
          <w:sz w:val="20"/>
          <w:szCs w:val="20"/>
          <w:color w:val="auto"/>
        </w:rPr>
      </w:pPr>
    </w:p>
    <w:p>
      <w:pPr>
        <w:ind w:right="320" w:firstLine="127"/>
        <w:spacing w:after="0" w:line="386" w:lineRule="auto"/>
        <w:rPr>
          <w:sz w:val="20"/>
          <w:szCs w:val="20"/>
          <w:color w:val="auto"/>
        </w:rPr>
      </w:pPr>
      <w:r>
        <w:rPr>
          <w:rFonts w:ascii="Arial" w:cs="Arial" w:eastAsia="Arial" w:hAnsi="Arial"/>
          <w:sz w:val="12"/>
          <w:szCs w:val="12"/>
          <w:color w:val="auto"/>
        </w:rPr>
        <w:t>Interest expense for the three and six months ended June 30, 2023, increased to $14.8 million and $28.2 million, respectively, compared to $14.4 million and $22.2 million for the three and six months ended June 30, 2022, respectively, primarily due to an increase in average borrowings and an increase in interest rates, partially offset by a reduction in amortization of debt issuance</w:t>
      </w:r>
    </w:p>
    <w:p>
      <w:pPr>
        <w:spacing w:after="0" w:line="34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36" w:name="page37"/>
    <w:bookmarkEnd w:id="36"/>
    <w:p>
      <w:pPr>
        <w:spacing w:after="0" w:line="297" w:lineRule="auto"/>
        <w:rPr>
          <w:sz w:val="20"/>
          <w:szCs w:val="20"/>
          <w:color w:val="auto"/>
        </w:rPr>
      </w:pPr>
      <w:r>
        <w:rPr>
          <w:rFonts w:ascii="Arial" w:cs="Arial" w:eastAsia="Arial" w:hAnsi="Arial"/>
          <w:sz w:val="14"/>
          <w:szCs w:val="14"/>
          <w:color w:val="auto"/>
        </w:rPr>
        <w:t>costs, as compared to the prior year three- and six-month comparative periods. For further details, refer to “Note 5. Financing Arrangements” in the condensed consolidated financial statements in this Quarterly Report on Form 10-Q.</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and Other Income/(Expense)</w:t>
      </w:r>
    </w:p>
    <w:p>
      <w:pPr>
        <w:spacing w:after="0" w:line="94" w:lineRule="exact"/>
        <w:rPr>
          <w:sz w:val="20"/>
          <w:szCs w:val="20"/>
          <w:color w:val="auto"/>
        </w:rPr>
      </w:pPr>
    </w:p>
    <w:p>
      <w:pPr>
        <w:ind w:right="40" w:firstLine="127"/>
        <w:spacing w:after="0" w:line="281" w:lineRule="auto"/>
        <w:rPr>
          <w:sz w:val="20"/>
          <w:szCs w:val="20"/>
          <w:color w:val="auto"/>
        </w:rPr>
      </w:pPr>
      <w:r>
        <w:rPr>
          <w:rFonts w:ascii="Arial" w:cs="Arial" w:eastAsia="Arial" w:hAnsi="Arial"/>
          <w:sz w:val="14"/>
          <w:szCs w:val="14"/>
          <w:color w:val="auto"/>
        </w:rPr>
        <w:t>Foreign exchange and other income/(expense) consist primarily of gains and losses arising from transactions denominated in a currency different from an entity’s functional currency, FX derivative gains and losses, changes in the fair value of the embedded exchange feature and capped call derivatives and interest income.</w:t>
      </w:r>
    </w:p>
    <w:p>
      <w:pPr>
        <w:spacing w:after="0" w:line="58" w:lineRule="exact"/>
        <w:rPr>
          <w:sz w:val="20"/>
          <w:szCs w:val="20"/>
          <w:color w:val="auto"/>
        </w:rPr>
      </w:pPr>
    </w:p>
    <w:p>
      <w:pPr>
        <w:ind w:firstLine="127"/>
        <w:spacing w:after="0" w:line="275" w:lineRule="auto"/>
        <w:rPr>
          <w:sz w:val="20"/>
          <w:szCs w:val="20"/>
          <w:color w:val="auto"/>
        </w:rPr>
      </w:pPr>
      <w:r>
        <w:rPr>
          <w:rFonts w:ascii="Arial" w:cs="Arial" w:eastAsia="Arial" w:hAnsi="Arial"/>
          <w:sz w:val="14"/>
          <w:szCs w:val="14"/>
          <w:color w:val="auto"/>
        </w:rPr>
        <w:t>Foreign exchange and other income/(expense) was income of $2.7 million and $28.3 million for the three and six months ended June 30, 2023, respectively, compared to income of $1.6 million and $5.5 million for the three and six months ended June 30, 2022, respectively. For further details, refer to “Note 13. Supplemental Financial Information” in the condensed consolidated financial statements in this Quarterly Report on Form 10-Q.</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Income Taxes</w:t>
      </w:r>
    </w:p>
    <w:p>
      <w:pPr>
        <w:spacing w:after="0" w:line="83" w:lineRule="exact"/>
        <w:rPr>
          <w:sz w:val="20"/>
          <w:szCs w:val="20"/>
          <w:color w:val="auto"/>
        </w:rPr>
      </w:pPr>
    </w:p>
    <w:p>
      <w:pPr>
        <w:ind w:right="120" w:firstLine="127"/>
        <w:spacing w:after="0" w:line="273" w:lineRule="auto"/>
        <w:rPr>
          <w:sz w:val="20"/>
          <w:szCs w:val="20"/>
          <w:color w:val="auto"/>
        </w:rPr>
      </w:pPr>
      <w:r>
        <w:rPr>
          <w:rFonts w:ascii="Arial" w:cs="Arial" w:eastAsia="Arial" w:hAnsi="Arial"/>
          <w:sz w:val="14"/>
          <w:szCs w:val="14"/>
          <w:color w:val="auto"/>
        </w:rPr>
        <w:t>LivaNova PLC is resident in the UK for tax purposes. LivaNova’s subsidiaries conduct operations and earn income in numerous countries and are subject to the laws of taxing jurisdictions within those countries, and the income tax rates imposed in the tax jurisdictions in which the Company’s subsidiaries conduct operations vary. LivaNova’s effective income tax rate fluctuates based on, among other factors, changes in pretax income in countries with varying statutory tax rates, valuation allowances, tax credits and incentives and unrecognized tax benefits associated with uncertain tax positions.</w:t>
      </w:r>
    </w:p>
    <w:p>
      <w:pPr>
        <w:spacing w:after="0" w:line="63" w:lineRule="exact"/>
        <w:rPr>
          <w:sz w:val="20"/>
          <w:szCs w:val="20"/>
          <w:color w:val="auto"/>
        </w:rPr>
      </w:pPr>
    </w:p>
    <w:p>
      <w:pPr>
        <w:ind w:right="20" w:firstLine="127"/>
        <w:spacing w:after="0" w:line="275" w:lineRule="auto"/>
        <w:rPr>
          <w:sz w:val="20"/>
          <w:szCs w:val="20"/>
          <w:color w:val="auto"/>
        </w:rPr>
      </w:pPr>
      <w:r>
        <w:rPr>
          <w:rFonts w:ascii="Arial" w:cs="Arial" w:eastAsia="Arial" w:hAnsi="Arial"/>
          <w:sz w:val="14"/>
          <w:szCs w:val="14"/>
          <w:color w:val="auto"/>
        </w:rPr>
        <w:t>LivaNova’s effective income tax rate for the three and six months ended June 30, 2023 was 77.6% and 43.0%, respectively, compared with 13.2% and 20.6% for the three and six months ended June 30, 2022, respectively. These increases in the effective tax rate for both the three and six months ended June 30, 2023 compared to the prior year periods were primarily attributable to changes in valuation allowances, year-over-year changes in income before tax in countries with varying statutory tax rates and an audit settlement.</w:t>
      </w:r>
    </w:p>
    <w:p>
      <w:pPr>
        <w:spacing w:after="0" w:line="62" w:lineRule="exact"/>
        <w:rPr>
          <w:sz w:val="20"/>
          <w:szCs w:val="20"/>
          <w:color w:val="auto"/>
        </w:rPr>
      </w:pPr>
    </w:p>
    <w:p>
      <w:pPr>
        <w:ind w:right="120" w:firstLine="127"/>
        <w:spacing w:after="0" w:line="292" w:lineRule="auto"/>
        <w:rPr>
          <w:sz w:val="20"/>
          <w:szCs w:val="20"/>
          <w:color w:val="auto"/>
        </w:rPr>
      </w:pPr>
      <w:r>
        <w:rPr>
          <w:rFonts w:ascii="Arial" w:cs="Arial" w:eastAsia="Arial" w:hAnsi="Arial"/>
          <w:sz w:val="13"/>
          <w:szCs w:val="13"/>
          <w:color w:val="auto"/>
        </w:rPr>
        <w:t>On October 8, 2021, members of the OECD / G20 Inclusive Framework on BEPS agreed to a Two-Pillar Solution to address tax challenges of a global economy. The Two-Pillar Solution aims to ensure multinational companies will be subject to a minimum 15% global tax rate (Pillar Two) and will reallocate profits to the market jurisdictions where sales arise (Pillar One). As part of the ongoing release of Pillar Two rules by various jurisdictions, the UK Act was enacted on July 11, 2023, and implements the OECD’s BEPS Pillar Two income inclusion rule including a multinational top-up tax and a domestic top-up tax to the minimum effective tax rate of 15% for accounting periods beginning on or after December 31, 2023. The UK Act also includes a transitional safe harbor election for accounting periods beginning on or before Dec 31, 2026. We are reviewing the draft guidance issued on June 15, 2023, and the UK Act to assess the full implications for 2024 and will continue to monitor related guidance in the UK and other jurisdictions that impact LivaNova’s operations.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89" w:lineRule="exact"/>
        <w:rPr>
          <w:sz w:val="20"/>
          <w:szCs w:val="20"/>
          <w:color w:val="auto"/>
        </w:rPr>
      </w:pPr>
    </w:p>
    <w:p>
      <w:pPr>
        <w:ind w:right="100" w:firstLine="127"/>
        <w:spacing w:after="0" w:line="268" w:lineRule="auto"/>
        <w:rPr>
          <w:sz w:val="20"/>
          <w:szCs w:val="20"/>
          <w:color w:val="auto"/>
        </w:rPr>
      </w:pPr>
      <w:r>
        <w:rPr>
          <w:rFonts w:ascii="Arial" w:cs="Arial" w:eastAsia="Arial" w:hAnsi="Arial"/>
          <w:sz w:val="14"/>
          <w:szCs w:val="14"/>
          <w:color w:val="auto"/>
        </w:rPr>
        <w:t>Based on LivaNova’s current business plan,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and debt service requirements over the twelve-month period beginning from the issuance date of these condensed consolidated financial statements. From time to time, LivaNova may access debt and/or equity markets to optimize its capital structure, raise additional capital or increase liquidity as necessary. LivaNova’s liquidity could be adversely impacted by the factors affecting future operating results, including those referred to in “Part I, Item 1A. Risk Factors” in the 2022 Form 10-K as well as “Note 7. Commitments and Contingencies” in the condensed consolidated financial statements in this Quarterly Report on Form 10-Q.</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7" w:name="page38"/>
    <w:bookmarkEnd w:id="37"/>
    <w:p>
      <w:pPr>
        <w:ind w:right="120" w:firstLine="127"/>
        <w:spacing w:after="0" w:line="378" w:lineRule="auto"/>
        <w:rPr>
          <w:sz w:val="20"/>
          <w:szCs w:val="20"/>
          <w:color w:val="auto"/>
        </w:rPr>
      </w:pPr>
      <w:r>
        <w:rPr>
          <w:rFonts w:ascii="Arial" w:cs="Arial" w:eastAsia="Arial" w:hAnsi="Arial"/>
          <w:sz w:val="12"/>
          <w:szCs w:val="12"/>
          <w:color w:val="auto"/>
        </w:rPr>
        <w:t>LivaNova’s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w:t>
      </w:r>
    </w:p>
    <w:p>
      <w:pPr>
        <w:ind w:left="140"/>
        <w:spacing w:after="0"/>
        <w:rPr>
          <w:sz w:val="20"/>
          <w:szCs w:val="20"/>
          <w:color w:val="auto"/>
        </w:rPr>
      </w:pPr>
      <w:r>
        <w:rPr>
          <w:rFonts w:ascii="Arial" w:cs="Arial" w:eastAsia="Arial" w:hAnsi="Arial"/>
          <w:sz w:val="14"/>
          <w:szCs w:val="14"/>
          <w:color w:val="auto"/>
        </w:rPr>
        <w:t>The following table presents selected financial information related to LivaNova’s liquidity as of June 30, 2023 and December 31, 2022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December 31, 2022</w:t>
            </w:r>
          </w:p>
        </w:tc>
      </w:tr>
      <w:tr>
        <w:trPr>
          <w:trHeight w:val="171"/>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Available Short-term Liquidity</w:t>
            </w: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2"/>
        </w:trPr>
        <w:tc>
          <w:tcPr>
            <w:tcW w:w="7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2"/>
        </w:trPr>
        <w:tc>
          <w:tcPr>
            <w:tcW w:w="7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420" w:type="dxa"/>
            <w:vAlign w:val="bottom"/>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222,935</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214,172</w:t>
            </w:r>
          </w:p>
        </w:tc>
      </w:tr>
      <w:tr>
        <w:trPr>
          <w:trHeight w:val="196"/>
        </w:trPr>
        <w:tc>
          <w:tcPr>
            <w:tcW w:w="7260" w:type="dxa"/>
            <w:vAlign w:val="bottom"/>
          </w:tcPr>
          <w:p>
            <w:pPr>
              <w:ind w:left="140"/>
              <w:spacing w:after="0"/>
              <w:rPr>
                <w:sz w:val="20"/>
                <w:szCs w:val="20"/>
                <w:color w:val="auto"/>
              </w:rPr>
            </w:pPr>
            <w:r>
              <w:rPr>
                <w:rFonts w:ascii="Arial" w:cs="Arial" w:eastAsia="Arial" w:hAnsi="Arial"/>
                <w:sz w:val="14"/>
                <w:szCs w:val="14"/>
                <w:color w:val="auto"/>
              </w:rPr>
              <w:t>Availability under the 2021 First Lien Credit Agreement</w:t>
            </w:r>
          </w:p>
        </w:tc>
        <w:tc>
          <w:tcPr>
            <w:tcW w:w="14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125,000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125,000</w:t>
            </w:r>
          </w:p>
        </w:tc>
      </w:tr>
      <w:tr>
        <w:trPr>
          <w:trHeight w:val="197"/>
        </w:trPr>
        <w:tc>
          <w:tcPr>
            <w:tcW w:w="7260" w:type="dxa"/>
            <w:vAlign w:val="bottom"/>
            <w:shd w:val="clear" w:color="auto" w:fill="CCEEFF"/>
          </w:tcPr>
          <w:p>
            <w:pPr>
              <w:ind w:left="140"/>
              <w:spacing w:after="0" w:line="196" w:lineRule="exact"/>
              <w:rPr>
                <w:sz w:val="20"/>
                <w:szCs w:val="20"/>
                <w:color w:val="auto"/>
              </w:rPr>
            </w:pPr>
            <w:r>
              <w:rPr>
                <w:rFonts w:ascii="Arial" w:cs="Arial" w:eastAsia="Arial" w:hAnsi="Arial"/>
                <w:sz w:val="14"/>
                <w:szCs w:val="14"/>
                <w:color w:val="auto"/>
              </w:rPr>
              <w:t xml:space="preserve">Availability under the Delayed Draw Term Facility </w:t>
            </w:r>
            <w:r>
              <w:rPr>
                <w:rFonts w:ascii="Arial" w:cs="Arial" w:eastAsia="Arial" w:hAnsi="Arial"/>
                <w:sz w:val="18"/>
                <w:szCs w:val="18"/>
                <w:color w:val="auto"/>
                <w:vertAlign w:val="superscript"/>
              </w:rPr>
              <w:t>(1)</w:t>
            </w:r>
          </w:p>
        </w:tc>
        <w:tc>
          <w:tcPr>
            <w:tcW w:w="14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r>
      <w:tr>
        <w:trPr>
          <w:trHeight w:val="171"/>
        </w:trPr>
        <w:tc>
          <w:tcPr>
            <w:tcW w:w="7260" w:type="dxa"/>
            <w:vAlign w:val="bottom"/>
          </w:tcPr>
          <w:p>
            <w:pPr>
              <w:spacing w:after="0"/>
              <w:rPr>
                <w:sz w:val="14"/>
                <w:szCs w:val="14"/>
                <w:color w:val="auto"/>
              </w:rPr>
            </w:pPr>
          </w:p>
        </w:tc>
        <w:tc>
          <w:tcPr>
            <w:tcW w:w="1420" w:type="dxa"/>
            <w:vAlign w:val="bottom"/>
            <w:tcBorders>
              <w:bottom w:val="single" w:sz="8" w:color="auto"/>
            </w:tcBorders>
          </w:tcPr>
          <w:p>
            <w:pPr>
              <w:jc w:val="right"/>
              <w:ind w:right="12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347,935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389,172</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74"/>
        </w:trPr>
        <w:tc>
          <w:tcPr>
            <w:tcW w:w="7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93"/>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Working Capital</w:t>
            </w:r>
          </w:p>
        </w:tc>
        <w:tc>
          <w:tcPr>
            <w:tcW w:w="1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0"/>
        </w:trPr>
        <w:tc>
          <w:tcPr>
            <w:tcW w:w="7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assets</w:t>
            </w:r>
          </w:p>
        </w:tc>
        <w:tc>
          <w:tcPr>
            <w:tcW w:w="1420" w:type="dxa"/>
            <w:vAlign w:val="bottom"/>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941,835</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886,136</w:t>
            </w:r>
          </w:p>
        </w:tc>
      </w:tr>
      <w:tr>
        <w:trPr>
          <w:trHeight w:val="196"/>
        </w:trPr>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Current liabilities</w:t>
            </w:r>
          </w:p>
        </w:tc>
        <w:tc>
          <w:tcPr>
            <w:tcW w:w="1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288,164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297,398</w:t>
            </w:r>
          </w:p>
        </w:tc>
      </w:tr>
      <w:tr>
        <w:trPr>
          <w:trHeight w:val="201"/>
        </w:trPr>
        <w:tc>
          <w:tcPr>
            <w:tcW w:w="72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653,671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588,738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7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2"/>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 Obligations</w:t>
            </w: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196"/>
        </w:trPr>
        <w:tc>
          <w:tcPr>
            <w:tcW w:w="7260" w:type="dxa"/>
            <w:vAlign w:val="bottom"/>
          </w:tcPr>
          <w:p>
            <w:pPr>
              <w:ind w:left="140"/>
              <w:spacing w:after="0"/>
              <w:rPr>
                <w:sz w:val="20"/>
                <w:szCs w:val="20"/>
                <w:color w:val="auto"/>
              </w:rPr>
            </w:pPr>
            <w:r>
              <w:rPr>
                <w:rFonts w:ascii="Arial" w:cs="Arial" w:eastAsia="Arial" w:hAnsi="Arial"/>
                <w:sz w:val="14"/>
                <w:szCs w:val="14"/>
                <w:color w:val="auto"/>
              </w:rPr>
              <w:t>Current portion of long-term debt</w:t>
            </w:r>
          </w:p>
        </w:tc>
        <w:tc>
          <w:tcPr>
            <w:tcW w:w="1420" w:type="dxa"/>
            <w:vAlign w:val="bottom"/>
          </w:tcPr>
          <w:p>
            <w:pPr>
              <w:jc w:val="right"/>
              <w:ind w:right="126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18,444</w:t>
            </w: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20,892</w:t>
            </w:r>
          </w:p>
        </w:tc>
      </w:tr>
      <w:tr>
        <w:trPr>
          <w:trHeight w:val="196"/>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Short-term unsecured borrowing arrangements</w:t>
            </w:r>
          </w:p>
        </w:tc>
        <w:tc>
          <w:tcPr>
            <w:tcW w:w="14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w:t>
            </w:r>
          </w:p>
        </w:tc>
      </w:tr>
      <w:tr>
        <w:trPr>
          <w:trHeight w:val="187"/>
        </w:trPr>
        <w:tc>
          <w:tcPr>
            <w:tcW w:w="7260" w:type="dxa"/>
            <w:vAlign w:val="bottom"/>
          </w:tcPr>
          <w:p>
            <w:pPr>
              <w:ind w:left="140"/>
              <w:spacing w:after="0"/>
              <w:rPr>
                <w:sz w:val="20"/>
                <w:szCs w:val="20"/>
                <w:color w:val="auto"/>
              </w:rPr>
            </w:pPr>
            <w:r>
              <w:rPr>
                <w:rFonts w:ascii="Arial" w:cs="Arial" w:eastAsia="Arial" w:hAnsi="Arial"/>
                <w:sz w:val="14"/>
                <w:szCs w:val="14"/>
                <w:color w:val="auto"/>
              </w:rPr>
              <w:t>Current debt obligations</w:t>
            </w:r>
          </w:p>
        </w:tc>
        <w:tc>
          <w:tcPr>
            <w:tcW w:w="14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19,074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23,434</w:t>
            </w:r>
          </w:p>
        </w:tc>
      </w:tr>
      <w:tr>
        <w:trPr>
          <w:trHeight w:val="196"/>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debt obligations</w:t>
            </w:r>
          </w:p>
        </w:tc>
        <w:tc>
          <w:tcPr>
            <w:tcW w:w="14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567,951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518,067</w:t>
            </w:r>
          </w:p>
        </w:tc>
      </w:tr>
      <w:tr>
        <w:trPr>
          <w:trHeight w:val="171"/>
        </w:trPr>
        <w:tc>
          <w:tcPr>
            <w:tcW w:w="7260" w:type="dxa"/>
            <w:vAlign w:val="bottom"/>
          </w:tcPr>
          <w:p>
            <w:pPr>
              <w:ind w:left="140"/>
              <w:spacing w:after="0"/>
              <w:rPr>
                <w:sz w:val="20"/>
                <w:szCs w:val="20"/>
                <w:color w:val="auto"/>
              </w:rPr>
            </w:pPr>
            <w:r>
              <w:rPr>
                <w:rFonts w:ascii="Arial" w:cs="Arial" w:eastAsia="Arial" w:hAnsi="Arial"/>
                <w:sz w:val="14"/>
                <w:szCs w:val="14"/>
                <w:color w:val="auto"/>
              </w:rPr>
              <w:t>Total debt obligations</w:t>
            </w:r>
          </w:p>
        </w:tc>
        <w:tc>
          <w:tcPr>
            <w:tcW w:w="1420" w:type="dxa"/>
            <w:vAlign w:val="bottom"/>
          </w:tcPr>
          <w:p>
            <w:pPr>
              <w:jc w:val="right"/>
              <w:ind w:right="126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587,025</w:t>
            </w: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541,501</w:t>
            </w:r>
          </w:p>
        </w:tc>
      </w:tr>
      <w:tr>
        <w:trPr>
          <w:trHeight w:val="20"/>
        </w:trPr>
        <w:tc>
          <w:tcPr>
            <w:tcW w:w="72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On April 6, 2023, LivaNova drew the full $50 million under the Delayed Draw Term Facility to be used for general corporate purposes.</w:t>
      </w:r>
    </w:p>
    <w:p>
      <w:pPr>
        <w:spacing w:after="0" w:line="9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Refer to “Note 5. Financing Arrangements” in the condensed consolidated financial statements in this Quarterly Report on Form 10-Q for additional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Cash Flows</w:t>
      </w:r>
    </w:p>
    <w:p>
      <w:pPr>
        <w:spacing w:after="0" w:line="83" w:lineRule="exact"/>
        <w:rPr>
          <w:sz w:val="20"/>
          <w:szCs w:val="20"/>
          <w:color w:val="auto"/>
        </w:rPr>
      </w:pPr>
    </w:p>
    <w:p>
      <w:pPr>
        <w:jc w:val="both"/>
        <w:ind w:right="80" w:firstLine="127"/>
        <w:spacing w:after="0" w:line="281" w:lineRule="auto"/>
        <w:rPr>
          <w:sz w:val="20"/>
          <w:szCs w:val="20"/>
          <w:color w:val="auto"/>
        </w:rPr>
      </w:pPr>
      <w:r>
        <w:rPr>
          <w:rFonts w:ascii="Arial" w:cs="Arial" w:eastAsia="Arial" w:hAnsi="Arial"/>
          <w:sz w:val="14"/>
          <w:szCs w:val="14"/>
          <w:color w:val="auto"/>
        </w:rPr>
        <w:t>Net cash and cash equivalents provided by (used in) operating, investing and financing activities and the net increase in the balance of cash, cash equivalents and restricted cash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1220" w:type="dxa"/>
            <w:vAlign w:val="bottom"/>
            <w:tcBorders>
              <w:bottom w:val="single" w:sz="8" w:color="auto"/>
            </w:tcBorders>
          </w:tcPr>
          <w:p>
            <w:pPr>
              <w:spacing w:after="0"/>
              <w:rPr>
                <w:sz w:val="16"/>
                <w:szCs w:val="16"/>
                <w:color w:val="auto"/>
              </w:rPr>
            </w:pPr>
          </w:p>
        </w:tc>
      </w:tr>
      <w:tr>
        <w:trPr>
          <w:trHeight w:val="192"/>
        </w:trPr>
        <w:tc>
          <w:tcPr>
            <w:tcW w:w="70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b w:val="1"/>
                <w:bCs w:val="1"/>
                <w:color w:val="auto"/>
              </w:rPr>
              <w:t>2022</w:t>
            </w:r>
          </w:p>
        </w:tc>
      </w:tr>
      <w:tr>
        <w:trPr>
          <w:trHeight w:val="177"/>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220" w:type="dxa"/>
            <w:vAlign w:val="bottom"/>
            <w:shd w:val="clear" w:color="auto" w:fill="CCEEFF"/>
          </w:tcPr>
          <w:p>
            <w:pPr>
              <w:jc w:val="right"/>
              <w:ind w:right="106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15,580</w:t>
            </w:r>
          </w:p>
        </w:tc>
      </w:tr>
      <w:tr>
        <w:trPr>
          <w:trHeight w:val="180"/>
        </w:trPr>
        <w:tc>
          <w:tcPr>
            <w:tcW w:w="706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1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(18,139)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(21,630)</w:t>
            </w:r>
          </w:p>
        </w:tc>
      </w:tr>
      <w:tr>
        <w:trPr>
          <w:trHeight w:val="191"/>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1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30,779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208,557</w:t>
            </w:r>
          </w:p>
        </w:tc>
      </w:tr>
      <w:tr>
        <w:trPr>
          <w:trHeight w:val="18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3,282</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(3,730)</w:t>
            </w:r>
          </w:p>
        </w:tc>
      </w:tr>
      <w:tr>
        <w:trPr>
          <w:trHeight w:val="19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18,742</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198,777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Operating Activities</w:t>
      </w:r>
    </w:p>
    <w:p>
      <w:pPr>
        <w:spacing w:after="0" w:line="83" w:lineRule="exact"/>
        <w:rPr>
          <w:sz w:val="20"/>
          <w:szCs w:val="20"/>
          <w:color w:val="auto"/>
        </w:rPr>
      </w:pPr>
    </w:p>
    <w:p>
      <w:pPr>
        <w:ind w:right="420" w:firstLine="127"/>
        <w:spacing w:after="0" w:line="297" w:lineRule="auto"/>
        <w:rPr>
          <w:sz w:val="20"/>
          <w:szCs w:val="20"/>
          <w:color w:val="auto"/>
        </w:rPr>
      </w:pPr>
      <w:r>
        <w:rPr>
          <w:rFonts w:ascii="Arial" w:cs="Arial" w:eastAsia="Arial" w:hAnsi="Arial"/>
          <w:sz w:val="14"/>
          <w:szCs w:val="14"/>
          <w:color w:val="auto"/>
        </w:rPr>
        <w:t>Cash provided by operating activities during the six months ended June 30, 2023 decreased by $12.8 million as compared to the same prior year period. The decrease was primarily due to an increase in 3T Heater-Cooler litigation settlement payments of $16.6 million.</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Investing Activities</w:t>
      </w:r>
    </w:p>
    <w:p>
      <w:pPr>
        <w:spacing w:after="0" w:line="83" w:lineRule="exact"/>
        <w:rPr>
          <w:sz w:val="20"/>
          <w:szCs w:val="20"/>
          <w:color w:val="auto"/>
        </w:rPr>
      </w:pPr>
    </w:p>
    <w:p>
      <w:pPr>
        <w:ind w:right="360" w:firstLine="127"/>
        <w:spacing w:after="0" w:line="297" w:lineRule="auto"/>
        <w:rPr>
          <w:sz w:val="20"/>
          <w:szCs w:val="20"/>
          <w:color w:val="auto"/>
        </w:rPr>
      </w:pPr>
      <w:r>
        <w:rPr>
          <w:rFonts w:ascii="Arial" w:cs="Arial" w:eastAsia="Arial" w:hAnsi="Arial"/>
          <w:sz w:val="14"/>
          <w:szCs w:val="14"/>
          <w:color w:val="auto"/>
        </w:rPr>
        <w:t>Cash used in investing activities during the six months ended June 30, 2023 decreased $3.5 million as compared to the same prior year period primarily due to $8.9 million paid during the six months ended June 30, 2022 associated with the acquisition of ALung, partially offset by an increase in purchases of equity investments of $4.6 million.</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8" w:name="page39"/>
    <w:bookmarkEnd w:id="38"/>
    <w:p>
      <w:pPr>
        <w:ind w:left="140"/>
        <w:spacing w:after="0"/>
        <w:rPr>
          <w:sz w:val="20"/>
          <w:szCs w:val="20"/>
          <w:color w:val="auto"/>
        </w:rPr>
      </w:pPr>
      <w:r>
        <w:rPr>
          <w:rFonts w:ascii="Arial" w:cs="Arial" w:eastAsia="Arial" w:hAnsi="Arial"/>
          <w:sz w:val="16"/>
          <w:szCs w:val="16"/>
          <w:i w:val="1"/>
          <w:iCs w:val="1"/>
          <w:color w:val="auto"/>
        </w:rPr>
        <w:t>Financing Activities</w:t>
      </w:r>
    </w:p>
    <w:p>
      <w:pPr>
        <w:spacing w:after="0" w:line="83" w:lineRule="exact"/>
        <w:rPr>
          <w:sz w:val="20"/>
          <w:szCs w:val="20"/>
          <w:color w:val="auto"/>
        </w:rPr>
      </w:pPr>
    </w:p>
    <w:p>
      <w:pPr>
        <w:ind w:right="100" w:firstLine="127"/>
        <w:spacing w:after="0" w:line="297" w:lineRule="auto"/>
        <w:rPr>
          <w:sz w:val="20"/>
          <w:szCs w:val="20"/>
          <w:color w:val="auto"/>
        </w:rPr>
      </w:pPr>
      <w:r>
        <w:rPr>
          <w:rFonts w:ascii="Arial" w:cs="Arial" w:eastAsia="Arial" w:hAnsi="Arial"/>
          <w:sz w:val="14"/>
          <w:szCs w:val="14"/>
          <w:color w:val="auto"/>
        </w:rPr>
        <w:t>Cash provided by financing activities during the six months ended June 30, 2023 decreased $177.8 million as compared to the same prior year period primarily due to a reduction in proceeds from net borrowings of $178.6 million.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101" w:lineRule="exact"/>
        <w:rPr>
          <w:sz w:val="20"/>
          <w:szCs w:val="20"/>
          <w:color w:val="auto"/>
        </w:rPr>
      </w:pPr>
    </w:p>
    <w:p>
      <w:pPr>
        <w:ind w:firstLine="127"/>
        <w:spacing w:after="0" w:line="307" w:lineRule="auto"/>
        <w:rPr>
          <w:sz w:val="20"/>
          <w:szCs w:val="20"/>
          <w:color w:val="auto"/>
        </w:rPr>
      </w:pPr>
      <w:r>
        <w:rPr>
          <w:rFonts w:ascii="Arial" w:cs="Arial" w:eastAsia="Arial" w:hAnsi="Arial"/>
          <w:sz w:val="12"/>
          <w:szCs w:val="12"/>
          <w:color w:val="auto"/>
        </w:rPr>
        <w:t>LivaNova is exposed to certain market risks as part of its ongoing business operations, including risks from foreign currency exchange rates, equity price risk, interest rate risks and concentration of procurement suppliers that could adversely affect LivaNova’s consolidated financial position, results of operations or cash flows. The Company manages these risks through regular operating and financing activities and, at certain times, derivative financial instruments. Quantitative and qualitative disclosures about these risks are included in this Quarterly Report on Form 10-Q in “Part I, Note</w:t>
      </w:r>
    </w:p>
    <w:p>
      <w:pPr>
        <w:spacing w:after="0" w:line="1" w:lineRule="exact"/>
        <w:rPr>
          <w:sz w:val="20"/>
          <w:szCs w:val="20"/>
          <w:color w:val="auto"/>
        </w:rPr>
      </w:pPr>
    </w:p>
    <w:p>
      <w:pPr>
        <w:ind w:right="520" w:firstLine="5"/>
        <w:spacing w:after="0" w:line="321" w:lineRule="auto"/>
        <w:tabs>
          <w:tab w:leader="none" w:pos="141" w:val="left"/>
        </w:tabs>
        <w:numPr>
          <w:ilvl w:val="0"/>
          <w:numId w:val="11"/>
        </w:numPr>
        <w:rPr>
          <w:rFonts w:ascii="Arial" w:cs="Arial" w:eastAsia="Arial" w:hAnsi="Arial"/>
          <w:sz w:val="13"/>
          <w:szCs w:val="13"/>
          <w:color w:val="auto"/>
        </w:rPr>
      </w:pPr>
      <w:r>
        <w:rPr>
          <w:rFonts w:ascii="Arial" w:cs="Arial" w:eastAsia="Arial" w:hAnsi="Arial"/>
          <w:sz w:val="13"/>
          <w:szCs w:val="13"/>
          <w:color w:val="auto"/>
        </w:rPr>
        <w:t>Derivatives and Risk Management,” “Part I, Item 2. Management’s Discussion and Analysis of Financial Conditions and Results of Operations” and “Part II, Item 1A. Risk Factors” and in LivaNova’s 2022 Form 10-K in “Part II, Item 7. Management’s Discussion and Analysis of Financial Condition and Results of Operations” and “Part I, Item 1A. Risk Factors.”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Disclosure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Evaluation of Disclosure Controls and Procedures</w:t>
      </w:r>
    </w:p>
    <w:p>
      <w:pPr>
        <w:spacing w:after="0" w:line="104" w:lineRule="exact"/>
        <w:rPr>
          <w:sz w:val="20"/>
          <w:szCs w:val="20"/>
          <w:color w:val="auto"/>
        </w:rPr>
      </w:pPr>
    </w:p>
    <w:p>
      <w:pPr>
        <w:ind w:right="100" w:firstLine="127"/>
        <w:spacing w:after="0" w:line="327" w:lineRule="auto"/>
        <w:rPr>
          <w:sz w:val="20"/>
          <w:szCs w:val="20"/>
          <w:color w:val="auto"/>
        </w:rPr>
      </w:pPr>
      <w:r>
        <w:rPr>
          <w:rFonts w:ascii="Arial" w:cs="Arial" w:eastAsia="Arial" w:hAnsi="Arial"/>
          <w:sz w:val="12"/>
          <w:szCs w:val="12"/>
          <w:color w:val="auto"/>
        </w:rPr>
        <w:t>LivaNova maintains a system of disclosure controls and procedures, as defined in Rules 13a-15(e) and 15d-15(e) of the Exchange Act, that is designed to ensure that information required to be disclosed in the Company’s reports filed under the Exchange Act is recorded, processed, summarized and reported within the time periods specified in the SEC’s rules and forms. This information is also accumulated and communicated to management, including LivaNova’s CEO and CFO, as appropriate, to allow timely decisions regarding required disclosure. LivaNova’s management, under the supervision and with the participation of its CEO and CFO, evaluated the effectiveness of the design and operation of the Company’s disclosure controls and procedures as of the end of the most recent fiscal quarter reported herein. Based on that evaluation, LivaNova’s CEO and CFO concluded that the Company’s disclosure controls and procedures were effective as of June 30, 2023.</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 Changes in Internal Control Over Financial Reporting</w:t>
      </w:r>
    </w:p>
    <w:p>
      <w:pPr>
        <w:spacing w:after="0" w:line="104" w:lineRule="exact"/>
        <w:rPr>
          <w:sz w:val="20"/>
          <w:szCs w:val="20"/>
          <w:color w:val="auto"/>
        </w:rPr>
      </w:pPr>
    </w:p>
    <w:p>
      <w:pPr>
        <w:ind w:right="20" w:firstLine="127"/>
        <w:spacing w:after="0" w:line="297" w:lineRule="auto"/>
        <w:rPr>
          <w:sz w:val="20"/>
          <w:szCs w:val="20"/>
          <w:color w:val="auto"/>
        </w:rPr>
      </w:pPr>
      <w:r>
        <w:rPr>
          <w:rFonts w:ascii="Arial" w:cs="Arial" w:eastAsia="Arial" w:hAnsi="Arial"/>
          <w:sz w:val="14"/>
          <w:szCs w:val="14"/>
          <w:color w:val="auto"/>
        </w:rPr>
        <w:t>There have been no changes in LivaNova’s internal control over financial reporting (as defined in Rules 13a-15(f) and 15d-5(f) under the Exchange Act) during the quarter ended June 30, 2023 that have materially affected, or are reasonably likely to materially affect, LivaNova’s internal control over financial reporting.</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PART II. OTHER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101" w:lineRule="exact"/>
        <w:rPr>
          <w:sz w:val="20"/>
          <w:szCs w:val="20"/>
          <w:color w:val="auto"/>
        </w:rPr>
      </w:pPr>
    </w:p>
    <w:p>
      <w:pPr>
        <w:ind w:right="140" w:firstLine="127"/>
        <w:spacing w:after="0" w:line="297" w:lineRule="auto"/>
        <w:rPr>
          <w:sz w:val="20"/>
          <w:szCs w:val="20"/>
          <w:color w:val="auto"/>
        </w:rPr>
      </w:pPr>
      <w:r>
        <w:rPr>
          <w:rFonts w:ascii="Arial" w:cs="Arial" w:eastAsia="Arial" w:hAnsi="Arial"/>
          <w:sz w:val="14"/>
          <w:szCs w:val="14"/>
          <w:color w:val="auto"/>
        </w:rPr>
        <w:t>For a description of LivaNova’s material pending legal and regulatory proceedings and settlements, refer to “Note 7. Commitments and Contingencies” in the Company’s condensed consolidated financial statements included in this Quarterly Report on Form 10-Q.</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01" w:lineRule="exact"/>
        <w:rPr>
          <w:sz w:val="20"/>
          <w:szCs w:val="20"/>
          <w:color w:val="auto"/>
        </w:rPr>
      </w:pPr>
    </w:p>
    <w:p>
      <w:pPr>
        <w:ind w:right="20" w:firstLine="127"/>
        <w:spacing w:after="0" w:line="297" w:lineRule="auto"/>
        <w:rPr>
          <w:sz w:val="20"/>
          <w:szCs w:val="20"/>
          <w:color w:val="auto"/>
        </w:rPr>
      </w:pPr>
      <w:r>
        <w:rPr>
          <w:rFonts w:ascii="Arial" w:cs="Arial" w:eastAsia="Arial" w:hAnsi="Arial"/>
          <w:sz w:val="14"/>
          <w:szCs w:val="14"/>
          <w:color w:val="auto"/>
        </w:rPr>
        <w:t>There have been no material changes in LivaNova’s risk factors from those disclosed in Part I, Item 1A of the Company’s 2022 Annual Report on Form 10-K and Part II, Item 1A of the Company’s 10-Q for the quarter ending March 31, 2023.</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Unregistered Sales of Equity Securities and Use of Proceeds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Defaults Upon Senior Securities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Not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101" w:lineRule="exact"/>
        <w:rPr>
          <w:sz w:val="20"/>
          <w:szCs w:val="20"/>
          <w:color w:val="auto"/>
        </w:rPr>
      </w:pPr>
    </w:p>
    <w:p>
      <w:pPr>
        <w:ind w:right="160" w:firstLine="127"/>
        <w:spacing w:after="0" w:line="321" w:lineRule="auto"/>
        <w:rPr>
          <w:sz w:val="20"/>
          <w:szCs w:val="20"/>
          <w:color w:val="auto"/>
        </w:rPr>
      </w:pPr>
      <w:r>
        <w:rPr>
          <w:rFonts w:ascii="Arial" w:cs="Arial" w:eastAsia="Arial" w:hAnsi="Arial"/>
          <w:sz w:val="13"/>
          <w:szCs w:val="13"/>
          <w:color w:val="auto"/>
        </w:rPr>
        <w:t>During the three months ended June 30, 2023,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Pursuant to Section 13(r) of the Exchange Act of 1934</w:t>
      </w:r>
    </w:p>
    <w:p>
      <w:pPr>
        <w:spacing w:after="0" w:line="89" w:lineRule="exact"/>
        <w:rPr>
          <w:sz w:val="20"/>
          <w:szCs w:val="20"/>
          <w:color w:val="auto"/>
        </w:rPr>
      </w:pPr>
    </w:p>
    <w:p>
      <w:pPr>
        <w:ind w:right="100" w:firstLine="127"/>
        <w:spacing w:after="0" w:line="283" w:lineRule="auto"/>
        <w:rPr>
          <w:sz w:val="20"/>
          <w:szCs w:val="20"/>
          <w:color w:val="auto"/>
        </w:rPr>
      </w:pPr>
      <w:r>
        <w:rPr>
          <w:rFonts w:ascii="Arial" w:cs="Arial" w:eastAsia="Arial" w:hAnsi="Arial"/>
          <w:sz w:val="14"/>
          <w:szCs w:val="14"/>
          <w:color w:val="auto"/>
        </w:rPr>
        <w:t>Section 13(r) of the Exchange Act requires issuers to disclose in their quarterly reports certain types of dealings with Iran, including transactions or dealings with government-owned entities, even when those activities are lawful and do not involve U.S. persons. One of LivaNova’s non-U.S. subsidiaries currently sells medical devices, including cardiopulmonary, cardiac surgery and neuromodulation products, to privately held distributors in Iran.</w:t>
      </w:r>
    </w:p>
    <w:p>
      <w:pPr>
        <w:spacing w:after="0" w:line="46" w:lineRule="exact"/>
        <w:rPr>
          <w:sz w:val="20"/>
          <w:szCs w:val="20"/>
          <w:color w:val="auto"/>
        </w:rPr>
      </w:pPr>
    </w:p>
    <w:p>
      <w:pPr>
        <w:ind w:firstLine="127"/>
        <w:spacing w:after="0" w:line="283" w:lineRule="auto"/>
        <w:rPr>
          <w:sz w:val="20"/>
          <w:szCs w:val="20"/>
          <w:color w:val="auto"/>
        </w:rPr>
      </w:pPr>
      <w:r>
        <w:rPr>
          <w:rFonts w:ascii="Arial" w:cs="Arial" w:eastAsia="Arial" w:hAnsi="Arial"/>
          <w:sz w:val="14"/>
          <w:szCs w:val="14"/>
          <w:color w:val="auto"/>
        </w:rPr>
        <w:t>LivaNova has limited visibility into the identity of these distributors’ customers in Iran. It is possible that their customers include entities, such as government-owned hospitals or sub-distributors, that are owned or controlled directly or indirectly by the Iranian government. To the best of the Company’s knowledge at this time, LivaNova does not have any contracts or commercial arrangements with the Iranian government.</w:t>
      </w:r>
    </w:p>
    <w:p>
      <w:pPr>
        <w:spacing w:after="0" w:line="46" w:lineRule="exact"/>
        <w:rPr>
          <w:sz w:val="20"/>
          <w:szCs w:val="20"/>
          <w:color w:val="auto"/>
        </w:rPr>
      </w:pPr>
    </w:p>
    <w:p>
      <w:pPr>
        <w:ind w:right="500" w:firstLine="127"/>
        <w:spacing w:after="0" w:line="297" w:lineRule="auto"/>
        <w:rPr>
          <w:sz w:val="20"/>
          <w:szCs w:val="20"/>
          <w:color w:val="auto"/>
        </w:rPr>
      </w:pPr>
      <w:r>
        <w:rPr>
          <w:rFonts w:ascii="Arial" w:cs="Arial" w:eastAsia="Arial" w:hAnsi="Arial"/>
          <w:sz w:val="14"/>
          <w:szCs w:val="14"/>
          <w:color w:val="auto"/>
        </w:rPr>
        <w:t>LivaNova’s net revenue and net profits attributable to the above-mentioned Iranian activities were $0.6 million and $0.3 million, respectively, for the three months ended June 30, 2023 and $2.8 million and $1.1 million, respectively, for the six months ended June 30, 2023.</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Company believes its activities are consistent with applicable law, including U.S., EU, and other applicable sanctions laws, though such laws are complex and continue to evolve rapidly.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LivaNova intends to continue its business in Iran.</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4"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101" w:lineRule="exact"/>
        <w:rPr>
          <w:sz w:val="20"/>
          <w:szCs w:val="20"/>
          <w:color w:val="auto"/>
        </w:rPr>
      </w:pPr>
    </w:p>
    <w:p>
      <w:pPr>
        <w:ind w:right="60" w:firstLine="127"/>
        <w:spacing w:after="0" w:line="297" w:lineRule="auto"/>
        <w:rPr>
          <w:sz w:val="20"/>
          <w:szCs w:val="20"/>
          <w:color w:val="auto"/>
        </w:rPr>
      </w:pPr>
      <w:r>
        <w:rPr>
          <w:rFonts w:ascii="Arial" w:cs="Arial" w:eastAsia="Arial" w:hAnsi="Arial"/>
          <w:sz w:val="14"/>
          <w:szCs w:val="14"/>
          <w:color w:val="auto"/>
        </w:rPr>
        <w:t>The exhibits marked with the asterisk symbol (*) are filed or furnished (in the case of Exhibit 32.1) with this Quarterly Report on Form 10-Q. Exhibits marked with the cross symbol (†), if any, are management contracts or compensatory plans or arrangements filed pursuant to Item 601(b)(10)(iii) of Regulation S-K.</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0" w:type="dxa"/>
            <w:vAlign w:val="bottom"/>
            <w:gridSpan w:val="2"/>
          </w:tcPr>
          <w:p>
            <w:pPr>
              <w:jc w:val="center"/>
              <w:ind w:left="35"/>
              <w:spacing w:after="0"/>
              <w:rPr>
                <w:sz w:val="20"/>
                <w:szCs w:val="20"/>
                <w:color w:val="auto"/>
              </w:rPr>
            </w:pPr>
            <w:r>
              <w:rPr>
                <w:rFonts w:ascii="Arial" w:cs="Arial" w:eastAsia="Arial" w:hAnsi="Arial"/>
                <w:sz w:val="11"/>
                <w:szCs w:val="11"/>
                <w:b w:val="1"/>
                <w:bCs w:val="1"/>
                <w:color w:val="auto"/>
                <w:w w:val="98"/>
              </w:rPr>
              <w:t>Exhibit</w:t>
            </w:r>
          </w:p>
        </w:tc>
        <w:tc>
          <w:tcPr>
            <w:tcW w:w="10520" w:type="dxa"/>
            <w:vAlign w:val="bottom"/>
            <w:vMerge w:val="restart"/>
          </w:tcPr>
          <w:p>
            <w:pPr>
              <w:ind w:left="4780"/>
              <w:spacing w:after="0"/>
              <w:rPr>
                <w:sz w:val="20"/>
                <w:szCs w:val="20"/>
                <w:color w:val="auto"/>
              </w:rPr>
            </w:pPr>
            <w:r>
              <w:rPr>
                <w:rFonts w:ascii="Arial" w:cs="Arial" w:eastAsia="Arial" w:hAnsi="Arial"/>
                <w:sz w:val="11"/>
                <w:szCs w:val="11"/>
                <w:b w:val="1"/>
                <w:bCs w:val="1"/>
                <w:color w:val="auto"/>
              </w:rPr>
              <w:t>Document Description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40" w:type="dxa"/>
            <w:vAlign w:val="bottom"/>
            <w:gridSpan w:val="2"/>
          </w:tcPr>
          <w:p>
            <w:pPr>
              <w:jc w:val="center"/>
              <w:ind w:left="35"/>
              <w:spacing w:after="0"/>
              <w:rPr>
                <w:sz w:val="20"/>
                <w:szCs w:val="20"/>
                <w:color w:val="auto"/>
              </w:rPr>
            </w:pPr>
            <w:r>
              <w:rPr>
                <w:rFonts w:ascii="Arial" w:cs="Arial" w:eastAsia="Arial" w:hAnsi="Arial"/>
                <w:sz w:val="11"/>
                <w:szCs w:val="11"/>
                <w:b w:val="1"/>
                <w:bCs w:val="1"/>
                <w:color w:val="auto"/>
                <w:w w:val="96"/>
              </w:rPr>
              <w:t>Number</w:t>
            </w:r>
          </w:p>
        </w:tc>
        <w:tc>
          <w:tcPr>
            <w:tcW w:w="10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0000FF"/>
              </w:rPr>
              <w:t>10.</w:t>
            </w:r>
            <w:r>
              <w:rPr>
                <w:rFonts w:ascii="Arial" w:cs="Arial" w:eastAsia="Arial" w:hAnsi="Arial"/>
                <w:sz w:val="14"/>
                <w:szCs w:val="14"/>
                <w:u w:val="single" w:color="auto"/>
                <w:color w:val="0000FF"/>
              </w:rPr>
              <w:t>1*†</w:t>
            </w:r>
          </w:p>
        </w:tc>
        <w:tc>
          <w:tcPr>
            <w:tcW w:w="1052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Damien McDonald Settlement Agreement, dated April 14, 2023</w:t>
            </w: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0000FF"/>
              </w:rPr>
              <w:t>10.</w:t>
            </w:r>
            <w:r>
              <w:rPr>
                <w:rFonts w:ascii="Arial" w:cs="Arial" w:eastAsia="Arial" w:hAnsi="Arial"/>
                <w:sz w:val="14"/>
                <w:szCs w:val="14"/>
                <w:u w:val="single" w:color="auto"/>
                <w:color w:val="0000FF"/>
              </w:rPr>
              <w:t>2*†</w:t>
            </w:r>
          </w:p>
        </w:tc>
        <w:tc>
          <w:tcPr>
            <w:tcW w:w="10520" w:type="dxa"/>
            <w:vAlign w:val="bottom"/>
          </w:tcPr>
          <w:p>
            <w:pPr>
              <w:ind w:left="120"/>
              <w:spacing w:after="0" w:line="149" w:lineRule="exact"/>
              <w:rPr>
                <w:sz w:val="20"/>
                <w:szCs w:val="20"/>
                <w:color w:val="auto"/>
              </w:rPr>
            </w:pPr>
            <w:r>
              <w:rPr>
                <w:rFonts w:ascii="Arial" w:cs="Arial" w:eastAsia="Arial" w:hAnsi="Arial"/>
                <w:sz w:val="14"/>
                <w:szCs w:val="14"/>
                <w:color w:val="auto"/>
              </w:rPr>
              <w:t>William Kozy Offer Letter, dated April 19, 2023</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0000FF"/>
            </w:tcBorders>
            <w:shd w:val="clear" w:color="auto" w:fill="CCEEFF"/>
          </w:tcPr>
          <w:p>
            <w:pPr>
              <w:spacing w:after="0" w:line="155" w:lineRule="exact"/>
              <w:rPr>
                <w:rFonts w:ascii="Arial" w:cs="Arial" w:eastAsia="Arial" w:hAnsi="Arial"/>
                <w:sz w:val="14"/>
                <w:szCs w:val="14"/>
                <w:color w:val="0000FF"/>
                <w:w w:val="79"/>
              </w:rPr>
            </w:pPr>
            <w:hyperlink r:id="rId57">
              <w:r>
                <w:rPr>
                  <w:rFonts w:ascii="Arial" w:cs="Arial" w:eastAsia="Arial" w:hAnsi="Arial"/>
                  <w:sz w:val="14"/>
                  <w:szCs w:val="14"/>
                  <w:color w:val="0000FF"/>
                  <w:w w:val="79"/>
                </w:rPr>
                <w:t>10.</w:t>
              </w:r>
              <w:r>
                <w:rPr>
                  <w:rFonts w:ascii="Arial" w:cs="Arial" w:eastAsia="Arial" w:hAnsi="Arial"/>
                  <w:sz w:val="14"/>
                  <w:szCs w:val="14"/>
                  <w:u w:val="single" w:color="auto"/>
                  <w:color w:val="0000FF"/>
                  <w:w w:val="79"/>
                </w:rPr>
                <w:t>3†</w:t>
              </w:r>
            </w:hyperlink>
          </w:p>
        </w:tc>
        <w:tc>
          <w:tcPr>
            <w:tcW w:w="420" w:type="dxa"/>
            <w:vAlign w:val="bottom"/>
            <w:tcBorders>
              <w:left w:val="single" w:sz="8" w:color="CCEEFF"/>
              <w:bottom w:val="single" w:sz="8" w:color="CCEEFF"/>
            </w:tcBorders>
            <w:shd w:val="clear" w:color="auto" w:fill="CCEEFF"/>
          </w:tcPr>
          <w:p>
            <w:pPr>
              <w:spacing w:after="0"/>
              <w:rPr>
                <w:sz w:val="14"/>
                <w:szCs w:val="14"/>
                <w:color w:val="auto"/>
              </w:rPr>
            </w:pPr>
          </w:p>
        </w:tc>
        <w:tc>
          <w:tcPr>
            <w:tcW w:w="10520" w:type="dxa"/>
            <w:vAlign w:val="bottom"/>
            <w:tcBorders>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w w:val="93"/>
              </w:rPr>
              <w:t>Amended and Restated LivaNova PLC 2022 Incentive Award Plan, incorporated by reference to Exhibit 10.1 of the Company’s Current Report on Form 8-K, filed on June 16, 2023</w:t>
            </w:r>
          </w:p>
        </w:tc>
        <w:tc>
          <w:tcPr>
            <w:tcW w:w="0" w:type="dxa"/>
            <w:vAlign w:val="bottom"/>
          </w:tcPr>
          <w:p>
            <w:pPr>
              <w:spacing w:after="0"/>
              <w:rPr>
                <w:sz w:val="1"/>
                <w:szCs w:val="1"/>
                <w:color w:val="auto"/>
              </w:rPr>
            </w:pPr>
          </w:p>
        </w:tc>
      </w:tr>
      <w:tr>
        <w:trPr>
          <w:trHeight w:val="149"/>
        </w:trPr>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0000FF"/>
                <w:w w:val="85"/>
              </w:rPr>
              <w:t>31.</w:t>
            </w:r>
            <w:r>
              <w:rPr>
                <w:rFonts w:ascii="Arial" w:cs="Arial" w:eastAsia="Arial" w:hAnsi="Arial"/>
                <w:sz w:val="14"/>
                <w:szCs w:val="14"/>
                <w:u w:val="single" w:color="auto"/>
                <w:color w:val="0000FF"/>
                <w:w w:val="85"/>
              </w:rPr>
              <w:t>1*</w:t>
            </w:r>
          </w:p>
        </w:tc>
        <w:tc>
          <w:tcPr>
            <w:tcW w:w="420" w:type="dxa"/>
            <w:vAlign w:val="bottom"/>
          </w:tcPr>
          <w:p>
            <w:pPr>
              <w:spacing w:after="0"/>
              <w:rPr>
                <w:sz w:val="12"/>
                <w:szCs w:val="12"/>
                <w:color w:val="auto"/>
              </w:rPr>
            </w:pPr>
          </w:p>
        </w:tc>
        <w:tc>
          <w:tcPr>
            <w:tcW w:w="10520" w:type="dxa"/>
            <w:vAlign w:val="bottom"/>
          </w:tcPr>
          <w:p>
            <w:pPr>
              <w:ind w:left="120"/>
              <w:spacing w:after="0" w:line="149" w:lineRule="exact"/>
              <w:rPr>
                <w:sz w:val="20"/>
                <w:szCs w:val="20"/>
                <w:color w:val="auto"/>
              </w:rPr>
            </w:pPr>
            <w:r>
              <w:rPr>
                <w:rFonts w:ascii="Arial" w:cs="Arial" w:eastAsia="Arial" w:hAnsi="Arial"/>
                <w:sz w:val="14"/>
                <w:szCs w:val="14"/>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0000FF"/>
                <w:w w:val="85"/>
              </w:rPr>
              <w:t>31.</w:t>
            </w:r>
            <w:r>
              <w:rPr>
                <w:rFonts w:ascii="Arial" w:cs="Arial" w:eastAsia="Arial" w:hAnsi="Arial"/>
                <w:sz w:val="14"/>
                <w:szCs w:val="14"/>
                <w:u w:val="single" w:color="auto"/>
                <w:color w:val="0000FF"/>
                <w:w w:val="85"/>
              </w:rPr>
              <w:t>2*</w:t>
            </w:r>
          </w:p>
        </w:tc>
        <w:tc>
          <w:tcPr>
            <w:tcW w:w="420" w:type="dxa"/>
            <w:vAlign w:val="bottom"/>
            <w:tcBorders>
              <w:left w:val="single" w:sz="8" w:color="CCEEFF"/>
            </w:tcBorders>
            <w:shd w:val="clear" w:color="auto" w:fill="CCEEFF"/>
          </w:tcPr>
          <w:p>
            <w:pPr>
              <w:spacing w:after="0"/>
              <w:rPr>
                <w:sz w:val="12"/>
                <w:szCs w:val="12"/>
                <w:color w:val="auto"/>
              </w:rPr>
            </w:pPr>
          </w:p>
        </w:tc>
        <w:tc>
          <w:tcPr>
            <w:tcW w:w="10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Borders>
              <w:left w:val="single" w:sz="8" w:color="CCEEFF"/>
            </w:tcBorders>
            <w:shd w:val="clear" w:color="auto" w:fill="CCEEFF"/>
          </w:tcPr>
          <w:p>
            <w:pPr>
              <w:spacing w:after="0"/>
              <w:rPr>
                <w:sz w:val="2"/>
                <w:szCs w:val="2"/>
                <w:color w:val="auto"/>
              </w:rPr>
            </w:pPr>
          </w:p>
        </w:tc>
        <w:tc>
          <w:tcPr>
            <w:tcW w:w="10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0" w:type="dxa"/>
            <w:vAlign w:val="bottom"/>
            <w:gridSpan w:val="2"/>
          </w:tcPr>
          <w:p>
            <w:pPr>
              <w:ind w:left="20"/>
              <w:spacing w:after="0" w:line="149" w:lineRule="exact"/>
              <w:rPr>
                <w:sz w:val="20"/>
                <w:szCs w:val="20"/>
                <w:color w:val="auto"/>
              </w:rPr>
            </w:pPr>
            <w:r>
              <w:rPr>
                <w:rFonts w:ascii="Arial" w:cs="Arial" w:eastAsia="Arial" w:hAnsi="Arial"/>
                <w:sz w:val="14"/>
                <w:szCs w:val="14"/>
                <w:color w:val="0000FF"/>
                <w:w w:val="85"/>
              </w:rPr>
              <w:t>32.</w:t>
            </w:r>
            <w:r>
              <w:rPr>
                <w:rFonts w:ascii="Arial" w:cs="Arial" w:eastAsia="Arial" w:hAnsi="Arial"/>
                <w:sz w:val="14"/>
                <w:szCs w:val="14"/>
                <w:u w:val="single" w:color="auto"/>
                <w:color w:val="0000FF"/>
                <w:w w:val="85"/>
              </w:rPr>
              <w:t>1*</w:t>
            </w:r>
          </w:p>
        </w:tc>
        <w:tc>
          <w:tcPr>
            <w:tcW w:w="420" w:type="dxa"/>
            <w:vAlign w:val="bottom"/>
          </w:tcPr>
          <w:p>
            <w:pPr>
              <w:spacing w:after="0"/>
              <w:rPr>
                <w:sz w:val="12"/>
                <w:szCs w:val="12"/>
                <w:color w:val="auto"/>
              </w:rPr>
            </w:pPr>
          </w:p>
        </w:tc>
        <w:tc>
          <w:tcPr>
            <w:tcW w:w="10520" w:type="dxa"/>
            <w:vAlign w:val="bottom"/>
          </w:tcPr>
          <w:p>
            <w:pPr>
              <w:ind w:left="120"/>
              <w:spacing w:after="0" w:line="149" w:lineRule="exact"/>
              <w:rPr>
                <w:sz w:val="20"/>
                <w:szCs w:val="20"/>
                <w:color w:val="auto"/>
              </w:rPr>
            </w:pPr>
            <w:r>
              <w:rPr>
                <w:rFonts w:ascii="Arial" w:cs="Arial" w:eastAsia="Arial" w:hAnsi="Arial"/>
                <w:sz w:val="14"/>
                <w:szCs w:val="14"/>
                <w:color w:val="auto"/>
              </w:rPr>
              <w:t>Certification of the Chief Executive Officer and Chief Financial Officer of LivaNova PLC pursuant to Section 906 of the Sarbanes-Oxley Act of 2002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4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w w:val="97"/>
              </w:rPr>
              <w:t>101*</w:t>
            </w:r>
          </w:p>
        </w:tc>
        <w:tc>
          <w:tcPr>
            <w:tcW w:w="420" w:type="dxa"/>
            <w:vAlign w:val="bottom"/>
            <w:tcBorders>
              <w:left w:val="single" w:sz="8" w:color="CCEEFF"/>
            </w:tcBorders>
            <w:shd w:val="clear" w:color="auto" w:fill="CCEEFF"/>
          </w:tcPr>
          <w:p>
            <w:pPr>
              <w:spacing w:after="0"/>
              <w:rPr>
                <w:sz w:val="13"/>
                <w:szCs w:val="13"/>
                <w:color w:val="auto"/>
              </w:rPr>
            </w:pPr>
          </w:p>
        </w:tc>
        <w:tc>
          <w:tcPr>
            <w:tcW w:w="1052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w w:val="94"/>
              </w:rPr>
              <w:t>Interactive Data Files Pursuant to Rule 405 of Regulation S-T formatted in Inline XBRL: (i) the Condensed Consolidated Statements of Income for the three and six months ended</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tcBorders>
              <w:left w:val="single" w:sz="8" w:color="CCEEFF"/>
            </w:tcBorders>
            <w:shd w:val="clear" w:color="auto" w:fill="CCEEFF"/>
          </w:tcPr>
          <w:p>
            <w:pPr>
              <w:spacing w:after="0"/>
              <w:rPr>
                <w:sz w:val="12"/>
                <w:szCs w:val="12"/>
                <w:color w:val="auto"/>
              </w:rPr>
            </w:pPr>
          </w:p>
        </w:tc>
        <w:tc>
          <w:tcPr>
            <w:tcW w:w="1052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0"/>
              </w:rPr>
              <w:t>June 30, 2023 and 2022, (ii) the Condensed Consolidated Statements of Comprehensive Income (Loss) for the three and six months ended June 30, 2023 and 2022, (iii) the Condensed</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tcBorders>
              <w:left w:val="single" w:sz="8" w:color="CCEEFF"/>
            </w:tcBorders>
            <w:shd w:val="clear" w:color="auto" w:fill="CCEEFF"/>
          </w:tcPr>
          <w:p>
            <w:pPr>
              <w:spacing w:after="0"/>
              <w:rPr>
                <w:sz w:val="11"/>
                <w:szCs w:val="11"/>
                <w:color w:val="auto"/>
              </w:rPr>
            </w:pPr>
          </w:p>
        </w:tc>
        <w:tc>
          <w:tcPr>
            <w:tcW w:w="1052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3"/>
              </w:rPr>
              <w:t>Consolidated Balance Sheet as of June 30, 2023 and December 31, 2022, (iv) the Condensed Consolidated Statements of Cash Flows for the six months ended June 30, 2023 and</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tcBorders>
              <w:left w:val="single" w:sz="8" w:color="CCEEFF"/>
            </w:tcBorders>
            <w:shd w:val="clear" w:color="auto" w:fill="CCEEFF"/>
          </w:tcPr>
          <w:p>
            <w:pPr>
              <w:spacing w:after="0"/>
              <w:rPr>
                <w:sz w:val="16"/>
                <w:szCs w:val="16"/>
                <w:color w:val="auto"/>
              </w:rPr>
            </w:pPr>
          </w:p>
        </w:tc>
        <w:tc>
          <w:tcPr>
            <w:tcW w:w="10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2022, and (vi) the Notes to the Condensed Consolidated Financial Statements</w:t>
            </w:r>
          </w:p>
        </w:tc>
        <w:tc>
          <w:tcPr>
            <w:tcW w:w="0" w:type="dxa"/>
            <w:vAlign w:val="bottom"/>
          </w:tcPr>
          <w:p>
            <w:pPr>
              <w:spacing w:after="0"/>
              <w:rPr>
                <w:sz w:val="1"/>
                <w:szCs w:val="1"/>
                <w:color w:val="auto"/>
              </w:rPr>
            </w:pPr>
          </w:p>
        </w:tc>
      </w:tr>
      <w:tr>
        <w:trPr>
          <w:trHeight w:val="180"/>
        </w:trPr>
        <w:tc>
          <w:tcPr>
            <w:tcW w:w="340" w:type="dxa"/>
            <w:vAlign w:val="bottom"/>
            <w:gridSpan w:val="2"/>
          </w:tcPr>
          <w:p>
            <w:pPr>
              <w:ind w:left="20"/>
              <w:spacing w:after="0"/>
              <w:rPr>
                <w:sz w:val="20"/>
                <w:szCs w:val="20"/>
                <w:color w:val="auto"/>
              </w:rPr>
            </w:pPr>
            <w:r>
              <w:rPr>
                <w:rFonts w:ascii="Arial" w:cs="Arial" w:eastAsia="Arial" w:hAnsi="Arial"/>
                <w:sz w:val="14"/>
                <w:szCs w:val="14"/>
                <w:color w:val="auto"/>
                <w:w w:val="97"/>
              </w:rPr>
              <w:t>104*</w:t>
            </w:r>
          </w:p>
        </w:tc>
        <w:tc>
          <w:tcPr>
            <w:tcW w:w="420" w:type="dxa"/>
            <w:vAlign w:val="bottom"/>
          </w:tcPr>
          <w:p>
            <w:pPr>
              <w:spacing w:after="0"/>
              <w:rPr>
                <w:sz w:val="15"/>
                <w:szCs w:val="15"/>
                <w:color w:val="auto"/>
              </w:rPr>
            </w:pPr>
          </w:p>
        </w:tc>
        <w:tc>
          <w:tcPr>
            <w:tcW w:w="10520" w:type="dxa"/>
            <w:vAlign w:val="bottom"/>
          </w:tcPr>
          <w:p>
            <w:pPr>
              <w:ind w:left="12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65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520" w:type="dxa"/>
            <w:vAlign w:val="bottom"/>
          </w:tcPr>
          <w:p>
            <w:pPr>
              <w:ind w:left="488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1"/>
        </w:trPr>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05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1" w:name="page42"/>
    <w:bookmarkEnd w:id="41"/>
    <w:p>
      <w:pPr>
        <w:ind w:left="5280"/>
        <w:spacing w:after="0"/>
        <w:rPr>
          <w:sz w:val="20"/>
          <w:szCs w:val="20"/>
          <w:color w:val="auto"/>
        </w:rPr>
      </w:pPr>
      <w:r>
        <w:rPr>
          <w:rFonts w:ascii="Arial" w:cs="Arial" w:eastAsia="Arial" w:hAnsi="Arial"/>
          <w:sz w:val="14"/>
          <w:szCs w:val="14"/>
          <w:b w:val="1"/>
          <w:bCs w:val="1"/>
          <w:color w:val="auto"/>
        </w:rPr>
        <w:t>SIGNATURE</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40" w:type="dxa"/>
            <w:vAlign w:val="bottom"/>
          </w:tcPr>
          <w:p>
            <w:pPr>
              <w:spacing w:after="0"/>
              <w:rPr>
                <w:sz w:val="15"/>
                <w:szCs w:val="15"/>
                <w:color w:val="auto"/>
              </w:rPr>
            </w:pPr>
          </w:p>
        </w:tc>
        <w:tc>
          <w:tcPr>
            <w:tcW w:w="6020" w:type="dxa"/>
            <w:vAlign w:val="bottom"/>
            <w:gridSpan w:val="2"/>
          </w:tcPr>
          <w:p>
            <w:pPr>
              <w:ind w:left="240"/>
              <w:spacing w:after="0"/>
              <w:rPr>
                <w:sz w:val="20"/>
                <w:szCs w:val="20"/>
                <w:color w:val="auto"/>
              </w:rPr>
            </w:pPr>
            <w:r>
              <w:rPr>
                <w:rFonts w:ascii="Arial" w:cs="Arial" w:eastAsia="Arial" w:hAnsi="Arial"/>
                <w:sz w:val="14"/>
                <w:szCs w:val="14"/>
                <w:color w:val="auto"/>
              </w:rPr>
              <w:t>LIVANOVA PLC</w:t>
            </w:r>
          </w:p>
        </w:tc>
      </w:tr>
      <w:tr>
        <w:trPr>
          <w:trHeight w:val="626"/>
        </w:trPr>
        <w:tc>
          <w:tcPr>
            <w:tcW w:w="1340" w:type="dxa"/>
            <w:vAlign w:val="bottom"/>
          </w:tcPr>
          <w:p>
            <w:pPr>
              <w:spacing w:after="0"/>
              <w:rPr>
                <w:sz w:val="20"/>
                <w:szCs w:val="20"/>
                <w:color w:val="auto"/>
              </w:rPr>
            </w:pPr>
            <w:r>
              <w:rPr>
                <w:rFonts w:ascii="Arial" w:cs="Arial" w:eastAsia="Arial" w:hAnsi="Arial"/>
                <w:sz w:val="14"/>
                <w:szCs w:val="14"/>
                <w:color w:val="auto"/>
              </w:rPr>
              <w:t>Date: July 26, 2023</w:t>
            </w:r>
          </w:p>
        </w:tc>
        <w:tc>
          <w:tcPr>
            <w:tcW w:w="800" w:type="dxa"/>
            <w:vAlign w:val="bottom"/>
          </w:tcPr>
          <w:p>
            <w:pPr>
              <w:ind w:left="240"/>
              <w:spacing w:after="0"/>
              <w:rPr>
                <w:sz w:val="20"/>
                <w:szCs w:val="20"/>
                <w:color w:val="auto"/>
              </w:rPr>
            </w:pPr>
            <w:r>
              <w:rPr>
                <w:rFonts w:ascii="Arial" w:cs="Arial" w:eastAsia="Arial" w:hAnsi="Arial"/>
                <w:sz w:val="14"/>
                <w:szCs w:val="14"/>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WILLIAM A. KOZY</w:t>
            </w:r>
          </w:p>
        </w:tc>
      </w:tr>
      <w:tr>
        <w:trPr>
          <w:trHeight w:val="171"/>
        </w:trPr>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20" w:type="dxa"/>
            <w:vAlign w:val="bottom"/>
          </w:tcPr>
          <w:p>
            <w:pPr>
              <w:ind w:left="20"/>
              <w:spacing w:after="0"/>
              <w:rPr>
                <w:sz w:val="20"/>
                <w:szCs w:val="20"/>
                <w:color w:val="auto"/>
              </w:rPr>
            </w:pPr>
            <w:r>
              <w:rPr>
                <w:rFonts w:ascii="Arial" w:cs="Arial" w:eastAsia="Arial" w:hAnsi="Arial"/>
                <w:sz w:val="14"/>
                <w:szCs w:val="14"/>
                <w:color w:val="auto"/>
              </w:rPr>
              <w:t>William A. Kozy</w:t>
            </w:r>
          </w:p>
        </w:tc>
      </w:tr>
      <w:tr>
        <w:trPr>
          <w:trHeight w:val="202"/>
        </w:trPr>
        <w:tc>
          <w:tcPr>
            <w:tcW w:w="1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20" w:type="dxa"/>
            <w:vAlign w:val="bottom"/>
          </w:tcPr>
          <w:p>
            <w:pPr>
              <w:ind w:left="20"/>
              <w:spacing w:after="0"/>
              <w:rPr>
                <w:sz w:val="20"/>
                <w:szCs w:val="20"/>
                <w:color w:val="auto"/>
              </w:rPr>
            </w:pPr>
            <w:r>
              <w:rPr>
                <w:rFonts w:ascii="Arial" w:cs="Arial" w:eastAsia="Arial" w:hAnsi="Arial"/>
                <w:sz w:val="14"/>
                <w:szCs w:val="14"/>
                <w:color w:val="auto"/>
              </w:rPr>
              <w:t>Interim Chief Executive Officer and Chair of the Board</w:t>
            </w:r>
          </w:p>
        </w:tc>
      </w:tr>
      <w:tr>
        <w:trPr>
          <w:trHeight w:val="191"/>
        </w:trPr>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20" w:type="dxa"/>
            <w:vAlign w:val="bottom"/>
          </w:tcPr>
          <w:p>
            <w:pPr>
              <w:ind w:left="20"/>
              <w:spacing w:after="0"/>
              <w:rPr>
                <w:sz w:val="20"/>
                <w:szCs w:val="20"/>
                <w:color w:val="auto"/>
              </w:rPr>
            </w:pPr>
            <w:r>
              <w:rPr>
                <w:rFonts w:ascii="Arial" w:cs="Arial" w:eastAsia="Arial" w:hAnsi="Arial"/>
                <w:sz w:val="14"/>
                <w:szCs w:val="14"/>
                <w:i w:val="1"/>
                <w:iCs w:val="1"/>
                <w:color w:val="auto"/>
              </w:rPr>
              <w:t>(Principal Executive Officer)</w:t>
            </w:r>
          </w:p>
        </w:tc>
      </w:tr>
      <w:tr>
        <w:trPr>
          <w:trHeight w:val="318"/>
        </w:trPr>
        <w:tc>
          <w:tcPr>
            <w:tcW w:w="1340" w:type="dxa"/>
            <w:vAlign w:val="bottom"/>
          </w:tcPr>
          <w:p>
            <w:pPr>
              <w:spacing w:after="0"/>
              <w:rPr>
                <w:sz w:val="24"/>
                <w:szCs w:val="24"/>
                <w:color w:val="auto"/>
              </w:rPr>
            </w:pPr>
          </w:p>
        </w:tc>
        <w:tc>
          <w:tcPr>
            <w:tcW w:w="6020" w:type="dxa"/>
            <w:vAlign w:val="bottom"/>
            <w:gridSpan w:val="2"/>
          </w:tcPr>
          <w:p>
            <w:pPr>
              <w:ind w:left="240"/>
              <w:spacing w:after="0"/>
              <w:rPr>
                <w:sz w:val="20"/>
                <w:szCs w:val="20"/>
                <w:color w:val="auto"/>
              </w:rPr>
            </w:pPr>
            <w:r>
              <w:rPr>
                <w:rFonts w:ascii="Arial" w:cs="Arial" w:eastAsia="Arial" w:hAnsi="Arial"/>
                <w:sz w:val="14"/>
                <w:szCs w:val="14"/>
                <w:color w:val="auto"/>
              </w:rPr>
              <w:t>LIVANOVA PLC</w:t>
            </w:r>
          </w:p>
        </w:tc>
      </w:tr>
      <w:tr>
        <w:trPr>
          <w:trHeight w:val="637"/>
        </w:trPr>
        <w:tc>
          <w:tcPr>
            <w:tcW w:w="1340" w:type="dxa"/>
            <w:vAlign w:val="bottom"/>
          </w:tcPr>
          <w:p>
            <w:pPr>
              <w:spacing w:after="0"/>
              <w:rPr>
                <w:sz w:val="20"/>
                <w:szCs w:val="20"/>
                <w:color w:val="auto"/>
              </w:rPr>
            </w:pPr>
            <w:r>
              <w:rPr>
                <w:rFonts w:ascii="Arial" w:cs="Arial" w:eastAsia="Arial" w:hAnsi="Arial"/>
                <w:sz w:val="14"/>
                <w:szCs w:val="14"/>
                <w:color w:val="auto"/>
              </w:rPr>
              <w:t>Date: July 26, 2023</w:t>
            </w:r>
          </w:p>
        </w:tc>
        <w:tc>
          <w:tcPr>
            <w:tcW w:w="800" w:type="dxa"/>
            <w:vAlign w:val="bottom"/>
          </w:tcPr>
          <w:p>
            <w:pPr>
              <w:ind w:left="240"/>
              <w:spacing w:after="0"/>
              <w:rPr>
                <w:sz w:val="20"/>
                <w:szCs w:val="20"/>
                <w:color w:val="auto"/>
              </w:rPr>
            </w:pPr>
            <w:r>
              <w:rPr>
                <w:rFonts w:ascii="Arial" w:cs="Arial" w:eastAsia="Arial" w:hAnsi="Arial"/>
                <w:sz w:val="14"/>
                <w:szCs w:val="14"/>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ALEX SHVARTSBURG</w:t>
            </w:r>
          </w:p>
        </w:tc>
      </w:tr>
      <w:tr>
        <w:trPr>
          <w:trHeight w:val="171"/>
        </w:trPr>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20" w:type="dxa"/>
            <w:vAlign w:val="bottom"/>
          </w:tcPr>
          <w:p>
            <w:pPr>
              <w:ind w:left="20"/>
              <w:spacing w:after="0"/>
              <w:rPr>
                <w:sz w:val="20"/>
                <w:szCs w:val="20"/>
                <w:color w:val="auto"/>
              </w:rPr>
            </w:pPr>
            <w:r>
              <w:rPr>
                <w:rFonts w:ascii="Arial" w:cs="Arial" w:eastAsia="Arial" w:hAnsi="Arial"/>
                <w:sz w:val="14"/>
                <w:szCs w:val="14"/>
                <w:color w:val="auto"/>
              </w:rPr>
              <w:t>Alex Shvartsburg</w:t>
            </w:r>
          </w:p>
        </w:tc>
      </w:tr>
      <w:tr>
        <w:trPr>
          <w:trHeight w:val="191"/>
        </w:trPr>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2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pacing w:after="0" w:line="22" w:lineRule="exact"/>
        <w:rPr>
          <w:sz w:val="20"/>
          <w:szCs w:val="20"/>
          <w:color w:val="auto"/>
        </w:rPr>
      </w:pPr>
    </w:p>
    <w:p>
      <w:pPr>
        <w:ind w:left="2160"/>
        <w:spacing w:after="0"/>
        <w:rPr>
          <w:sz w:val="20"/>
          <w:szCs w:val="20"/>
          <w:color w:val="auto"/>
        </w:rPr>
      </w:pPr>
      <w:r>
        <w:rPr>
          <w:rFonts w:ascii="Arial" w:cs="Arial" w:eastAsia="Arial" w:hAnsi="Arial"/>
          <w:sz w:val="14"/>
          <w:szCs w:val="14"/>
          <w:i w:val="1"/>
          <w:iCs w:val="1"/>
          <w:color w:val="auto"/>
        </w:rPr>
        <w:t>(Principal Accounting and Financial Officer)</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0420"/>
          </w:cols>
          <w:pgMar w:left="320" w:top="730" w:right="1159" w:bottom="1440"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1073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10730" cy="9320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1073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0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1073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0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1073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10730" cy="9320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1073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rFonts w:ascii="Arial" w:cs="Arial" w:eastAsia="Arial" w:hAnsi="Arial"/>
          <w:sz w:val="14"/>
          <w:szCs w:val="14"/>
          <w:b w:val="1"/>
          <w:bCs w:val="1"/>
          <w:color w:val="auto"/>
        </w:rPr>
        <w:t>EXHIBIT 31.1</w:t>
      </w: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68"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 William A. Kozy, certify that:</w:t>
      </w:r>
    </w:p>
    <w:p>
      <w:pPr>
        <w:spacing w:after="0" w:line="94" w:lineRule="exact"/>
        <w:rPr>
          <w:sz w:val="20"/>
          <w:szCs w:val="20"/>
          <w:color w:val="auto"/>
        </w:rPr>
      </w:pPr>
    </w:p>
    <w:p>
      <w:pPr>
        <w:ind w:left="440" w:hanging="180"/>
        <w:spacing w:after="0"/>
        <w:tabs>
          <w:tab w:leader="none" w:pos="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for the quarterly period ended June 30, 2023 of LivaNova PLC and its consolidated subsidiaries;</w:t>
      </w:r>
    </w:p>
    <w:p>
      <w:pPr>
        <w:spacing w:after="0" w:line="93" w:lineRule="exact"/>
        <w:rPr>
          <w:rFonts w:ascii="Arial" w:cs="Arial" w:eastAsia="Arial" w:hAnsi="Arial"/>
          <w:sz w:val="14"/>
          <w:szCs w:val="14"/>
          <w:color w:val="auto"/>
        </w:rPr>
      </w:pPr>
    </w:p>
    <w:p>
      <w:pPr>
        <w:ind w:firstLine="260"/>
        <w:spacing w:after="0" w:line="281" w:lineRule="auto"/>
        <w:tabs>
          <w:tab w:leader="none" w:pos="479"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4"/>
          <w:szCs w:val="14"/>
          <w:color w:val="auto"/>
        </w:rPr>
      </w:pPr>
    </w:p>
    <w:p>
      <w:pPr>
        <w:ind w:firstLine="260"/>
        <w:spacing w:after="0" w:line="281" w:lineRule="auto"/>
        <w:tabs>
          <w:tab w:leader="none" w:pos="434"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4"/>
          <w:szCs w:val="14"/>
          <w:color w:val="auto"/>
        </w:rPr>
      </w:pPr>
    </w:p>
    <w:p>
      <w:pPr>
        <w:ind w:firstLine="260"/>
        <w:spacing w:after="0" w:line="321" w:lineRule="auto"/>
        <w:tabs>
          <w:tab w:leader="none" w:pos="435"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24" w:lineRule="exact"/>
        <w:rPr>
          <w:sz w:val="20"/>
          <w:szCs w:val="20"/>
          <w:color w:val="auto"/>
        </w:rPr>
      </w:pPr>
    </w:p>
    <w:p>
      <w:pPr>
        <w:ind w:firstLine="260"/>
        <w:spacing w:after="0" w:line="321" w:lineRule="auto"/>
        <w:tabs>
          <w:tab w:leader="none" w:pos="489" w:val="left"/>
        </w:tabs>
        <w:numPr>
          <w:ilvl w:val="0"/>
          <w:numId w:val="1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3"/>
          <w:szCs w:val="13"/>
          <w:color w:val="auto"/>
        </w:rPr>
      </w:pPr>
    </w:p>
    <w:p>
      <w:pPr>
        <w:ind w:firstLine="260"/>
        <w:spacing w:after="0" w:line="281" w:lineRule="auto"/>
        <w:tabs>
          <w:tab w:leader="none" w:pos="53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4"/>
          <w:szCs w:val="14"/>
          <w:color w:val="auto"/>
        </w:rPr>
      </w:pPr>
    </w:p>
    <w:p>
      <w:pPr>
        <w:ind w:firstLine="260"/>
        <w:spacing w:after="0" w:line="281" w:lineRule="auto"/>
        <w:tabs>
          <w:tab w:leader="none" w:pos="483" w:val="left"/>
        </w:tabs>
        <w:numPr>
          <w:ilvl w:val="0"/>
          <w:numId w:val="1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firstLine="260"/>
        <w:spacing w:after="0" w:line="281" w:lineRule="auto"/>
        <w:tabs>
          <w:tab w:leader="none" w:pos="515"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sz w:val="20"/>
          <w:szCs w:val="20"/>
          <w:color w:val="auto"/>
        </w:rPr>
      </w:pPr>
    </w:p>
    <w:p>
      <w:pPr>
        <w:ind w:firstLine="260"/>
        <w:spacing w:after="0" w:line="281" w:lineRule="auto"/>
        <w:tabs>
          <w:tab w:leader="none" w:pos="474"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sz w:val="20"/>
          <w:szCs w:val="20"/>
          <w:color w:val="auto"/>
        </w:rPr>
      </w:pPr>
    </w:p>
    <w:p>
      <w:pPr>
        <w:ind w:firstLine="260"/>
        <w:spacing w:after="0" w:line="281" w:lineRule="auto"/>
        <w:tabs>
          <w:tab w:leader="none" w:pos="511"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500" w:hanging="240"/>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Date: July 26, 2023</w:t>
      </w:r>
    </w:p>
    <w:p>
      <w:pPr>
        <w:spacing w:after="0" w:line="157"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/s/ 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12065</wp:posOffset>
            </wp:positionV>
            <wp:extent cx="338201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William A. Kozy</w:t>
      </w:r>
    </w:p>
    <w:p>
      <w:pPr>
        <w:spacing w:after="0" w:line="19"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Interim Chief Executive Officer and Chair of the Board</w:t>
      </w:r>
    </w:p>
    <w:p>
      <w:pPr>
        <w:spacing w:after="0" w:line="30" w:lineRule="exact"/>
        <w:rPr>
          <w:sz w:val="20"/>
          <w:szCs w:val="20"/>
          <w:color w:val="auto"/>
        </w:rPr>
      </w:pPr>
    </w:p>
    <w:p>
      <w:pPr>
        <w:ind w:left="548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772" w:right="319" w:bottom="1440" w:gutter="0" w:footer="0" w:header="0"/>
        </w:sectPr>
      </w:pPr>
    </w:p>
    <w:bookmarkStart w:id="60" w:name="page61"/>
    <w:bookmarkEnd w:id="60"/>
    <w:p>
      <w:pPr>
        <w:jc w:val="right"/>
        <w:spacing w:after="0"/>
        <w:rPr>
          <w:sz w:val="20"/>
          <w:szCs w:val="20"/>
          <w:color w:val="auto"/>
        </w:rPr>
      </w:pPr>
      <w:r>
        <w:rPr>
          <w:rFonts w:ascii="Arial" w:cs="Arial" w:eastAsia="Arial" w:hAnsi="Arial"/>
          <w:sz w:val="14"/>
          <w:szCs w:val="14"/>
          <w:b w:val="1"/>
          <w:bCs w:val="1"/>
          <w:color w:val="auto"/>
        </w:rPr>
        <w:t>EXHIBIT 31.2</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 Alex Shvartsburg, certify that:</w:t>
      </w:r>
    </w:p>
    <w:p>
      <w:pPr>
        <w:spacing w:after="0" w:line="94" w:lineRule="exact"/>
        <w:rPr>
          <w:sz w:val="20"/>
          <w:szCs w:val="20"/>
          <w:color w:val="auto"/>
        </w:rPr>
      </w:pPr>
    </w:p>
    <w:p>
      <w:pPr>
        <w:ind w:left="440" w:hanging="180"/>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for the quarterly period ended June 30, 2023 of LivaNova PLC and its consolidated subsidiaries;</w:t>
      </w:r>
    </w:p>
    <w:p>
      <w:pPr>
        <w:spacing w:after="0" w:line="93" w:lineRule="exact"/>
        <w:rPr>
          <w:rFonts w:ascii="Arial" w:cs="Arial" w:eastAsia="Arial" w:hAnsi="Arial"/>
          <w:sz w:val="14"/>
          <w:szCs w:val="14"/>
          <w:color w:val="auto"/>
        </w:rPr>
      </w:pPr>
    </w:p>
    <w:p>
      <w:pPr>
        <w:ind w:firstLine="260"/>
        <w:spacing w:after="0" w:line="281" w:lineRule="auto"/>
        <w:tabs>
          <w:tab w:leader="none" w:pos="479"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4"/>
          <w:szCs w:val="14"/>
          <w:color w:val="auto"/>
        </w:rPr>
      </w:pPr>
    </w:p>
    <w:p>
      <w:pPr>
        <w:ind w:firstLine="260"/>
        <w:spacing w:after="0" w:line="281" w:lineRule="auto"/>
        <w:tabs>
          <w:tab w:leader="none" w:pos="434"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4"/>
          <w:szCs w:val="14"/>
          <w:color w:val="auto"/>
        </w:rPr>
      </w:pPr>
    </w:p>
    <w:p>
      <w:pPr>
        <w:ind w:firstLine="260"/>
        <w:spacing w:after="0" w:line="321" w:lineRule="auto"/>
        <w:tabs>
          <w:tab w:leader="none" w:pos="435"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24" w:lineRule="exact"/>
        <w:rPr>
          <w:sz w:val="20"/>
          <w:szCs w:val="20"/>
          <w:color w:val="auto"/>
        </w:rPr>
      </w:pPr>
    </w:p>
    <w:p>
      <w:pPr>
        <w:ind w:firstLine="260"/>
        <w:spacing w:after="0" w:line="321" w:lineRule="auto"/>
        <w:tabs>
          <w:tab w:leader="none" w:pos="489"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3"/>
          <w:szCs w:val="13"/>
          <w:color w:val="auto"/>
        </w:rPr>
      </w:pPr>
    </w:p>
    <w:p>
      <w:pPr>
        <w:ind w:firstLine="260"/>
        <w:spacing w:after="0" w:line="281" w:lineRule="auto"/>
        <w:tabs>
          <w:tab w:leader="none" w:pos="53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4"/>
          <w:szCs w:val="14"/>
          <w:color w:val="auto"/>
        </w:rPr>
      </w:pPr>
    </w:p>
    <w:p>
      <w:pPr>
        <w:ind w:firstLine="260"/>
        <w:spacing w:after="0" w:line="281" w:lineRule="auto"/>
        <w:tabs>
          <w:tab w:leader="none" w:pos="483" w:val="left"/>
        </w:tabs>
        <w:numPr>
          <w:ilvl w:val="0"/>
          <w:numId w:val="1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firstLine="260"/>
        <w:spacing w:after="0" w:line="281" w:lineRule="auto"/>
        <w:tabs>
          <w:tab w:leader="none" w:pos="515"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sz w:val="20"/>
          <w:szCs w:val="20"/>
          <w:color w:val="auto"/>
        </w:rPr>
      </w:pPr>
    </w:p>
    <w:p>
      <w:pPr>
        <w:ind w:firstLine="260"/>
        <w:spacing w:after="0" w:line="281" w:lineRule="auto"/>
        <w:tabs>
          <w:tab w:leader="none" w:pos="474"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sz w:val="20"/>
          <w:szCs w:val="20"/>
          <w:color w:val="auto"/>
        </w:rPr>
      </w:pPr>
    </w:p>
    <w:p>
      <w:pPr>
        <w:ind w:firstLine="260"/>
        <w:spacing w:after="0" w:line="281" w:lineRule="auto"/>
        <w:tabs>
          <w:tab w:leader="none" w:pos="511"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500" w:hanging="240"/>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Date: July 26, 2023</w:t>
      </w:r>
    </w:p>
    <w:p>
      <w:pPr>
        <w:spacing w:after="0" w:line="15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12065</wp:posOffset>
            </wp:positionV>
            <wp:extent cx="338201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Alex Shvartsburg</w:t>
      </w:r>
    </w:p>
    <w:p>
      <w:pPr>
        <w:spacing w:after="0" w:line="1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Chief Financial Officer</w:t>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4"/>
          <w:szCs w:val="14"/>
          <w:i w:val="1"/>
          <w:iCs w:val="1"/>
          <w:color w:val="auto"/>
        </w:rPr>
        <w:t>(Principal Accounting and Financial Officer)</w:t>
      </w:r>
    </w:p>
    <w:p>
      <w:pPr>
        <w:sectPr>
          <w:pgSz w:w="11900" w:h="16838" w:orient="portrait"/>
          <w:cols w:equalWidth="0" w:num="1">
            <w:col w:w="11280"/>
          </w:cols>
          <w:pgMar w:left="300" w:top="772" w:right="31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b w:val="1"/>
          <w:bCs w:val="1"/>
          <w:color w:val="auto"/>
        </w:rPr>
        <w:t>EXHIBIT 32.1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EXECUTIVE OFFICER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FINANCIAL OFFICER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LIVANOVA PLC</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200" w:lineRule="exact"/>
        <w:rPr>
          <w:sz w:val="20"/>
          <w:szCs w:val="20"/>
          <w:color w:val="auto"/>
        </w:rPr>
      </w:pPr>
    </w:p>
    <w:p>
      <w:pPr>
        <w:spacing w:after="0" w:line="301" w:lineRule="exact"/>
        <w:rPr>
          <w:sz w:val="20"/>
          <w:szCs w:val="20"/>
          <w:color w:val="auto"/>
        </w:rPr>
      </w:pPr>
    </w:p>
    <w:p>
      <w:pPr>
        <w:ind w:firstLine="255"/>
        <w:spacing w:after="0" w:line="392" w:lineRule="auto"/>
        <w:rPr>
          <w:sz w:val="20"/>
          <w:szCs w:val="20"/>
          <w:color w:val="auto"/>
        </w:rPr>
      </w:pPr>
      <w:r>
        <w:rPr>
          <w:rFonts w:ascii="Arial" w:cs="Arial" w:eastAsia="Arial" w:hAnsi="Arial"/>
          <w:sz w:val="14"/>
          <w:szCs w:val="14"/>
          <w:color w:val="auto"/>
        </w:rPr>
        <w:t>Each of William A. Kozy, Interim Chief Executive Officer and Chair of the Board of LivaNova PLC (the “Company”), and Alex Shvartsburg, Chief Financial Officer of the Company, each hereby certifies pursuant to 18 U.S.C. Section 1350, as adopted pursuant to Section 906 of the Sarbanes-Oxley Act of 2002, that to the best of his knowledge:</w:t>
      </w:r>
    </w:p>
    <w:p>
      <w:pPr>
        <w:spacing w:after="0" w:line="323" w:lineRule="exact"/>
        <w:rPr>
          <w:sz w:val="20"/>
          <w:szCs w:val="20"/>
          <w:color w:val="auto"/>
        </w:rPr>
      </w:pPr>
    </w:p>
    <w:p>
      <w:pPr>
        <w:ind w:firstLine="419"/>
        <w:spacing w:after="0" w:line="407" w:lineRule="auto"/>
        <w:tabs>
          <w:tab w:leader="none" w:pos="649"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Quarterly Report on Form 10-Q of the Company and its consolidated subsidiaries for the quarterly period ended June 30, 2023, as filed with the Securities and Exchange Commission on the date hereof (the “Report”) fully complies with the requirements of Section 13(a) or 15(d) of the Securities Exchange Act of 1934, as amended; and</w:t>
      </w:r>
    </w:p>
    <w:p>
      <w:pPr>
        <w:spacing w:after="0" w:line="313" w:lineRule="exact"/>
        <w:rPr>
          <w:rFonts w:ascii="Arial" w:cs="Arial" w:eastAsia="Arial" w:hAnsi="Arial"/>
          <w:sz w:val="14"/>
          <w:szCs w:val="14"/>
          <w:color w:val="auto"/>
        </w:rPr>
      </w:pPr>
    </w:p>
    <w:p>
      <w:pPr>
        <w:ind w:left="660" w:hanging="241"/>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Date: July 26, 2023</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/s/ 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19050</wp:posOffset>
            </wp:positionV>
            <wp:extent cx="338201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William A. Kozy</w:t>
      </w:r>
    </w:p>
    <w:p>
      <w:pPr>
        <w:spacing w:after="0" w:line="1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Interim Chief Executive Officer and Chair of the Board</w:t>
      </w:r>
    </w:p>
    <w:p>
      <w:pPr>
        <w:spacing w:after="0" w:line="19" w:lineRule="exact"/>
        <w:rPr>
          <w:sz w:val="20"/>
          <w:szCs w:val="20"/>
          <w:color w:val="auto"/>
        </w:rPr>
      </w:pPr>
    </w:p>
    <w:p>
      <w:pPr>
        <w:ind w:left="5600"/>
        <w:spacing w:after="0"/>
        <w:rPr>
          <w:sz w:val="20"/>
          <w:szCs w:val="20"/>
          <w:color w:val="auto"/>
        </w:rPr>
      </w:pPr>
      <w:r>
        <w:rPr>
          <w:rFonts w:ascii="Arial" w:cs="Arial" w:eastAsia="Arial" w:hAnsi="Arial"/>
          <w:sz w:val="14"/>
          <w:szCs w:val="14"/>
          <w:i w:val="1"/>
          <w:iCs w:val="1"/>
          <w:color w:val="auto"/>
        </w:rPr>
        <w:t>(Principal Executive Officer)</w:t>
      </w:r>
    </w:p>
    <w:p>
      <w:pPr>
        <w:spacing w:after="0" w:line="200" w:lineRule="exact"/>
        <w:rPr>
          <w:sz w:val="20"/>
          <w:szCs w:val="20"/>
          <w:color w:val="auto"/>
        </w:rPr>
      </w:pPr>
    </w:p>
    <w:p>
      <w:pPr>
        <w:spacing w:after="0" w:line="307"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12065</wp:posOffset>
            </wp:positionV>
            <wp:extent cx="338201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Alex Shvartsburg</w:t>
      </w:r>
    </w:p>
    <w:p>
      <w:pPr>
        <w:spacing w:after="0" w:line="30"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Chief Financial Officer</w:t>
      </w:r>
    </w:p>
    <w:p>
      <w:pPr>
        <w:spacing w:after="0" w:line="19" w:lineRule="exact"/>
        <w:rPr>
          <w:sz w:val="20"/>
          <w:szCs w:val="20"/>
          <w:color w:val="auto"/>
        </w:rPr>
      </w:pPr>
    </w:p>
    <w:p>
      <w:pPr>
        <w:ind w:left="5480"/>
        <w:spacing w:after="0"/>
        <w:rPr>
          <w:sz w:val="20"/>
          <w:szCs w:val="20"/>
          <w:color w:val="auto"/>
        </w:rPr>
      </w:pPr>
      <w:r>
        <w:rPr>
          <w:rFonts w:ascii="Arial" w:cs="Arial" w:eastAsia="Arial" w:hAnsi="Arial"/>
          <w:sz w:val="14"/>
          <w:szCs w:val="14"/>
          <w:i w:val="1"/>
          <w:iCs w:val="1"/>
          <w:color w:val="auto"/>
        </w:rPr>
        <w:t>(Principal Accounting and Financial Officer)</w:t>
      </w:r>
    </w:p>
    <w:p>
      <w:pPr>
        <w:spacing w:after="0" w:line="200" w:lineRule="exact"/>
        <w:rPr>
          <w:sz w:val="20"/>
          <w:szCs w:val="20"/>
          <w:color w:val="auto"/>
        </w:rPr>
      </w:pPr>
    </w:p>
    <w:p>
      <w:pPr>
        <w:spacing w:after="0" w:line="286" w:lineRule="exact"/>
        <w:rPr>
          <w:sz w:val="20"/>
          <w:szCs w:val="20"/>
          <w:color w:val="auto"/>
        </w:rPr>
      </w:pPr>
    </w:p>
    <w:p>
      <w:pPr>
        <w:ind w:firstLine="255"/>
        <w:spacing w:after="0" w:line="297" w:lineRule="auto"/>
        <w:rPr>
          <w:sz w:val="20"/>
          <w:szCs w:val="20"/>
          <w:color w:val="auto"/>
        </w:rPr>
      </w:pPr>
      <w:r>
        <w:rPr>
          <w:rFonts w:ascii="Arial" w:cs="Arial" w:eastAsia="Arial" w:hAnsi="Arial"/>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80"/>
      </w:cols>
      <w:pgMar w:left="300" w:top="77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6"/>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5"/>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5"/>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57" Type="http://schemas.openxmlformats.org/officeDocument/2006/relationships/hyperlink" Target="https://www.sec.gov/Archives/edgar/data/1639691/000163969123000057/proposal4approvalofthea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2023-07-26T14:27:20Z</dcterms:created>
  <dcterms:modified xsi:type="dcterms:W3CDTF">2023-07-26T14:27:20Z</dcterms:modified>
</cp:coreProperties>
</file>