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1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29"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22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On August 13, 2021 (the “Effective Date”), LivaNova PLC (together with its consolidated subsidiaries, the “Company”) and its wholly-owned subsidiary, LivaNova USA, Inc. (the “Borrower”) entered into a First Lien Credit Agreement (the “Credit Agreement”) with the lenders and issuing banks party thereto and Goldman Sachs Bank USA, as First Lien Administrative Agent and First Lien Collateral Agent, relating to a $125 million senior secured multi-currency revolving credit facility to be made available to the Borrower (the “Credit Facility”).</w:t>
      </w:r>
    </w:p>
    <w:p>
      <w:pPr>
        <w:spacing w:after="0" w:line="20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The Credit Facility has a five-year term and bears interest at a rate equal to, for U.S. dollar-denominated loans, an adjusted London Interbank Offered Rate (LIBOR) with a floor of 0.00%, or a Base Rate (as defined in the Credit Agreement), plus, in each case, a variable margin based on the Company’s senior secured net leverage ratio. As of the Effective Date, the applicable margin for Eurodollar loans was equal to 3.00% per annum. Interest will be paid monthly or quarterly, as selected by the Borrower, with any outstanding principal due at maturity. The Credit Agreement also contemplates the payment of commitment fees on the unused portion of the commitments, at a variable percentage based on the Company’s senior secured net leverage ratio. As of the Effective Date, the applicable commitment fee percentage was equal to 0.250% per annum.</w:t>
      </w:r>
    </w:p>
    <w:p>
      <w:pPr>
        <w:spacing w:after="0" w:line="204"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Credit Facility is available for working capital and other general corporate purposes and, if drawn, can be repaid at any time without premium or penalty.</w:t>
      </w:r>
    </w:p>
    <w:p>
      <w:pPr>
        <w:spacing w:after="0" w:line="197"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The Credit Agreement contains customary representations, warranties and covenants, including the requirement to maintain a senior secured first lien net leverage ratio for as long as there are any revolving loans outstanding under the Credit Facility, as well as in order for the Company to borrow additional revolving loans.</w:t>
      </w:r>
    </w:p>
    <w:p>
      <w:pPr>
        <w:spacing w:after="0" w:line="2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Credit Agreement is filed herewith as Exhibit 10.1 and incorporated herein by reference. The description above does not purport to be complete and is qualified in its entirety by the complete text of the Credit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70" w:lineRule="exact"/>
        <w:rPr>
          <w:sz w:val="20"/>
          <w:szCs w:val="20"/>
          <w:color w:val="auto"/>
        </w:rPr>
      </w:pPr>
    </w:p>
    <w:p>
      <w:pPr>
        <w:ind w:right="580"/>
        <w:spacing w:after="0" w:line="307" w:lineRule="auto"/>
        <w:rPr>
          <w:sz w:val="20"/>
          <w:szCs w:val="20"/>
          <w:color w:val="auto"/>
        </w:rPr>
      </w:pPr>
      <w:r>
        <w:rPr>
          <w:rFonts w:ascii="Arial" w:cs="Arial" w:eastAsia="Arial" w:hAnsi="Arial"/>
          <w:sz w:val="16"/>
          <w:szCs w:val="16"/>
          <w:color w:val="auto"/>
        </w:rPr>
        <w:t>On August 12, 2021, the Company repaid in full and terminated its previously outstanding $450 million senior secured term loan. That term loan is described in Note 12 to the financial statements included in the Company’s Annual Report on Form 10-K for the year ended December 31, 2020.</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On August 12, 2021, the Company also terminated its previous $50.0 million revolving credit facility agreement with ACF FINCO I LP (which was</w:t>
      </w:r>
    </w:p>
    <w:p>
      <w:pPr>
        <w:spacing w:after="0" w:line="3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undrawn). That revolving credit facility is described in Note 12 to the financial statements included in the Company’s Annual Report on Form 10-K for the year ended December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1.01 is incorporated into this item 2.03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announcing the Company’s entry into the Credit Facility and other matters is furnished (but not filed) herewith as Exhibit 99.1.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960" w:type="dxa"/>
            <w:vAlign w:val="bottom"/>
          </w:tcPr>
          <w:p>
            <w:pPr>
              <w:spacing w:after="0"/>
              <w:rPr>
                <w:sz w:val="18"/>
                <w:szCs w:val="18"/>
                <w:color w:val="auto"/>
              </w:rPr>
            </w:pPr>
          </w:p>
        </w:tc>
        <w:tc>
          <w:tcPr>
            <w:tcW w:w="958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10.1</w:t>
            </w:r>
          </w:p>
        </w:tc>
        <w:tc>
          <w:tcPr>
            <w:tcW w:w="960" w:type="dxa"/>
            <w:vAlign w:val="bottom"/>
          </w:tcPr>
          <w:p>
            <w:pPr>
              <w:spacing w:after="0"/>
              <w:rPr>
                <w:sz w:val="18"/>
                <w:szCs w:val="18"/>
                <w:color w:val="auto"/>
              </w:rPr>
            </w:pPr>
          </w:p>
        </w:tc>
        <w:tc>
          <w:tcPr>
            <w:tcW w:w="9580" w:type="dxa"/>
            <w:vAlign w:val="bottom"/>
            <w:gridSpan w:val="5"/>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First Lien Credit Agreement dated as of August 13, 2021 among LivaNova PLC, LivaNova USA, Inc., the lenders and issuing banks</w:t>
              </w:r>
            </w:hyperlink>
          </w:p>
        </w:tc>
      </w:tr>
      <w:tr>
        <w:trPr>
          <w:trHeight w:val="169"/>
        </w:trPr>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1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party thereto and Goldman Sachs Bank USA, as First Lien Administrative Agent and First Lien Collateral Agent.</w:t>
              </w:r>
            </w:hyperlink>
          </w:p>
        </w:tc>
        <w:tc>
          <w:tcPr>
            <w:tcW w:w="14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19"/>
                <w:szCs w:val="19"/>
                <w:color w:val="auto"/>
              </w:rPr>
            </w:pPr>
          </w:p>
        </w:tc>
        <w:tc>
          <w:tcPr>
            <w:tcW w:w="2740" w:type="dxa"/>
            <w:vAlign w:val="bottom"/>
            <w:tcBorders>
              <w:bottom w:val="single" w:sz="8" w:color="0000FF"/>
            </w:tcBorders>
            <w:gridSpan w:val="2"/>
          </w:tcPr>
          <w:p>
            <w:pPr>
              <w:spacing w:after="0"/>
              <w:rPr>
                <w:rFonts w:ascii="Arial" w:cs="Arial" w:eastAsia="Arial" w:hAnsi="Arial"/>
                <w:sz w:val="18"/>
                <w:szCs w:val="18"/>
                <w:color w:val="0000FF"/>
                <w:w w:val="86"/>
              </w:rPr>
            </w:pPr>
            <w:hyperlink w:anchor="page168">
              <w:r>
                <w:rPr>
                  <w:rFonts w:ascii="Arial" w:cs="Arial" w:eastAsia="Arial" w:hAnsi="Arial"/>
                  <w:sz w:val="18"/>
                  <w:szCs w:val="18"/>
                  <w:color w:val="0000FF"/>
                  <w:w w:val="86"/>
                </w:rPr>
                <w:t>Press Release, dated August 16, 2021.</w:t>
              </w:r>
            </w:hyperlink>
          </w:p>
        </w:tc>
        <w:tc>
          <w:tcPr>
            <w:tcW w:w="6840" w:type="dxa"/>
            <w:vAlign w:val="bottom"/>
            <w:gridSpan w:val="3"/>
          </w:tcPr>
          <w:p>
            <w:pPr>
              <w:spacing w:after="0"/>
              <w:rPr>
                <w:sz w:val="19"/>
                <w:szCs w:val="19"/>
                <w:color w:val="auto"/>
              </w:rPr>
            </w:pPr>
          </w:p>
        </w:tc>
      </w:tr>
    </w:tbl>
    <w:p>
      <w:pPr>
        <w:spacing w:after="0" w:line="40" w:lineRule="exact"/>
        <w:rPr>
          <w:sz w:val="20"/>
          <w:szCs w:val="20"/>
          <w:color w:val="auto"/>
        </w:rPr>
      </w:pPr>
    </w:p>
    <w:p>
      <w:pPr>
        <w:ind w:left="1560" w:hanging="1534"/>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2" w:name="page3"/>
    <w:bookmarkEnd w:id="2"/>
    <w:p>
      <w:pPr>
        <w:ind w:left="510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2840"/>
        <w:spacing w:after="0"/>
        <w:tabs>
          <w:tab w:leader="none" w:pos="466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jc w:val="right"/>
        <w:ind w:right="2780"/>
        <w:spacing w:after="0"/>
        <w:rPr>
          <w:sz w:val="20"/>
          <w:szCs w:val="20"/>
          <w:color w:val="auto"/>
        </w:rPr>
      </w:pPr>
      <w:r>
        <w:rPr>
          <w:rFonts w:ascii="Arial" w:cs="Arial" w:eastAsia="Arial" w:hAnsi="Arial"/>
          <w:sz w:val="18"/>
          <w:szCs w:val="18"/>
          <w:color w:val="auto"/>
        </w:rPr>
        <w:t>Name: Keyna Skeffington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40"/>
          </w:cols>
          <w:pgMar w:left="320" w:top="1012" w:right="1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13, 2021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LIVANOVA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LIVANOVA USA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Borrower,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and Issuing Banks party hereto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GOLDMAN SACHS BANK USA,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First Lien Administrative Agent and First Lien Collateral Agent</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GOLDMAN SACHS BANK USA, BARCLAYS BANK PLC,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9"/>
          <w:szCs w:val="9"/>
          <w:color w:val="FFFFFF"/>
        </w:rPr>
        <w:t>32643.03100</w:t>
      </w:r>
    </w:p>
    <w:p>
      <w:pPr>
        <w:sectPr>
          <w:pgSz w:w="11900" w:h="16838" w:orient="portrait"/>
          <w:cols w:equalWidth="0" w:num="1">
            <w:col w:w="11240"/>
          </w:cols>
          <w:pgMar w:left="320" w:top="121" w:right="339" w:bottom="1440" w:gutter="0" w:footer="0" w:header="0"/>
        </w:sectPr>
      </w:pPr>
    </w:p>
    <w:bookmarkStart w:id="4" w:name="page5"/>
    <w:bookmarkEnd w:id="4"/>
    <w:p>
      <w:pPr>
        <w:jc w:val="right"/>
        <w:ind w:right="32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ARTICLE I Definitions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Defined Terms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color w:val="auto"/>
        </w:rPr>
        <w:t>Classification of Loans and Borrowings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color w:val="auto"/>
        </w:rPr>
        <w:t>Terms Generally</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color w:val="auto"/>
        </w:rPr>
        <w:t>Accounting Terms; GAAP</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color w:val="auto"/>
        </w:rPr>
        <w:t>Effectuation of Transactions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color w:val="auto"/>
        </w:rPr>
        <w:t>Limited Condition Transactions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color w:val="auto"/>
        </w:rPr>
        <w:t>Certain Determinations.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color w:val="auto"/>
        </w:rPr>
        <w:t>Additional Alternative Currencies.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color w:val="auto"/>
        </w:rPr>
        <w:t>Currency Equivalents Generally.</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color w:val="auto"/>
        </w:rPr>
        <w:t>Change in Currency.</w:t>
      </w:r>
    </w:p>
    <w:p>
      <w:pPr>
        <w:spacing w:after="0" w:line="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color w:val="auto"/>
        </w:rPr>
        <w:t>Divisions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ARTICLE II The Credits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Commitments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color w:val="auto"/>
        </w:rPr>
        <w:t>Loans and Borrowings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color w:val="auto"/>
        </w:rPr>
        <w:t>Requests for Borrowings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Swingline Loans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Letters of Credit</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color w:val="auto"/>
        </w:rPr>
        <w:t>Funding of Borrowings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color w:val="auto"/>
        </w:rPr>
        <w:t>Interest Elections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Termination and Reduction of Commitments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color w:val="auto"/>
        </w:rPr>
        <w:t>Repayment of Loans; Evidence of Debt</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[Reserved]</w:t>
      </w:r>
    </w:p>
    <w:p>
      <w:pPr>
        <w:spacing w:after="0" w:line="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color w:val="auto"/>
        </w:rPr>
        <w:t>Prepayment of Loans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3"/>
          <w:szCs w:val="13"/>
          <w:color w:val="auto"/>
        </w:rPr>
        <w:t>Fees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color w:val="auto"/>
        </w:rPr>
        <w:t>Interest</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color w:val="auto"/>
        </w:rPr>
        <w:t>Alternate Rate of Interest</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color w:val="auto"/>
        </w:rPr>
        <w:t>Increased Costs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color w:val="auto"/>
        </w:rPr>
        <w:t>Break Funding Payments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5"/>
          <w:szCs w:val="15"/>
          <w:color w:val="auto"/>
        </w:rPr>
        <w:t>Taxes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color w:val="auto"/>
        </w:rPr>
        <w:t>Payments Generally; Pro Rata Treatment; Sharing of Setoffs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color w:val="auto"/>
        </w:rPr>
        <w:t>Mitigation Obligations; Replacement of Lenders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2.20</w:t>
      </w:r>
      <w:r>
        <w:rPr>
          <w:sz w:val="20"/>
          <w:szCs w:val="20"/>
          <w:color w:val="auto"/>
        </w:rPr>
        <w:tab/>
      </w:r>
      <w:r>
        <w:rPr>
          <w:rFonts w:ascii="Arial" w:cs="Arial" w:eastAsia="Arial" w:hAnsi="Arial"/>
          <w:sz w:val="16"/>
          <w:szCs w:val="16"/>
          <w:color w:val="auto"/>
        </w:rPr>
        <w:t>Incremental Credit Extensions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2.21</w:t>
      </w:r>
      <w:r>
        <w:rPr>
          <w:sz w:val="20"/>
          <w:szCs w:val="20"/>
          <w:color w:val="auto"/>
        </w:rPr>
        <w:tab/>
      </w:r>
      <w:r>
        <w:rPr>
          <w:rFonts w:ascii="Arial" w:cs="Arial" w:eastAsia="Arial" w:hAnsi="Arial"/>
          <w:sz w:val="16"/>
          <w:szCs w:val="16"/>
          <w:color w:val="auto"/>
        </w:rPr>
        <w:t>Refinancing Amendments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2.22</w:t>
      </w:r>
      <w:r>
        <w:rPr>
          <w:sz w:val="20"/>
          <w:szCs w:val="20"/>
          <w:color w:val="auto"/>
        </w:rPr>
        <w:tab/>
      </w:r>
      <w:r>
        <w:rPr>
          <w:rFonts w:ascii="Arial" w:cs="Arial" w:eastAsia="Arial" w:hAnsi="Arial"/>
          <w:sz w:val="16"/>
          <w:szCs w:val="16"/>
          <w:color w:val="auto"/>
        </w:rPr>
        <w:t>Defaulting Lenders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2.23</w:t>
      </w:r>
      <w:r>
        <w:rPr>
          <w:sz w:val="20"/>
          <w:szCs w:val="20"/>
          <w:color w:val="auto"/>
        </w:rPr>
        <w:tab/>
      </w:r>
      <w:r>
        <w:rPr>
          <w:rFonts w:ascii="Arial" w:cs="Arial" w:eastAsia="Arial" w:hAnsi="Arial"/>
          <w:sz w:val="17"/>
          <w:szCs w:val="17"/>
          <w:color w:val="auto"/>
        </w:rPr>
        <w:t>Illegality</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2.24</w:t>
      </w:r>
      <w:r>
        <w:rPr>
          <w:sz w:val="20"/>
          <w:szCs w:val="20"/>
          <w:color w:val="auto"/>
        </w:rPr>
        <w:tab/>
      </w:r>
      <w:r>
        <w:rPr>
          <w:rFonts w:ascii="Arial" w:cs="Arial" w:eastAsia="Arial" w:hAnsi="Arial"/>
          <w:sz w:val="17"/>
          <w:szCs w:val="17"/>
          <w:color w:val="auto"/>
        </w:rPr>
        <w:t>Loan Modification Offers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ARTICLE III Representations and Warranties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59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63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65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73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73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73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75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85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86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88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89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92</w:t>
      </w:r>
    </w:p>
    <w:p>
      <w:pPr>
        <w:spacing w:after="0" w:line="200" w:lineRule="exact"/>
        <w:rPr>
          <w:sz w:val="20"/>
          <w:szCs w:val="20"/>
          <w:color w:val="auto"/>
        </w:rPr>
      </w:pPr>
    </w:p>
    <w:p>
      <w:pPr>
        <w:sectPr>
          <w:pgSz w:w="11900" w:h="16838" w:orient="portrait"/>
          <w:cols w:equalWidth="0" w:num="2">
            <w:col w:w="9780" w:space="720"/>
            <w:col w:w="560"/>
          </w:cols>
          <w:pgMar w:left="40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060"/>
          </w:cols>
          <w:pgMar w:left="400" w:top="121" w:right="439" w:bottom="1440" w:gutter="0" w:footer="0" w:header="0"/>
          <w:type w:val="continuous"/>
        </w:sectPr>
      </w:pPr>
    </w:p>
    <w:bookmarkStart w:id="5" w:name="page6"/>
    <w:bookmarkEnd w:id="5"/>
    <w:p>
      <w:pPr>
        <w:jc w:val="center"/>
        <w:ind w:left="130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left="130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color w:val="auto"/>
        </w:rPr>
        <w:t>Organization; Powers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7"/>
          <w:szCs w:val="17"/>
          <w:color w:val="auto"/>
        </w:rPr>
        <w:t>Authorization; Enforceability</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color w:val="auto"/>
        </w:rPr>
        <w:t>Governmental Approvals; No Conflicts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Financial Condition; No Material Adverse Effect</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5"/>
          <w:szCs w:val="15"/>
          <w:color w:val="auto"/>
        </w:rPr>
        <w:t>Properties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color w:val="auto"/>
        </w:rPr>
        <w:t>Litigation and Environmental Matters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color w:val="auto"/>
        </w:rPr>
        <w:t>Compliance with Laws and Agreements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color w:val="auto"/>
        </w:rPr>
        <w:t>Investment Company Status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5"/>
          <w:szCs w:val="15"/>
          <w:color w:val="auto"/>
        </w:rPr>
        <w:t>Taxes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7"/>
          <w:szCs w:val="17"/>
          <w:color w:val="auto"/>
        </w:rPr>
        <w:t>ERISA</w:t>
      </w:r>
    </w:p>
    <w:p>
      <w:pPr>
        <w:spacing w:after="0" w:line="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color w:val="auto"/>
        </w:rPr>
        <w:t>Disclosure</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color w:val="auto"/>
        </w:rPr>
        <w:t>Subsidiaries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color w:val="auto"/>
        </w:rPr>
        <w:t>Intellectual Property; Licenses, Etc.</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color w:val="auto"/>
        </w:rPr>
        <w:t>Solvency</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5"/>
          <w:szCs w:val="15"/>
          <w:color w:val="auto"/>
        </w:rPr>
        <w:t>Federal Reserve Regulations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5"/>
          <w:szCs w:val="15"/>
          <w:color w:val="auto"/>
        </w:rPr>
        <w:t>Use of Proceeds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color w:val="auto"/>
        </w:rPr>
        <w:t>Patriot Act; Anti-Corruption; Anti-Money Laundering; Sanctions.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ARTICLE IV Conditions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color w:val="auto"/>
        </w:rPr>
        <w:t>Effective Date</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color w:val="auto"/>
        </w:rPr>
        <w:t>Each Credit Event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ARTICLE V Affirmative Covenants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color w:val="auto"/>
        </w:rPr>
        <w:t>Financial Statements and Other Information</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color w:val="auto"/>
        </w:rPr>
        <w:t>Notices of Material Events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color w:val="auto"/>
        </w:rPr>
        <w:t>Information Regarding Collateral</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color w:val="auto"/>
        </w:rPr>
        <w:t>Existence; Conduct of Business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5"/>
          <w:szCs w:val="15"/>
          <w:color w:val="auto"/>
        </w:rPr>
        <w:t>Payment of Taxes, etc.</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color w:val="auto"/>
        </w:rPr>
        <w:t>Maintenance of Properties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5"/>
          <w:szCs w:val="15"/>
          <w:color w:val="auto"/>
        </w:rPr>
        <w:t>Insurance</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color w:val="auto"/>
        </w:rPr>
        <w:t>Books and Records; Inspection and Audit Rights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color w:val="auto"/>
        </w:rPr>
        <w:t>Compliance with Laws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color w:val="auto"/>
        </w:rPr>
        <w:t>Use of Proceeds and Letters of Credit</w:t>
      </w:r>
    </w:p>
    <w:p>
      <w:pPr>
        <w:spacing w:after="0" w:line="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color w:val="auto"/>
        </w:rPr>
        <w:t>Additional Subsidiaries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5"/>
          <w:szCs w:val="15"/>
          <w:color w:val="auto"/>
        </w:rPr>
        <w:t>Further Assurances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color w:val="auto"/>
        </w:rPr>
        <w:t>Designation of Subsidiaries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color w:val="auto"/>
        </w:rPr>
        <w:t>Certain Post-Closing Obligations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color w:val="auto"/>
        </w:rPr>
        <w:t>Lines of Business.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5.16</w:t>
      </w:r>
      <w:r>
        <w:rPr>
          <w:sz w:val="20"/>
          <w:szCs w:val="20"/>
          <w:color w:val="auto"/>
        </w:rPr>
        <w:tab/>
      </w:r>
      <w:r>
        <w:rPr>
          <w:rFonts w:ascii="Arial" w:cs="Arial" w:eastAsia="Arial" w:hAnsi="Arial"/>
          <w:sz w:val="16"/>
          <w:szCs w:val="16"/>
          <w:color w:val="auto"/>
        </w:rPr>
        <w:t>Anti-Corruption; Anti-Money Laundering; Sanctions.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ARTICLE VI Negative Covenants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color w:val="auto"/>
        </w:rPr>
        <w:t>Indebtedness; Certain Equity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92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97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99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213" w:lineRule="exact"/>
        <w:rPr>
          <w:sz w:val="20"/>
          <w:szCs w:val="20"/>
          <w:color w:val="auto"/>
        </w:rPr>
      </w:pPr>
    </w:p>
    <w:p>
      <w:pPr>
        <w:sectPr>
          <w:pgSz w:w="11900" w:h="16838" w:orient="portrait"/>
          <w:cols w:equalWidth="0" w:num="2">
            <w:col w:w="9780" w:space="720"/>
            <w:col w:w="560"/>
          </w:cols>
          <w:pgMar w:left="40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400" w:top="121" w:right="439" w:bottom="1440" w:gutter="0" w:footer="0" w:header="0"/>
          <w:type w:val="continuous"/>
        </w:sectPr>
      </w:pPr>
    </w:p>
    <w:bookmarkStart w:id="6" w:name="page7"/>
    <w:bookmarkEnd w:id="6"/>
    <w:p>
      <w:pPr>
        <w:jc w:val="center"/>
        <w:ind w:left="130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left="130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color w:val="auto"/>
        </w:rPr>
        <w:t>Liens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color w:val="auto"/>
        </w:rPr>
        <w:t>Fundamental Changes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color w:val="auto"/>
        </w:rPr>
        <w:t>Investments, Loans, Advances, Guarantees and Acquisitions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5"/>
          <w:szCs w:val="15"/>
          <w:color w:val="auto"/>
        </w:rPr>
        <w:t>Asset Sales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5"/>
          <w:szCs w:val="15"/>
          <w:color w:val="auto"/>
        </w:rPr>
        <w:t>Sale/Leaseback</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5"/>
          <w:szCs w:val="15"/>
          <w:color w:val="auto"/>
        </w:rPr>
        <w:t>Restricted Payments; Certain Payments of Indebtedness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color w:val="auto"/>
        </w:rPr>
        <w:t>Transactions with Affiliates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color w:val="auto"/>
        </w:rPr>
        <w:t>Restrictive Agreements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color w:val="auto"/>
        </w:rPr>
        <w:t>Amendment of Junior Financing</w:t>
      </w:r>
    </w:p>
    <w:p>
      <w:pPr>
        <w:spacing w:after="0" w:line="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color w:val="auto"/>
        </w:rPr>
        <w:t>Financial Performance Covenant</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color w:val="auto"/>
        </w:rPr>
        <w:t>Changes in Fiscal Periods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color w:val="auto"/>
        </w:rPr>
        <w:t>[reserved]</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color w:val="auto"/>
        </w:rPr>
        <w:t>Anti-Corruption; Anti-Money Laundering; Sanctions.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ARTICLE VII Events of Default</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color w:val="auto"/>
        </w:rPr>
        <w:t>Events of Default</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color w:val="auto"/>
        </w:rPr>
        <w:t>Right to Cure</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color w:val="auto"/>
        </w:rPr>
        <w:t>Application of Proceeds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ARTICLE VIII Administrative Agent</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color w:val="auto"/>
        </w:rPr>
        <w:t>Appointment and Authority</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color w:val="auto"/>
        </w:rPr>
        <w:t>Rights as a Lender</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color w:val="auto"/>
        </w:rPr>
        <w:t>Exculpatory Provisions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color w:val="auto"/>
        </w:rPr>
        <w:t>Reliance by First Lien Administrative Agent</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color w:val="auto"/>
        </w:rPr>
        <w:t>Delegation of Duties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color w:val="auto"/>
        </w:rPr>
        <w:t>Resignation of First Lien Administrative Agent</w:t>
      </w:r>
    </w:p>
    <w:p>
      <w:pPr>
        <w:spacing w:after="0" w:line="77" w:lineRule="exact"/>
        <w:rPr>
          <w:sz w:val="20"/>
          <w:szCs w:val="20"/>
          <w:color w:val="auto"/>
        </w:rPr>
      </w:pPr>
    </w:p>
    <w:p>
      <w:pPr>
        <w:ind w:right="3480"/>
        <w:spacing w:after="0" w:line="328" w:lineRule="auto"/>
        <w:rPr>
          <w:sz w:val="20"/>
          <w:szCs w:val="20"/>
          <w:color w:val="auto"/>
        </w:rPr>
      </w:pPr>
      <w:r>
        <w:rPr>
          <w:rFonts w:ascii="Arial" w:cs="Arial" w:eastAsia="Arial" w:hAnsi="Arial"/>
          <w:sz w:val="18"/>
          <w:szCs w:val="18"/>
          <w:color w:val="auto"/>
        </w:rPr>
        <w:t>SECTION 8.07 Non-Reliance on First Lien Administrative Agent and Other Lenders SECTION 8.08 No Other Duties, Etc.</w:t>
      </w:r>
    </w:p>
    <w:p>
      <w:pPr>
        <w:spacing w:after="0" w:line="1" w:lineRule="exact"/>
        <w:rPr>
          <w:sz w:val="20"/>
          <w:szCs w:val="20"/>
          <w:color w:val="auto"/>
        </w:rPr>
      </w:pPr>
    </w:p>
    <w:p>
      <w:pPr>
        <w:ind w:right="4240"/>
        <w:spacing w:after="0" w:line="323" w:lineRule="auto"/>
        <w:rPr>
          <w:sz w:val="20"/>
          <w:szCs w:val="20"/>
          <w:color w:val="auto"/>
        </w:rPr>
      </w:pPr>
      <w:r>
        <w:rPr>
          <w:rFonts w:ascii="Arial" w:cs="Arial" w:eastAsia="Arial" w:hAnsi="Arial"/>
          <w:sz w:val="18"/>
          <w:szCs w:val="18"/>
          <w:color w:val="auto"/>
        </w:rPr>
        <w:t>SECTION 8.09 First Lien Administrative Agent May File Proofs of Claim SECTION 8.10 No Waiver; Cumulative Remedies; Enforcement SECTION 8.11 Certain ERISA Matters.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ARTICLE IX Miscellaneous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Notices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Waivers; Amendments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Expenses; Indemnity; Damage Waiver</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color w:val="auto"/>
        </w:rPr>
        <w:t>Successors and Assigns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color w:val="auto"/>
        </w:rPr>
        <w:t>Survival</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color w:val="auto"/>
        </w:rPr>
        <w:t>Counterparts; Integration; Effectiveness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9.07</w:t>
      </w:r>
      <w:r>
        <w:rPr>
          <w:sz w:val="20"/>
          <w:szCs w:val="20"/>
          <w:color w:val="auto"/>
        </w:rPr>
        <w:tab/>
      </w:r>
      <w:r>
        <w:rPr>
          <w:rFonts w:ascii="Arial" w:cs="Arial" w:eastAsia="Arial" w:hAnsi="Arial"/>
          <w:sz w:val="16"/>
          <w:szCs w:val="16"/>
          <w:color w:val="auto"/>
        </w:rPr>
        <w:t>Severability</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7"/>
          <w:szCs w:val="17"/>
          <w:color w:val="auto"/>
        </w:rPr>
        <w:t>Right of Setoff</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color w:val="auto"/>
        </w:rPr>
        <w:t>Governing Law; Jurisdiction; Consent to Service of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111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114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115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118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123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125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126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126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126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126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126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126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129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130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136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138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141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143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147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148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148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148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149</w:t>
      </w:r>
    </w:p>
    <w:p>
      <w:pPr>
        <w:spacing w:after="0" w:line="213" w:lineRule="exact"/>
        <w:rPr>
          <w:sz w:val="20"/>
          <w:szCs w:val="20"/>
          <w:color w:val="auto"/>
        </w:rPr>
      </w:pPr>
    </w:p>
    <w:p>
      <w:pPr>
        <w:sectPr>
          <w:pgSz w:w="11900" w:h="16838" w:orient="portrait"/>
          <w:cols w:equalWidth="0" w:num="2">
            <w:col w:w="9780" w:space="720"/>
            <w:col w:w="560"/>
          </w:cols>
          <w:pgMar w:left="40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400" w:top="121" w:right="439" w:bottom="1440" w:gutter="0" w:footer="0" w:header="0"/>
          <w:type w:val="continuous"/>
        </w:sectPr>
      </w:pPr>
    </w:p>
    <w:bookmarkStart w:id="7" w:name="page8"/>
    <w:bookmarkEnd w:id="7"/>
    <w:p>
      <w:pPr>
        <w:jc w:val="center"/>
        <w:ind w:left="13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left="1320"/>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7"/>
          <w:szCs w:val="17"/>
          <w:color w:val="auto"/>
        </w:rPr>
        <w:t>WAIVER OF JURY TRIAL</w:t>
      </w:r>
    </w:p>
    <w:p>
      <w:pPr>
        <w:spacing w:after="0" w:line="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9.11</w:t>
      </w:r>
      <w:r>
        <w:rPr>
          <w:sz w:val="20"/>
          <w:szCs w:val="20"/>
          <w:color w:val="auto"/>
        </w:rPr>
        <w:tab/>
      </w:r>
      <w:r>
        <w:rPr>
          <w:rFonts w:ascii="Arial" w:cs="Arial" w:eastAsia="Arial" w:hAnsi="Arial"/>
          <w:sz w:val="16"/>
          <w:szCs w:val="16"/>
          <w:color w:val="auto"/>
        </w:rPr>
        <w:t>Headings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9.12</w:t>
      </w:r>
      <w:r>
        <w:rPr>
          <w:sz w:val="20"/>
          <w:szCs w:val="20"/>
          <w:color w:val="auto"/>
        </w:rPr>
        <w:tab/>
      </w:r>
      <w:r>
        <w:rPr>
          <w:rFonts w:ascii="Arial" w:cs="Arial" w:eastAsia="Arial" w:hAnsi="Arial"/>
          <w:sz w:val="17"/>
          <w:szCs w:val="17"/>
          <w:color w:val="auto"/>
        </w:rPr>
        <w:t>Confidentiality</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9.13</w:t>
      </w:r>
      <w:r>
        <w:rPr>
          <w:sz w:val="20"/>
          <w:szCs w:val="20"/>
          <w:color w:val="auto"/>
        </w:rPr>
        <w:tab/>
      </w:r>
      <w:r>
        <w:rPr>
          <w:rFonts w:ascii="Arial" w:cs="Arial" w:eastAsia="Arial" w:hAnsi="Arial"/>
          <w:sz w:val="16"/>
          <w:szCs w:val="16"/>
          <w:color w:val="auto"/>
        </w:rPr>
        <w:t>USA PATRIOT Act</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9.14</w:t>
      </w:r>
      <w:r>
        <w:rPr>
          <w:sz w:val="20"/>
          <w:szCs w:val="20"/>
          <w:color w:val="auto"/>
        </w:rPr>
        <w:tab/>
      </w:r>
      <w:r>
        <w:rPr>
          <w:rFonts w:ascii="Arial" w:cs="Arial" w:eastAsia="Arial" w:hAnsi="Arial"/>
          <w:sz w:val="15"/>
          <w:szCs w:val="15"/>
          <w:color w:val="auto"/>
        </w:rPr>
        <w:t>Release of Liens and Guarantees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9.15</w:t>
      </w:r>
      <w:r>
        <w:rPr>
          <w:sz w:val="20"/>
          <w:szCs w:val="20"/>
          <w:color w:val="auto"/>
        </w:rPr>
        <w:tab/>
      </w:r>
      <w:r>
        <w:rPr>
          <w:rFonts w:ascii="Arial" w:cs="Arial" w:eastAsia="Arial" w:hAnsi="Arial"/>
          <w:sz w:val="16"/>
          <w:szCs w:val="16"/>
          <w:color w:val="auto"/>
        </w:rPr>
        <w:t>No Advisory or Fiduciary Responsibility</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6"/>
          <w:szCs w:val="16"/>
          <w:color w:val="auto"/>
        </w:rPr>
        <w:t>Interest Rate Limitation</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9.17</w:t>
      </w:r>
      <w:r>
        <w:rPr>
          <w:sz w:val="20"/>
          <w:szCs w:val="20"/>
          <w:color w:val="auto"/>
        </w:rPr>
        <w:tab/>
      </w:r>
      <w:r>
        <w:rPr>
          <w:rFonts w:ascii="Arial" w:cs="Arial" w:eastAsia="Arial" w:hAnsi="Arial"/>
          <w:sz w:val="16"/>
          <w:szCs w:val="16"/>
          <w:color w:val="auto"/>
        </w:rPr>
        <w:t>Judgment Currency</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9.18</w:t>
      </w:r>
      <w:r>
        <w:rPr>
          <w:sz w:val="20"/>
          <w:szCs w:val="20"/>
          <w:color w:val="auto"/>
        </w:rPr>
        <w:tab/>
      </w:r>
      <w:r>
        <w:rPr>
          <w:rFonts w:ascii="Arial" w:cs="Arial" w:eastAsia="Arial" w:hAnsi="Arial"/>
          <w:sz w:val="16"/>
          <w:szCs w:val="16"/>
          <w:color w:val="auto"/>
        </w:rPr>
        <w:t>Acknowledgement and Consent to Bail-In of Affected Financial Institutions.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9.19</w:t>
      </w:r>
      <w:r>
        <w:rPr>
          <w:sz w:val="20"/>
          <w:szCs w:val="20"/>
          <w:color w:val="auto"/>
        </w:rPr>
        <w:tab/>
      </w:r>
      <w:r>
        <w:rPr>
          <w:rFonts w:ascii="Arial" w:cs="Arial" w:eastAsia="Arial" w:hAnsi="Arial"/>
          <w:sz w:val="16"/>
          <w:szCs w:val="16"/>
          <w:color w:val="auto"/>
        </w:rPr>
        <w:t>Intercreditor Agreement</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9.20</w:t>
      </w:r>
      <w:r>
        <w:rPr>
          <w:sz w:val="20"/>
          <w:szCs w:val="20"/>
          <w:color w:val="auto"/>
        </w:rPr>
        <w:tab/>
      </w:r>
      <w:r>
        <w:rPr>
          <w:rFonts w:ascii="Arial" w:cs="Arial" w:eastAsia="Arial" w:hAnsi="Arial"/>
          <w:sz w:val="15"/>
          <w:szCs w:val="15"/>
          <w:color w:val="auto"/>
        </w:rPr>
        <w:t>Cashless Settlement</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9.21</w:t>
      </w:r>
      <w:r>
        <w:rPr>
          <w:sz w:val="20"/>
          <w:szCs w:val="20"/>
          <w:color w:val="auto"/>
        </w:rPr>
        <w:tab/>
      </w:r>
      <w:r>
        <w:rPr>
          <w:rFonts w:ascii="Arial" w:cs="Arial" w:eastAsia="Arial" w:hAnsi="Arial"/>
          <w:sz w:val="16"/>
          <w:szCs w:val="16"/>
          <w:color w:val="auto"/>
        </w:rPr>
        <w:t>Acknowledgment Regarding Any Supported QFCs</w:t>
      </w:r>
    </w:p>
    <w:p>
      <w:pPr>
        <w:spacing w:after="0" w:line="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9.22</w:t>
      </w:r>
      <w:r>
        <w:rPr>
          <w:sz w:val="20"/>
          <w:szCs w:val="20"/>
          <w:color w:val="auto"/>
        </w:rPr>
        <w:tab/>
      </w:r>
      <w:r>
        <w:rPr>
          <w:rFonts w:ascii="Arial" w:cs="Arial" w:eastAsia="Arial" w:hAnsi="Arial"/>
          <w:sz w:val="16"/>
          <w:szCs w:val="16"/>
          <w:color w:val="auto"/>
        </w:rPr>
        <w:t>Acknowledgment of Issuing Lenders and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149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150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150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151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151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152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153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153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153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154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154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154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155</w:t>
      </w:r>
    </w:p>
    <w:p>
      <w:pPr>
        <w:sectPr>
          <w:pgSz w:w="11900" w:h="16838" w:orient="portrait"/>
          <w:cols w:equalWidth="0" w:num="2">
            <w:col w:w="9780" w:space="720"/>
            <w:col w:w="560"/>
          </w:cols>
          <w:pgMar w:left="40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1.01</w:t>
        <w:tab/>
        <w:t>—</w:t>
      </w:r>
      <w:r>
        <w:rPr>
          <w:sz w:val="20"/>
          <w:szCs w:val="20"/>
          <w:color w:val="auto"/>
        </w:rPr>
        <w:tab/>
      </w:r>
      <w:r>
        <w:rPr>
          <w:rFonts w:ascii="Arial" w:cs="Arial" w:eastAsia="Arial" w:hAnsi="Arial"/>
          <w:sz w:val="16"/>
          <w:szCs w:val="16"/>
          <w:color w:val="auto"/>
        </w:rPr>
        <w:t>Excluded Subsidiaries</w:t>
      </w:r>
    </w:p>
    <w:p>
      <w:pPr>
        <w:spacing w:after="0" w:line="23" w:lineRule="exact"/>
        <w:rPr>
          <w:sz w:val="20"/>
          <w:szCs w:val="20"/>
          <w:color w:val="auto"/>
        </w:rPr>
      </w:pPr>
    </w:p>
    <w:p>
      <w:pPr>
        <w:ind w:right="4479"/>
        <w:spacing w:after="0" w:line="250" w:lineRule="auto"/>
        <w:rPr>
          <w:sz w:val="20"/>
          <w:szCs w:val="20"/>
          <w:color w:val="auto"/>
        </w:rPr>
      </w:pPr>
      <w:r>
        <w:rPr>
          <w:rFonts w:ascii="Arial" w:cs="Arial" w:eastAsia="Arial" w:hAnsi="Arial"/>
          <w:sz w:val="18"/>
          <w:szCs w:val="18"/>
          <w:color w:val="auto"/>
        </w:rPr>
        <w:t>Schedule 2.01 — Commitments and Loans; Letter of Credit Commitments Schedule 2.05 — Existing Letters of Credit</w:t>
      </w:r>
    </w:p>
    <w:p>
      <w:pPr>
        <w:spacing w:after="0" w:line="1" w:lineRule="exact"/>
        <w:rPr>
          <w:sz w:val="20"/>
          <w:szCs w:val="20"/>
          <w:color w:val="auto"/>
        </w:rPr>
      </w:pP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3.03</w:t>
        <w:tab/>
        <w:t>—</w:t>
      </w:r>
      <w:r>
        <w:rPr>
          <w:sz w:val="20"/>
          <w:szCs w:val="20"/>
          <w:color w:val="auto"/>
        </w:rPr>
        <w:tab/>
      </w:r>
      <w:r>
        <w:rPr>
          <w:rFonts w:ascii="Arial" w:cs="Arial" w:eastAsia="Arial" w:hAnsi="Arial"/>
          <w:sz w:val="16"/>
          <w:szCs w:val="16"/>
          <w:color w:val="auto"/>
        </w:rPr>
        <w:t>Government Approvals; No Conflicts</w:t>
      </w:r>
    </w:p>
    <w:p>
      <w:pPr>
        <w:spacing w:after="0" w:line="9" w:lineRule="exact"/>
        <w:rPr>
          <w:sz w:val="20"/>
          <w:szCs w:val="20"/>
          <w:color w:val="auto"/>
        </w:rPr>
      </w:pPr>
    </w:p>
    <w:p>
      <w:pPr>
        <w:spacing w:after="0"/>
        <w:tabs>
          <w:tab w:leader="none" w:pos="1240" w:val="left"/>
          <w:tab w:leader="none" w:pos="1600" w:val="left"/>
        </w:tabs>
        <w:rPr>
          <w:sz w:val="20"/>
          <w:szCs w:val="20"/>
          <w:color w:val="auto"/>
        </w:rPr>
      </w:pPr>
      <w:r>
        <w:rPr>
          <w:rFonts w:ascii="Arial" w:cs="Arial" w:eastAsia="Arial" w:hAnsi="Arial"/>
          <w:sz w:val="18"/>
          <w:szCs w:val="18"/>
          <w:color w:val="auto"/>
        </w:rPr>
        <w:t>Schedule 3.06</w:t>
        <w:tab/>
        <w:t>—</w:t>
      </w:r>
      <w:r>
        <w:rPr>
          <w:sz w:val="20"/>
          <w:szCs w:val="20"/>
          <w:color w:val="auto"/>
        </w:rPr>
        <w:tab/>
      </w:r>
      <w:r>
        <w:rPr>
          <w:rFonts w:ascii="Arial" w:cs="Arial" w:eastAsia="Arial" w:hAnsi="Arial"/>
          <w:sz w:val="16"/>
          <w:szCs w:val="16"/>
          <w:color w:val="auto"/>
        </w:rPr>
        <w:t>Litigation and Environmental Matters</w:t>
      </w:r>
    </w:p>
    <w:p>
      <w:pPr>
        <w:spacing w:after="0" w:line="9" w:lineRule="exact"/>
        <w:rPr>
          <w:sz w:val="20"/>
          <w:szCs w:val="20"/>
          <w:color w:val="auto"/>
        </w:rPr>
      </w:pP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3.12</w:t>
        <w:tab/>
        <w:t>—</w:t>
      </w:r>
      <w:r>
        <w:rPr>
          <w:sz w:val="20"/>
          <w:szCs w:val="20"/>
          <w:color w:val="auto"/>
        </w:rPr>
        <w:tab/>
      </w:r>
      <w:r>
        <w:rPr>
          <w:rFonts w:ascii="Arial" w:cs="Arial" w:eastAsia="Arial" w:hAnsi="Arial"/>
          <w:sz w:val="16"/>
          <w:szCs w:val="16"/>
          <w:color w:val="auto"/>
        </w:rPr>
        <w:t>Subsidiaries</w:t>
      </w:r>
    </w:p>
    <w:p>
      <w:pPr>
        <w:spacing w:after="0" w:line="9" w:lineRule="exact"/>
        <w:rPr>
          <w:sz w:val="20"/>
          <w:szCs w:val="20"/>
          <w:color w:val="auto"/>
        </w:rPr>
      </w:pP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5.14</w:t>
        <w:tab/>
        <w:t>—</w:t>
      </w:r>
      <w:r>
        <w:rPr>
          <w:sz w:val="20"/>
          <w:szCs w:val="20"/>
          <w:color w:val="auto"/>
        </w:rPr>
        <w:tab/>
      </w:r>
      <w:r>
        <w:rPr>
          <w:rFonts w:ascii="Arial" w:cs="Arial" w:eastAsia="Arial" w:hAnsi="Arial"/>
          <w:sz w:val="16"/>
          <w:szCs w:val="16"/>
          <w:color w:val="auto"/>
        </w:rPr>
        <w:t>Certain Post-Closing Obligations</w:t>
      </w:r>
    </w:p>
    <w:p>
      <w:pPr>
        <w:spacing w:after="0" w:line="9" w:lineRule="exact"/>
        <w:rPr>
          <w:sz w:val="20"/>
          <w:szCs w:val="20"/>
          <w:color w:val="auto"/>
        </w:rPr>
      </w:pP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6.01</w:t>
        <w:tab/>
        <w:t>—</w:t>
      </w:r>
      <w:r>
        <w:rPr>
          <w:sz w:val="20"/>
          <w:szCs w:val="20"/>
          <w:color w:val="auto"/>
        </w:rPr>
        <w:tab/>
      </w:r>
      <w:r>
        <w:rPr>
          <w:rFonts w:ascii="Arial" w:cs="Arial" w:eastAsia="Arial" w:hAnsi="Arial"/>
          <w:sz w:val="16"/>
          <w:szCs w:val="16"/>
          <w:color w:val="auto"/>
        </w:rPr>
        <w:t>Existing Indebtedness</w:t>
      </w:r>
    </w:p>
    <w:p>
      <w:pPr>
        <w:spacing w:after="0" w:line="9" w:lineRule="exact"/>
        <w:rPr>
          <w:sz w:val="20"/>
          <w:szCs w:val="20"/>
          <w:color w:val="auto"/>
        </w:rPr>
      </w:pP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6.02</w:t>
        <w:tab/>
        <w:t>—</w:t>
      </w:r>
      <w:r>
        <w:rPr>
          <w:sz w:val="20"/>
          <w:szCs w:val="20"/>
          <w:color w:val="auto"/>
        </w:rPr>
        <w:tab/>
      </w:r>
      <w:r>
        <w:rPr>
          <w:rFonts w:ascii="Arial" w:cs="Arial" w:eastAsia="Arial" w:hAnsi="Arial"/>
          <w:sz w:val="17"/>
          <w:szCs w:val="17"/>
          <w:color w:val="auto"/>
        </w:rPr>
        <w:t>Existing Liens</w:t>
      </w:r>
    </w:p>
    <w:p>
      <w:pPr>
        <w:spacing w:after="0" w:line="9" w:lineRule="exact"/>
        <w:rPr>
          <w:sz w:val="20"/>
          <w:szCs w:val="20"/>
          <w:color w:val="auto"/>
        </w:rPr>
      </w:pP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6.04</w:t>
        <w:tab/>
        <w:t>—</w:t>
      </w:r>
      <w:r>
        <w:rPr>
          <w:sz w:val="20"/>
          <w:szCs w:val="20"/>
          <w:color w:val="auto"/>
        </w:rPr>
        <w:tab/>
      </w:r>
      <w:r>
        <w:rPr>
          <w:rFonts w:ascii="Arial" w:cs="Arial" w:eastAsia="Arial" w:hAnsi="Arial"/>
          <w:sz w:val="16"/>
          <w:szCs w:val="16"/>
          <w:color w:val="auto"/>
        </w:rPr>
        <w:t>Existing Investments</w:t>
      </w:r>
    </w:p>
    <w:p>
      <w:pPr>
        <w:spacing w:after="0" w:line="9" w:lineRule="exact"/>
        <w:rPr>
          <w:sz w:val="20"/>
          <w:szCs w:val="20"/>
          <w:color w:val="auto"/>
        </w:rPr>
      </w:pP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6.08</w:t>
        <w:tab/>
        <w:t>—</w:t>
      </w:r>
      <w:r>
        <w:rPr>
          <w:sz w:val="20"/>
          <w:szCs w:val="20"/>
          <w:color w:val="auto"/>
        </w:rPr>
        <w:tab/>
      </w:r>
      <w:r>
        <w:rPr>
          <w:rFonts w:ascii="Arial" w:cs="Arial" w:eastAsia="Arial" w:hAnsi="Arial"/>
          <w:sz w:val="16"/>
          <w:szCs w:val="16"/>
          <w:color w:val="auto"/>
        </w:rPr>
        <w:t>Existing Affiliate Transactions</w:t>
      </w:r>
    </w:p>
    <w:p>
      <w:pPr>
        <w:spacing w:after="0" w:line="9" w:lineRule="exact"/>
        <w:rPr>
          <w:sz w:val="20"/>
          <w:szCs w:val="20"/>
          <w:color w:val="auto"/>
        </w:rPr>
      </w:pP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6.09</w:t>
        <w:tab/>
        <w:t>—</w:t>
      </w:r>
      <w:r>
        <w:rPr>
          <w:sz w:val="20"/>
          <w:szCs w:val="20"/>
          <w:color w:val="auto"/>
        </w:rPr>
        <w:tab/>
      </w:r>
      <w:r>
        <w:rPr>
          <w:rFonts w:ascii="Arial" w:cs="Arial" w:eastAsia="Arial" w:hAnsi="Arial"/>
          <w:sz w:val="16"/>
          <w:szCs w:val="16"/>
          <w:color w:val="auto"/>
        </w:rPr>
        <w:t>Existing Restrictions</w:t>
      </w:r>
    </w:p>
    <w:p>
      <w:pPr>
        <w:spacing w:after="0" w:line="9" w:lineRule="exact"/>
        <w:rPr>
          <w:sz w:val="20"/>
          <w:szCs w:val="20"/>
          <w:color w:val="auto"/>
        </w:rPr>
      </w:pPr>
    </w:p>
    <w:p>
      <w:pPr>
        <w:spacing w:after="0"/>
        <w:tabs>
          <w:tab w:leader="none" w:pos="1180" w:val="left"/>
          <w:tab w:leader="none" w:pos="1540" w:val="left"/>
        </w:tabs>
        <w:rPr>
          <w:sz w:val="20"/>
          <w:szCs w:val="20"/>
          <w:color w:val="auto"/>
        </w:rPr>
      </w:pPr>
      <w:r>
        <w:rPr>
          <w:rFonts w:ascii="Arial" w:cs="Arial" w:eastAsia="Arial" w:hAnsi="Arial"/>
          <w:sz w:val="18"/>
          <w:szCs w:val="18"/>
          <w:color w:val="auto"/>
        </w:rPr>
        <w:t>Schedule 9.01</w:t>
        <w:tab/>
        <w:t>—</w:t>
      </w:r>
      <w:r>
        <w:rPr>
          <w:sz w:val="20"/>
          <w:szCs w:val="20"/>
          <w:color w:val="auto"/>
        </w:rPr>
        <w:tab/>
      </w:r>
      <w:r>
        <w:rPr>
          <w:rFonts w:ascii="Arial" w:cs="Arial" w:eastAsia="Arial" w:hAnsi="Arial"/>
          <w:sz w:val="16"/>
          <w:szCs w:val="16"/>
          <w:color w:val="auto"/>
        </w:rPr>
        <w:t>Notices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860" w:val="left"/>
          <w:tab w:leader="none" w:pos="1220" w:val="left"/>
        </w:tabs>
        <w:rPr>
          <w:sz w:val="20"/>
          <w:szCs w:val="20"/>
          <w:color w:val="auto"/>
        </w:rPr>
      </w:pPr>
      <w:r>
        <w:rPr>
          <w:rFonts w:ascii="Arial" w:cs="Arial" w:eastAsia="Arial" w:hAnsi="Arial"/>
          <w:sz w:val="18"/>
          <w:szCs w:val="18"/>
          <w:color w:val="auto"/>
        </w:rPr>
        <w:t>Exhibit A</w:t>
        <w:tab/>
        <w:t>—</w:t>
      </w:r>
      <w:r>
        <w:rPr>
          <w:sz w:val="20"/>
          <w:szCs w:val="20"/>
          <w:color w:val="auto"/>
        </w:rPr>
        <w:tab/>
      </w:r>
      <w:r>
        <w:rPr>
          <w:rFonts w:ascii="Arial" w:cs="Arial" w:eastAsia="Arial" w:hAnsi="Arial"/>
          <w:sz w:val="16"/>
          <w:szCs w:val="16"/>
          <w:color w:val="auto"/>
        </w:rPr>
        <w:t>Form of Assignment and Assumption</w:t>
      </w:r>
    </w:p>
    <w:p>
      <w:pPr>
        <w:spacing w:after="0" w:line="23" w:lineRule="exact"/>
        <w:rPr>
          <w:sz w:val="20"/>
          <w:szCs w:val="20"/>
          <w:color w:val="auto"/>
        </w:rPr>
      </w:pPr>
    </w:p>
    <w:p>
      <w:pPr>
        <w:spacing w:after="0"/>
        <w:tabs>
          <w:tab w:leader="none" w:pos="860" w:val="left"/>
          <w:tab w:leader="none" w:pos="1220" w:val="left"/>
        </w:tabs>
        <w:rPr>
          <w:sz w:val="20"/>
          <w:szCs w:val="20"/>
          <w:color w:val="auto"/>
        </w:rPr>
      </w:pPr>
      <w:r>
        <w:rPr>
          <w:rFonts w:ascii="Arial" w:cs="Arial" w:eastAsia="Arial" w:hAnsi="Arial"/>
          <w:sz w:val="18"/>
          <w:szCs w:val="18"/>
          <w:color w:val="auto"/>
        </w:rPr>
        <w:t>Exhibit B</w:t>
        <w:tab/>
        <w:t>—</w:t>
      </w:r>
      <w:r>
        <w:rPr>
          <w:sz w:val="20"/>
          <w:szCs w:val="20"/>
          <w:color w:val="auto"/>
        </w:rPr>
        <w:tab/>
      </w:r>
      <w:r>
        <w:rPr>
          <w:rFonts w:ascii="Arial" w:cs="Arial" w:eastAsia="Arial" w:hAnsi="Arial"/>
          <w:sz w:val="16"/>
          <w:szCs w:val="16"/>
          <w:color w:val="auto"/>
        </w:rPr>
        <w:t>Form of First Lien Guarantee Agreement</w:t>
      </w:r>
    </w:p>
    <w:p>
      <w:pPr>
        <w:spacing w:after="0" w:line="9" w:lineRule="exact"/>
        <w:rPr>
          <w:sz w:val="20"/>
          <w:szCs w:val="20"/>
          <w:color w:val="auto"/>
        </w:rPr>
      </w:pPr>
    </w:p>
    <w:p>
      <w:pPr>
        <w:spacing w:after="0"/>
        <w:tabs>
          <w:tab w:leader="none" w:pos="860" w:val="left"/>
          <w:tab w:leader="none" w:pos="1220" w:val="left"/>
        </w:tabs>
        <w:rPr>
          <w:sz w:val="20"/>
          <w:szCs w:val="20"/>
          <w:color w:val="auto"/>
        </w:rPr>
      </w:pPr>
      <w:r>
        <w:rPr>
          <w:rFonts w:ascii="Arial" w:cs="Arial" w:eastAsia="Arial" w:hAnsi="Arial"/>
          <w:sz w:val="18"/>
          <w:szCs w:val="18"/>
          <w:color w:val="auto"/>
        </w:rPr>
        <w:t>Exhibit C</w:t>
        <w:tab/>
        <w:t>—</w:t>
      </w:r>
      <w:r>
        <w:rPr>
          <w:sz w:val="20"/>
          <w:szCs w:val="20"/>
          <w:color w:val="auto"/>
        </w:rPr>
        <w:tab/>
      </w:r>
      <w:r>
        <w:rPr>
          <w:rFonts w:ascii="Arial" w:cs="Arial" w:eastAsia="Arial" w:hAnsi="Arial"/>
          <w:sz w:val="16"/>
          <w:szCs w:val="16"/>
          <w:color w:val="auto"/>
        </w:rPr>
        <w:t>Form of Perfection Certificate</w:t>
      </w:r>
    </w:p>
    <w:p>
      <w:pPr>
        <w:spacing w:after="0" w:line="9" w:lineRule="exact"/>
        <w:rPr>
          <w:sz w:val="20"/>
          <w:szCs w:val="20"/>
          <w:color w:val="auto"/>
        </w:rPr>
      </w:pPr>
    </w:p>
    <w:p>
      <w:pPr>
        <w:spacing w:after="0"/>
        <w:tabs>
          <w:tab w:leader="none" w:pos="880" w:val="left"/>
          <w:tab w:leader="none" w:pos="1240" w:val="left"/>
        </w:tabs>
        <w:rPr>
          <w:sz w:val="20"/>
          <w:szCs w:val="20"/>
          <w:color w:val="auto"/>
        </w:rPr>
      </w:pPr>
      <w:r>
        <w:rPr>
          <w:rFonts w:ascii="Arial" w:cs="Arial" w:eastAsia="Arial" w:hAnsi="Arial"/>
          <w:sz w:val="18"/>
          <w:szCs w:val="18"/>
          <w:color w:val="auto"/>
        </w:rPr>
        <w:t>Exhibit D</w:t>
        <w:tab/>
        <w:t>—</w:t>
      </w:r>
      <w:r>
        <w:rPr>
          <w:sz w:val="20"/>
          <w:szCs w:val="20"/>
          <w:color w:val="auto"/>
        </w:rPr>
        <w:tab/>
      </w:r>
      <w:r>
        <w:rPr>
          <w:rFonts w:ascii="Arial" w:cs="Arial" w:eastAsia="Arial" w:hAnsi="Arial"/>
          <w:sz w:val="16"/>
          <w:szCs w:val="16"/>
          <w:color w:val="auto"/>
        </w:rPr>
        <w:t>Form of First Lien Collateral Agreement</w:t>
      </w:r>
    </w:p>
    <w:p>
      <w:pPr>
        <w:spacing w:after="0" w:line="9" w:lineRule="exact"/>
        <w:rPr>
          <w:sz w:val="20"/>
          <w:szCs w:val="20"/>
          <w:color w:val="auto"/>
        </w:rPr>
      </w:pPr>
    </w:p>
    <w:p>
      <w:pPr>
        <w:ind w:right="4839"/>
        <w:spacing w:after="0" w:line="250" w:lineRule="auto"/>
        <w:rPr>
          <w:sz w:val="20"/>
          <w:szCs w:val="20"/>
          <w:color w:val="auto"/>
        </w:rPr>
      </w:pPr>
      <w:r>
        <w:rPr>
          <w:rFonts w:ascii="Arial" w:cs="Arial" w:eastAsia="Arial" w:hAnsi="Arial"/>
          <w:sz w:val="18"/>
          <w:szCs w:val="18"/>
          <w:color w:val="auto"/>
        </w:rPr>
        <w:t>Exhibit E-1 — Form of First Lien Pari Passu Intercreditor Agreement Exhibit E-2 — Form of First/Second Lien Intercreditor Agreement Exhibit F — Form of Intercompany Note Exhibit G — Form of Floating Charge Document</w:t>
      </w:r>
    </w:p>
    <w:p>
      <w:pPr>
        <w:spacing w:after="0" w:line="2" w:lineRule="exact"/>
        <w:rPr>
          <w:sz w:val="20"/>
          <w:szCs w:val="20"/>
          <w:color w:val="auto"/>
        </w:rPr>
      </w:pPr>
    </w:p>
    <w:p>
      <w:pPr>
        <w:spacing w:after="0"/>
        <w:tabs>
          <w:tab w:leader="none" w:pos="880" w:val="left"/>
          <w:tab w:leader="none" w:pos="1240" w:val="left"/>
        </w:tabs>
        <w:rPr>
          <w:sz w:val="20"/>
          <w:szCs w:val="20"/>
          <w:color w:val="auto"/>
        </w:rPr>
      </w:pPr>
      <w:r>
        <w:rPr>
          <w:rFonts w:ascii="Arial" w:cs="Arial" w:eastAsia="Arial" w:hAnsi="Arial"/>
          <w:sz w:val="18"/>
          <w:szCs w:val="18"/>
          <w:color w:val="auto"/>
        </w:rPr>
        <w:t>Exhibit H</w:t>
        <w:tab/>
        <w:t>—</w:t>
      </w:r>
      <w:r>
        <w:rPr>
          <w:sz w:val="20"/>
          <w:szCs w:val="20"/>
          <w:color w:val="auto"/>
        </w:rPr>
        <w:tab/>
      </w:r>
      <w:r>
        <w:rPr>
          <w:rFonts w:ascii="Arial" w:cs="Arial" w:eastAsia="Arial" w:hAnsi="Arial"/>
          <w:sz w:val="16"/>
          <w:szCs w:val="16"/>
          <w:color w:val="auto"/>
        </w:rPr>
        <w:t>[Reserved]</w:t>
      </w:r>
    </w:p>
    <w:p>
      <w:pPr>
        <w:spacing w:after="0" w:line="9" w:lineRule="exact"/>
        <w:rPr>
          <w:sz w:val="20"/>
          <w:szCs w:val="20"/>
          <w:color w:val="auto"/>
        </w:rPr>
      </w:pPr>
    </w:p>
    <w:p>
      <w:pPr>
        <w:spacing w:after="0"/>
        <w:tabs>
          <w:tab w:leader="none" w:pos="800" w:val="left"/>
          <w:tab w:leader="none" w:pos="1160" w:val="left"/>
        </w:tabs>
        <w:rPr>
          <w:sz w:val="20"/>
          <w:szCs w:val="20"/>
          <w:color w:val="auto"/>
        </w:rPr>
      </w:pPr>
      <w:r>
        <w:rPr>
          <w:rFonts w:ascii="Arial" w:cs="Arial" w:eastAsia="Arial" w:hAnsi="Arial"/>
          <w:sz w:val="18"/>
          <w:szCs w:val="18"/>
          <w:color w:val="auto"/>
        </w:rPr>
        <w:t>Exhibit I</w:t>
        <w:tab/>
        <w:t>—</w:t>
      </w:r>
      <w:r>
        <w:rPr>
          <w:sz w:val="20"/>
          <w:szCs w:val="20"/>
          <w:color w:val="auto"/>
        </w:rPr>
        <w:tab/>
      </w:r>
      <w:r>
        <w:rPr>
          <w:rFonts w:ascii="Arial" w:cs="Arial" w:eastAsia="Arial" w:hAnsi="Arial"/>
          <w:sz w:val="16"/>
          <w:szCs w:val="16"/>
          <w:color w:val="auto"/>
        </w:rPr>
        <w:t>[Reserved]</w:t>
      </w:r>
    </w:p>
    <w:p>
      <w:pPr>
        <w:spacing w:after="0" w:line="9" w:lineRule="exact"/>
        <w:rPr>
          <w:sz w:val="20"/>
          <w:szCs w:val="20"/>
          <w:color w:val="auto"/>
        </w:rPr>
      </w:pPr>
    </w:p>
    <w:p>
      <w:pPr>
        <w:spacing w:after="0"/>
        <w:tabs>
          <w:tab w:leader="none" w:pos="820" w:val="left"/>
          <w:tab w:leader="none" w:pos="1180" w:val="left"/>
        </w:tabs>
        <w:rPr>
          <w:sz w:val="20"/>
          <w:szCs w:val="20"/>
          <w:color w:val="auto"/>
        </w:rPr>
      </w:pPr>
      <w:r>
        <w:rPr>
          <w:rFonts w:ascii="Arial" w:cs="Arial" w:eastAsia="Arial" w:hAnsi="Arial"/>
          <w:sz w:val="18"/>
          <w:szCs w:val="18"/>
          <w:color w:val="auto"/>
        </w:rPr>
        <w:t>Exhibit J</w:t>
        <w:tab/>
        <w:t>—</w:t>
      </w:r>
      <w:r>
        <w:rPr>
          <w:sz w:val="20"/>
          <w:szCs w:val="20"/>
          <w:color w:val="auto"/>
        </w:rPr>
        <w:tab/>
      </w:r>
      <w:r>
        <w:rPr>
          <w:rFonts w:ascii="Arial" w:cs="Arial" w:eastAsia="Arial" w:hAnsi="Arial"/>
          <w:sz w:val="16"/>
          <w:szCs w:val="16"/>
          <w:color w:val="auto"/>
        </w:rPr>
        <w:t>[Reserved]</w:t>
      </w:r>
    </w:p>
    <w:p>
      <w:pPr>
        <w:spacing w:after="0" w:line="9" w:lineRule="exact"/>
        <w:rPr>
          <w:sz w:val="20"/>
          <w:szCs w:val="20"/>
          <w:color w:val="auto"/>
        </w:rPr>
      </w:pPr>
    </w:p>
    <w:p>
      <w:pPr>
        <w:spacing w:after="0"/>
        <w:tabs>
          <w:tab w:leader="none" w:pos="880" w:val="left"/>
          <w:tab w:leader="none" w:pos="1240" w:val="left"/>
        </w:tabs>
        <w:rPr>
          <w:sz w:val="20"/>
          <w:szCs w:val="20"/>
          <w:color w:val="auto"/>
        </w:rPr>
      </w:pPr>
      <w:r>
        <w:rPr>
          <w:rFonts w:ascii="Arial" w:cs="Arial" w:eastAsia="Arial" w:hAnsi="Arial"/>
          <w:sz w:val="18"/>
          <w:szCs w:val="18"/>
          <w:color w:val="auto"/>
        </w:rPr>
        <w:t>Exhibit K</w:t>
        <w:tab/>
        <w:t>—</w:t>
      </w:r>
      <w:r>
        <w:rPr>
          <w:sz w:val="20"/>
          <w:szCs w:val="20"/>
          <w:color w:val="auto"/>
        </w:rPr>
        <w:tab/>
      </w:r>
      <w:r>
        <w:rPr>
          <w:rFonts w:ascii="Arial" w:cs="Arial" w:eastAsia="Arial" w:hAnsi="Arial"/>
          <w:sz w:val="16"/>
          <w:szCs w:val="16"/>
          <w:color w:val="auto"/>
        </w:rPr>
        <w:t>[Reserved]</w:t>
      </w:r>
    </w:p>
    <w:p>
      <w:pPr>
        <w:spacing w:after="0" w:line="9" w:lineRule="exact"/>
        <w:rPr>
          <w:sz w:val="20"/>
          <w:szCs w:val="20"/>
          <w:color w:val="auto"/>
        </w:rPr>
      </w:pPr>
    </w:p>
    <w:p>
      <w:pPr>
        <w:spacing w:after="0"/>
        <w:tabs>
          <w:tab w:leader="none" w:pos="840" w:val="left"/>
          <w:tab w:leader="none" w:pos="1200" w:val="left"/>
        </w:tabs>
        <w:rPr>
          <w:sz w:val="20"/>
          <w:szCs w:val="20"/>
          <w:color w:val="auto"/>
        </w:rPr>
      </w:pPr>
      <w:r>
        <w:rPr>
          <w:rFonts w:ascii="Arial" w:cs="Arial" w:eastAsia="Arial" w:hAnsi="Arial"/>
          <w:sz w:val="18"/>
          <w:szCs w:val="18"/>
          <w:color w:val="auto"/>
        </w:rPr>
        <w:t>Exhibit L</w:t>
        <w:tab/>
        <w:t>—</w:t>
      </w:r>
      <w:r>
        <w:rPr>
          <w:sz w:val="20"/>
          <w:szCs w:val="20"/>
          <w:color w:val="auto"/>
        </w:rPr>
        <w:tab/>
      </w:r>
      <w:r>
        <w:rPr>
          <w:rFonts w:ascii="Arial" w:cs="Arial" w:eastAsia="Arial" w:hAnsi="Arial"/>
          <w:sz w:val="16"/>
          <w:szCs w:val="16"/>
          <w:color w:val="auto"/>
        </w:rPr>
        <w:t>[Reserved]</w:t>
      </w:r>
    </w:p>
    <w:p>
      <w:pPr>
        <w:spacing w:after="0" w:line="9" w:lineRule="exact"/>
        <w:rPr>
          <w:sz w:val="20"/>
          <w:szCs w:val="20"/>
          <w:color w:val="auto"/>
        </w:rPr>
      </w:pPr>
    </w:p>
    <w:p>
      <w:pPr>
        <w:spacing w:after="0"/>
        <w:tabs>
          <w:tab w:leader="none" w:pos="900" w:val="left"/>
          <w:tab w:leader="none" w:pos="1260" w:val="left"/>
        </w:tabs>
        <w:rPr>
          <w:sz w:val="20"/>
          <w:szCs w:val="20"/>
          <w:color w:val="auto"/>
        </w:rPr>
      </w:pPr>
      <w:r>
        <w:rPr>
          <w:rFonts w:ascii="Arial" w:cs="Arial" w:eastAsia="Arial" w:hAnsi="Arial"/>
          <w:sz w:val="18"/>
          <w:szCs w:val="18"/>
          <w:color w:val="auto"/>
        </w:rPr>
        <w:t>Exhibit M</w:t>
        <w:tab/>
        <w:t>—</w:t>
      </w:r>
      <w:r>
        <w:rPr>
          <w:sz w:val="20"/>
          <w:szCs w:val="20"/>
          <w:color w:val="auto"/>
        </w:rPr>
        <w:tab/>
      </w:r>
      <w:r>
        <w:rPr>
          <w:rFonts w:ascii="Arial" w:cs="Arial" w:eastAsia="Arial" w:hAnsi="Arial"/>
          <w:sz w:val="16"/>
          <w:szCs w:val="16"/>
          <w:color w:val="auto"/>
        </w:rPr>
        <w:t>[Reserved]</w:t>
      </w:r>
    </w:p>
    <w:p>
      <w:pPr>
        <w:spacing w:after="0" w:line="9" w:lineRule="exact"/>
        <w:rPr>
          <w:sz w:val="20"/>
          <w:szCs w:val="20"/>
          <w:color w:val="auto"/>
        </w:rPr>
      </w:pPr>
    </w:p>
    <w:p>
      <w:pPr>
        <w:spacing w:after="0"/>
        <w:tabs>
          <w:tab w:leader="none" w:pos="1020" w:val="left"/>
          <w:tab w:leader="none" w:pos="1380" w:val="left"/>
        </w:tabs>
        <w:rPr>
          <w:sz w:val="20"/>
          <w:szCs w:val="20"/>
          <w:color w:val="auto"/>
        </w:rPr>
      </w:pPr>
      <w:r>
        <w:rPr>
          <w:rFonts w:ascii="Arial" w:cs="Arial" w:eastAsia="Arial" w:hAnsi="Arial"/>
          <w:sz w:val="18"/>
          <w:szCs w:val="18"/>
          <w:color w:val="auto"/>
        </w:rPr>
        <w:t>Exhibit N-1</w:t>
        <w:tab/>
        <w:t>—</w:t>
      </w:r>
      <w:r>
        <w:rPr>
          <w:sz w:val="20"/>
          <w:szCs w:val="20"/>
          <w:color w:val="auto"/>
        </w:rPr>
        <w:tab/>
      </w:r>
      <w:r>
        <w:rPr>
          <w:rFonts w:ascii="Arial" w:cs="Arial" w:eastAsia="Arial" w:hAnsi="Arial"/>
          <w:sz w:val="16"/>
          <w:szCs w:val="16"/>
          <w:color w:val="auto"/>
        </w:rPr>
        <w:t>Form of United States Tax Compliance Certificate 1</w:t>
      </w:r>
    </w:p>
    <w:p>
      <w:pPr>
        <w:spacing w:after="0" w:line="9" w:lineRule="exact"/>
        <w:rPr>
          <w:sz w:val="20"/>
          <w:szCs w:val="20"/>
          <w:color w:val="auto"/>
        </w:rPr>
      </w:pPr>
    </w:p>
    <w:p>
      <w:pPr>
        <w:spacing w:after="0"/>
        <w:tabs>
          <w:tab w:leader="none" w:pos="1020" w:val="left"/>
          <w:tab w:leader="none" w:pos="1380" w:val="left"/>
        </w:tabs>
        <w:rPr>
          <w:sz w:val="20"/>
          <w:szCs w:val="20"/>
          <w:color w:val="auto"/>
        </w:rPr>
      </w:pPr>
      <w:r>
        <w:rPr>
          <w:rFonts w:ascii="Arial" w:cs="Arial" w:eastAsia="Arial" w:hAnsi="Arial"/>
          <w:sz w:val="18"/>
          <w:szCs w:val="18"/>
          <w:color w:val="auto"/>
        </w:rPr>
        <w:t>Exhibit N-2</w:t>
        <w:tab/>
        <w:t>—</w:t>
      </w:r>
      <w:r>
        <w:rPr>
          <w:sz w:val="20"/>
          <w:szCs w:val="20"/>
          <w:color w:val="auto"/>
        </w:rPr>
        <w:tab/>
      </w:r>
      <w:r>
        <w:rPr>
          <w:rFonts w:ascii="Arial" w:cs="Arial" w:eastAsia="Arial" w:hAnsi="Arial"/>
          <w:sz w:val="16"/>
          <w:szCs w:val="16"/>
          <w:color w:val="auto"/>
        </w:rPr>
        <w:t>Form of United States Tax Compliance Certificate 2</w:t>
      </w:r>
    </w:p>
    <w:p>
      <w:pPr>
        <w:spacing w:after="0" w:line="9" w:lineRule="exact"/>
        <w:rPr>
          <w:sz w:val="20"/>
          <w:szCs w:val="20"/>
          <w:color w:val="auto"/>
        </w:rPr>
      </w:pPr>
    </w:p>
    <w:p>
      <w:pPr>
        <w:spacing w:after="0"/>
        <w:tabs>
          <w:tab w:leader="none" w:pos="1020" w:val="left"/>
          <w:tab w:leader="none" w:pos="1380" w:val="left"/>
        </w:tabs>
        <w:rPr>
          <w:sz w:val="20"/>
          <w:szCs w:val="20"/>
          <w:color w:val="auto"/>
        </w:rPr>
      </w:pPr>
      <w:r>
        <w:rPr>
          <w:rFonts w:ascii="Arial" w:cs="Arial" w:eastAsia="Arial" w:hAnsi="Arial"/>
          <w:sz w:val="18"/>
          <w:szCs w:val="18"/>
          <w:color w:val="auto"/>
        </w:rPr>
        <w:t>Exhibit N-3</w:t>
        <w:tab/>
        <w:t>—</w:t>
      </w:r>
      <w:r>
        <w:rPr>
          <w:sz w:val="20"/>
          <w:szCs w:val="20"/>
          <w:color w:val="auto"/>
        </w:rPr>
        <w:tab/>
      </w:r>
      <w:r>
        <w:rPr>
          <w:rFonts w:ascii="Arial" w:cs="Arial" w:eastAsia="Arial" w:hAnsi="Arial"/>
          <w:sz w:val="16"/>
          <w:szCs w:val="16"/>
          <w:color w:val="auto"/>
        </w:rPr>
        <w:t>Form of United States Tax Compliance Certificate 3</w:t>
      </w:r>
    </w:p>
    <w:p>
      <w:pPr>
        <w:spacing w:after="0" w:line="9" w:lineRule="exact"/>
        <w:rPr>
          <w:sz w:val="20"/>
          <w:szCs w:val="20"/>
          <w:color w:val="auto"/>
        </w:rPr>
      </w:pPr>
    </w:p>
    <w:p>
      <w:pPr>
        <w:spacing w:after="0"/>
        <w:tabs>
          <w:tab w:leader="none" w:pos="1020" w:val="left"/>
          <w:tab w:leader="none" w:pos="1380" w:val="left"/>
        </w:tabs>
        <w:rPr>
          <w:sz w:val="20"/>
          <w:szCs w:val="20"/>
          <w:color w:val="auto"/>
        </w:rPr>
      </w:pPr>
      <w:r>
        <w:rPr>
          <w:rFonts w:ascii="Arial" w:cs="Arial" w:eastAsia="Arial" w:hAnsi="Arial"/>
          <w:sz w:val="18"/>
          <w:szCs w:val="18"/>
          <w:color w:val="auto"/>
        </w:rPr>
        <w:t>Exhibit N-4</w:t>
        <w:tab/>
        <w:t>—</w:t>
      </w:r>
      <w:r>
        <w:rPr>
          <w:sz w:val="20"/>
          <w:szCs w:val="20"/>
          <w:color w:val="auto"/>
        </w:rPr>
        <w:tab/>
      </w:r>
      <w:r>
        <w:rPr>
          <w:rFonts w:ascii="Arial" w:cs="Arial" w:eastAsia="Arial" w:hAnsi="Arial"/>
          <w:sz w:val="16"/>
          <w:szCs w:val="16"/>
          <w:color w:val="auto"/>
        </w:rPr>
        <w:t>Form of United States Tax Compliance Certificate 4</w:t>
      </w:r>
    </w:p>
    <w:p>
      <w:pPr>
        <w:spacing w:after="0" w:line="9" w:lineRule="exact"/>
        <w:rPr>
          <w:sz w:val="20"/>
          <w:szCs w:val="20"/>
          <w:color w:val="auto"/>
        </w:rPr>
      </w:pPr>
    </w:p>
    <w:p>
      <w:pPr>
        <w:spacing w:after="0"/>
        <w:tabs>
          <w:tab w:leader="none" w:pos="880" w:val="left"/>
          <w:tab w:leader="none" w:pos="1240" w:val="left"/>
        </w:tabs>
        <w:rPr>
          <w:sz w:val="20"/>
          <w:szCs w:val="20"/>
          <w:color w:val="auto"/>
        </w:rPr>
      </w:pPr>
      <w:r>
        <w:rPr>
          <w:rFonts w:ascii="Arial" w:cs="Arial" w:eastAsia="Arial" w:hAnsi="Arial"/>
          <w:sz w:val="18"/>
          <w:szCs w:val="18"/>
          <w:color w:val="auto"/>
        </w:rPr>
        <w:t>Exhibit O</w:t>
        <w:tab/>
        <w:t>—</w:t>
      </w:r>
      <w:r>
        <w:rPr>
          <w:sz w:val="20"/>
          <w:szCs w:val="20"/>
          <w:color w:val="auto"/>
        </w:rPr>
        <w:tab/>
      </w:r>
      <w:r>
        <w:rPr>
          <w:rFonts w:ascii="Arial" w:cs="Arial" w:eastAsia="Arial" w:hAnsi="Arial"/>
          <w:sz w:val="16"/>
          <w:szCs w:val="16"/>
          <w:color w:val="auto"/>
        </w:rPr>
        <w:t>Form of Note</w:t>
      </w:r>
    </w:p>
    <w:p>
      <w:pPr>
        <w:spacing w:after="0" w:line="9" w:lineRule="exact"/>
        <w:rPr>
          <w:sz w:val="20"/>
          <w:szCs w:val="20"/>
          <w:color w:val="auto"/>
        </w:rPr>
      </w:pPr>
    </w:p>
    <w:p>
      <w:pPr>
        <w:spacing w:after="0"/>
        <w:tabs>
          <w:tab w:leader="none" w:pos="840" w:val="left"/>
          <w:tab w:leader="none" w:pos="1200" w:val="left"/>
        </w:tabs>
        <w:rPr>
          <w:sz w:val="20"/>
          <w:szCs w:val="20"/>
          <w:color w:val="auto"/>
        </w:rPr>
      </w:pPr>
      <w:r>
        <w:rPr>
          <w:rFonts w:ascii="Arial" w:cs="Arial" w:eastAsia="Arial" w:hAnsi="Arial"/>
          <w:sz w:val="18"/>
          <w:szCs w:val="18"/>
          <w:color w:val="auto"/>
        </w:rPr>
        <w:t>Exhibit P</w:t>
        <w:tab/>
        <w:t>—</w:t>
      </w:r>
      <w:r>
        <w:rPr>
          <w:sz w:val="20"/>
          <w:szCs w:val="20"/>
          <w:color w:val="auto"/>
        </w:rPr>
        <w:tab/>
      </w:r>
      <w:r>
        <w:rPr>
          <w:rFonts w:ascii="Arial" w:cs="Arial" w:eastAsia="Arial" w:hAnsi="Arial"/>
          <w:sz w:val="16"/>
          <w:szCs w:val="16"/>
          <w:color w:val="auto"/>
        </w:rPr>
        <w:t>[Reserved]</w:t>
      </w:r>
    </w:p>
    <w:p>
      <w:pPr>
        <w:spacing w:after="0" w:line="9" w:lineRule="exact"/>
        <w:rPr>
          <w:sz w:val="20"/>
          <w:szCs w:val="20"/>
          <w:color w:val="auto"/>
        </w:rPr>
      </w:pPr>
    </w:p>
    <w:p>
      <w:pPr>
        <w:spacing w:after="0"/>
        <w:tabs>
          <w:tab w:leader="none" w:pos="880" w:val="left"/>
          <w:tab w:leader="none" w:pos="1240" w:val="left"/>
        </w:tabs>
        <w:rPr>
          <w:sz w:val="20"/>
          <w:szCs w:val="20"/>
          <w:color w:val="auto"/>
        </w:rPr>
      </w:pPr>
      <w:r>
        <w:rPr>
          <w:rFonts w:ascii="Arial" w:cs="Arial" w:eastAsia="Arial" w:hAnsi="Arial"/>
          <w:sz w:val="18"/>
          <w:szCs w:val="18"/>
          <w:color w:val="auto"/>
        </w:rPr>
        <w:t>Exhibit Q</w:t>
        <w:tab/>
        <w:t>—</w:t>
      </w:r>
      <w:r>
        <w:rPr>
          <w:sz w:val="20"/>
          <w:szCs w:val="20"/>
          <w:color w:val="auto"/>
        </w:rPr>
        <w:tab/>
      </w:r>
      <w:r>
        <w:rPr>
          <w:rFonts w:ascii="Arial" w:cs="Arial" w:eastAsia="Arial" w:hAnsi="Arial"/>
          <w:sz w:val="17"/>
          <w:szCs w:val="17"/>
          <w:color w:val="auto"/>
        </w:rPr>
        <w:t>Form of Notice of Borrowing</w:t>
      </w:r>
    </w:p>
    <w:p>
      <w:pPr>
        <w:spacing w:after="0" w:line="9" w:lineRule="exact"/>
        <w:rPr>
          <w:sz w:val="20"/>
          <w:szCs w:val="20"/>
          <w:color w:val="auto"/>
        </w:rPr>
      </w:pPr>
    </w:p>
    <w:p>
      <w:pPr>
        <w:spacing w:after="0"/>
        <w:tabs>
          <w:tab w:leader="none" w:pos="860" w:val="left"/>
          <w:tab w:leader="none" w:pos="1220" w:val="left"/>
        </w:tabs>
        <w:rPr>
          <w:sz w:val="20"/>
          <w:szCs w:val="20"/>
          <w:color w:val="auto"/>
        </w:rPr>
      </w:pPr>
      <w:r>
        <w:rPr>
          <w:rFonts w:ascii="Arial" w:cs="Arial" w:eastAsia="Arial" w:hAnsi="Arial"/>
          <w:sz w:val="18"/>
          <w:szCs w:val="18"/>
          <w:color w:val="auto"/>
        </w:rPr>
        <w:t>Exhibit R</w:t>
        <w:tab/>
        <w:t>—</w:t>
      </w:r>
      <w:r>
        <w:rPr>
          <w:sz w:val="20"/>
          <w:szCs w:val="20"/>
          <w:color w:val="auto"/>
        </w:rPr>
        <w:tab/>
      </w:r>
      <w:r>
        <w:rPr>
          <w:rFonts w:ascii="Arial" w:cs="Arial" w:eastAsia="Arial" w:hAnsi="Arial"/>
          <w:sz w:val="16"/>
          <w:szCs w:val="16"/>
          <w:color w:val="auto"/>
        </w:rPr>
        <w:t>Form of Letter of Credit Request</w:t>
      </w:r>
    </w:p>
    <w:p>
      <w:pPr>
        <w:spacing w:after="0" w:line="9" w:lineRule="exact"/>
        <w:rPr>
          <w:sz w:val="20"/>
          <w:szCs w:val="20"/>
          <w:color w:val="auto"/>
        </w:rPr>
      </w:pPr>
    </w:p>
    <w:p>
      <w:pPr>
        <w:spacing w:after="0"/>
        <w:tabs>
          <w:tab w:leader="none" w:pos="880" w:val="left"/>
          <w:tab w:leader="none" w:pos="1240" w:val="left"/>
        </w:tabs>
        <w:rPr>
          <w:sz w:val="20"/>
          <w:szCs w:val="20"/>
          <w:color w:val="auto"/>
        </w:rPr>
      </w:pPr>
      <w:r>
        <w:rPr>
          <w:rFonts w:ascii="Arial" w:cs="Arial" w:eastAsia="Arial" w:hAnsi="Arial"/>
          <w:sz w:val="18"/>
          <w:szCs w:val="18"/>
          <w:color w:val="auto"/>
        </w:rPr>
        <w:t>Exhibit X</w:t>
        <w:tab/>
        <w:t>—</w:t>
      </w:r>
      <w:r>
        <w:rPr>
          <w:sz w:val="20"/>
          <w:szCs w:val="20"/>
          <w:color w:val="auto"/>
        </w:rPr>
        <w:tab/>
      </w:r>
      <w:r>
        <w:rPr>
          <w:rFonts w:ascii="Arial" w:cs="Arial" w:eastAsia="Arial" w:hAnsi="Arial"/>
          <w:sz w:val="16"/>
          <w:szCs w:val="16"/>
          <w:color w:val="auto"/>
        </w:rPr>
        <w:t>Form of Beneficial Ownership Certificate</w:t>
      </w:r>
    </w:p>
    <w:p>
      <w:pPr>
        <w:spacing w:after="0" w:line="9" w:lineRule="exact"/>
        <w:rPr>
          <w:sz w:val="20"/>
          <w:szCs w:val="20"/>
          <w:color w:val="auto"/>
        </w:rPr>
      </w:pPr>
    </w:p>
    <w:p>
      <w:pPr>
        <w:spacing w:after="0"/>
        <w:tabs>
          <w:tab w:leader="none" w:pos="860" w:val="left"/>
          <w:tab w:leader="none" w:pos="1220" w:val="left"/>
        </w:tabs>
        <w:rPr>
          <w:sz w:val="20"/>
          <w:szCs w:val="20"/>
          <w:color w:val="auto"/>
        </w:rPr>
      </w:pPr>
      <w:r>
        <w:rPr>
          <w:rFonts w:ascii="Arial" w:cs="Arial" w:eastAsia="Arial" w:hAnsi="Arial"/>
          <w:sz w:val="18"/>
          <w:szCs w:val="18"/>
          <w:color w:val="auto"/>
        </w:rPr>
        <w:t>Exhibit Y</w:t>
        <w:tab/>
        <w:t>—</w:t>
      </w:r>
      <w:r>
        <w:rPr>
          <w:sz w:val="20"/>
          <w:szCs w:val="20"/>
          <w:color w:val="auto"/>
        </w:rPr>
        <w:tab/>
      </w:r>
      <w:r>
        <w:rPr>
          <w:rFonts w:ascii="Arial" w:cs="Arial" w:eastAsia="Arial" w:hAnsi="Arial"/>
          <w:sz w:val="16"/>
          <w:szCs w:val="16"/>
          <w:color w:val="auto"/>
        </w:rPr>
        <w:t>Form of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139"/>
          </w:cols>
          <w:pgMar w:left="320" w:top="1421" w:right="1440" w:bottom="1440" w:gutter="0" w:footer="0" w:header="0"/>
        </w:sectPr>
      </w:pPr>
    </w:p>
    <w:bookmarkStart w:id="9" w:name="page10"/>
    <w:bookmarkEnd w:id="9"/>
    <w:p>
      <w:pPr>
        <w:jc w:val="both"/>
        <w:ind w:firstLine="1296"/>
        <w:spacing w:after="0" w:line="259" w:lineRule="auto"/>
        <w:rPr>
          <w:sz w:val="20"/>
          <w:szCs w:val="20"/>
          <w:color w:val="auto"/>
        </w:rPr>
      </w:pPr>
      <w:r>
        <w:rPr>
          <w:rFonts w:ascii="Arial" w:cs="Arial" w:eastAsia="Arial" w:hAnsi="Arial"/>
          <w:sz w:val="18"/>
          <w:szCs w:val="18"/>
          <w:color w:val="auto"/>
        </w:rPr>
        <w:t>FIRST LIEN CREDIT AGREEMENT dated as of August 13, 2021 (as amended, restated, supplemented or otherwise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LIVANOVA PLC, a company incorporated under the laws of England and Wales (“</w:t>
      </w:r>
      <w:r>
        <w:rPr>
          <w:rFonts w:ascii="Arial" w:cs="Arial" w:eastAsia="Arial" w:hAnsi="Arial"/>
          <w:sz w:val="18"/>
          <w:szCs w:val="18"/>
          <w:u w:val="single" w:color="auto"/>
          <w:color w:val="auto"/>
        </w:rPr>
        <w:t>Holdings</w:t>
      </w:r>
      <w:r>
        <w:rPr>
          <w:rFonts w:ascii="Arial" w:cs="Arial" w:eastAsia="Arial" w:hAnsi="Arial"/>
          <w:sz w:val="18"/>
          <w:szCs w:val="18"/>
          <w:color w:val="auto"/>
        </w:rPr>
        <w:t>”), LIVANOVA USA, INC. (the “</w:t>
      </w:r>
      <w:r>
        <w:rPr>
          <w:rFonts w:ascii="Arial" w:cs="Arial" w:eastAsia="Arial" w:hAnsi="Arial"/>
          <w:sz w:val="18"/>
          <w:szCs w:val="18"/>
          <w:u w:val="single" w:color="auto"/>
          <w:color w:val="auto"/>
        </w:rPr>
        <w:t>Borrower</w:t>
      </w:r>
      <w:r>
        <w:rPr>
          <w:rFonts w:ascii="Arial" w:cs="Arial" w:eastAsia="Arial" w:hAnsi="Arial"/>
          <w:sz w:val="18"/>
          <w:szCs w:val="18"/>
          <w:color w:val="auto"/>
        </w:rPr>
        <w:t>”), a Delaware corporation, the LENDERS and ISSUING BANKS party hereto and GOLDMAN SACHS BANK USA (“</w:t>
      </w:r>
      <w:r>
        <w:rPr>
          <w:rFonts w:ascii="Arial" w:cs="Arial" w:eastAsia="Arial" w:hAnsi="Arial"/>
          <w:sz w:val="18"/>
          <w:szCs w:val="18"/>
          <w:u w:val="single" w:color="auto"/>
          <w:color w:val="auto"/>
        </w:rPr>
        <w:t>Goldman</w:t>
      </w:r>
      <w:r>
        <w:rPr>
          <w:rFonts w:ascii="Arial" w:cs="Arial" w:eastAsia="Arial" w:hAnsi="Arial"/>
          <w:sz w:val="18"/>
          <w:szCs w:val="18"/>
          <w:color w:val="auto"/>
        </w:rPr>
        <w:t xml:space="preserve"> </w:t>
      </w:r>
      <w:r>
        <w:rPr>
          <w:rFonts w:ascii="Arial" w:cs="Arial" w:eastAsia="Arial" w:hAnsi="Arial"/>
          <w:sz w:val="18"/>
          <w:szCs w:val="18"/>
          <w:u w:val="single" w:color="auto"/>
          <w:color w:val="auto"/>
        </w:rPr>
        <w:t>Sachs</w:t>
      </w:r>
      <w:r>
        <w:rPr>
          <w:rFonts w:ascii="Arial" w:cs="Arial" w:eastAsia="Arial" w:hAnsi="Arial"/>
          <w:sz w:val="18"/>
          <w:szCs w:val="18"/>
          <w:color w:val="auto"/>
        </w:rPr>
        <w:t>”), as First Lien Administrative Agent and First Lien Collateral Agent.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parties hereto agree as follows: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I.01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used in this Agreement, the following terms have the meanings specified below:</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(i) Alternate Base Rate (in the case of Loans denominated in Dollars) or (ii) Canadian Base Rate (in the case of Loans denominated in Canadian Dollars).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Accepting Lenders</w:t>
      </w:r>
      <w:r>
        <w:rPr>
          <w:rFonts w:ascii="Arial" w:cs="Arial" w:eastAsia="Arial" w:hAnsi="Arial"/>
          <w:sz w:val="18"/>
          <w:szCs w:val="18"/>
          <w:color w:val="auto"/>
        </w:rPr>
        <w:t>” has the meaning specified in Section 2.24(a).</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EBITDA</w:t>
      </w:r>
      <w:r>
        <w:rPr>
          <w:rFonts w:ascii="Arial" w:cs="Arial" w:eastAsia="Arial" w:hAnsi="Arial"/>
          <w:sz w:val="17"/>
          <w:szCs w:val="17"/>
          <w:color w:val="auto"/>
        </w:rPr>
        <w:t>” means, with respect to any Acquired Entity or Business or any Converted Restricted Subsidiary (any of the foregoing, a “</w:t>
      </w:r>
      <w:r>
        <w:rPr>
          <w:rFonts w:ascii="Arial" w:cs="Arial" w:eastAsia="Arial" w:hAnsi="Arial"/>
          <w:sz w:val="17"/>
          <w:szCs w:val="17"/>
          <w:u w:val="single" w:color="auto"/>
          <w:color w:val="auto"/>
        </w:rPr>
        <w:t>Pro Forma Entity</w:t>
      </w:r>
      <w:r>
        <w:rPr>
          <w:rFonts w:ascii="Arial" w:cs="Arial" w:eastAsia="Arial" w:hAnsi="Arial"/>
          <w:sz w:val="17"/>
          <w:szCs w:val="17"/>
          <w:color w:val="auto"/>
        </w:rPr>
        <w:t>”) for any period as the amount for such period of Consolidated EBITDA of such Pro Forma Entity (determined as if references to Holdings and the Restricted Subsidiaries in the definition of “Consolidated EBITDA” were references to such Pro Forma Entity and its subsidiaries that will become Restricted Subsidiaries), all as determined on a consolidated basis for such Pro Forma Entity.</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Entity or Business</w:t>
      </w:r>
      <w:r>
        <w:rPr>
          <w:rFonts w:ascii="Arial" w:cs="Arial" w:eastAsia="Arial" w:hAnsi="Arial"/>
          <w:sz w:val="18"/>
          <w:szCs w:val="18"/>
          <w:color w:val="auto"/>
        </w:rPr>
        <w:t>” has the meaning given such term in the definition of “Consolidated EBITDA.”</w:t>
      </w:r>
    </w:p>
    <w:p>
      <w:pPr>
        <w:spacing w:after="0" w:line="185" w:lineRule="exact"/>
        <w:rPr>
          <w:sz w:val="20"/>
          <w:szCs w:val="20"/>
          <w:color w:val="auto"/>
        </w:rPr>
      </w:pPr>
    </w:p>
    <w:p>
      <w:pPr>
        <w:ind w:right="78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Borrower</w:t>
      </w:r>
      <w:r>
        <w:rPr>
          <w:rFonts w:ascii="Arial" w:cs="Arial" w:eastAsia="Arial" w:hAnsi="Arial"/>
          <w:sz w:val="16"/>
          <w:szCs w:val="16"/>
          <w:color w:val="auto"/>
        </w:rPr>
        <w:t xml:space="preserve">” means each Subsidiary that is a Restricted Subsidiary of Holdings that becomes a Borrower pursuant to </w:t>
      </w:r>
      <w:r>
        <w:rPr>
          <w:rFonts w:ascii="Arial" w:cs="Arial" w:eastAsia="Arial" w:hAnsi="Arial"/>
          <w:sz w:val="16"/>
          <w:szCs w:val="16"/>
          <w:u w:val="single" w:color="auto"/>
          <w:color w:val="auto"/>
        </w:rPr>
        <w:t>Section 9.02(h)</w:t>
      </w:r>
      <w:r>
        <w:rPr>
          <w:rFonts w:ascii="Arial" w:cs="Arial" w:eastAsia="Arial" w:hAnsi="Arial"/>
          <w:sz w:val="16"/>
          <w:szCs w:val="16"/>
          <w:color w:val="auto"/>
        </w:rPr>
        <w:t xml:space="preserve"> and that has not been released as a Borrower in accordance with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(for so long as such person is so released).</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means any Additional Revolving Lender or any Additional Term Lender, as applicable.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Additional/Replacement Revolving Commitment</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Revolving Lender</w:t>
      </w:r>
      <w:r>
        <w:rPr>
          <w:rFonts w:ascii="Arial" w:cs="Arial" w:eastAsia="Arial" w:hAnsi="Arial"/>
          <w:sz w:val="17"/>
          <w:szCs w:val="17"/>
          <w:color w:val="auto"/>
        </w:rPr>
        <w:t xml:space="preserve">” means, at any time, any bank, financial institution or other institutional lender or investor (other than any natural person) that agrees to provide any portion of any (a) Incremental Revolving Commitment Increase or Additional/Replacement Revolving Commitments pursuant to an Incremental Facility Amendment in accordance with Section 2.20 or (b) Credit Agreement Refinancing Indebtedness in the form of Other Revolving Commitments pursuant to a Refinancing Amendment in accordance with Section 2.21;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Additional Revolving Lender shall be subject to the approval of the First Lien Administrative Agent (and, if such Additional Revolving Lender will provide an Incremental Revolving Commitment Increase or any Additional/Replacement Revolving Commitment, each Issuing Bank and the Swingline Lender), in each case only if such consent would be required under Section 9.04(b) for an assignment of Revolving Loans or Revolving Commitments, as applicable, to such bank, financial institution or other institutional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lender or investor (such approval in each case not to be unreasonably withheld, conditioned or delayed) and the Borrower.</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Lender</w:t>
      </w:r>
      <w:r>
        <w:rPr>
          <w:rFonts w:ascii="Arial" w:cs="Arial" w:eastAsia="Arial" w:hAnsi="Arial"/>
          <w:sz w:val="18"/>
          <w:szCs w:val="18"/>
          <w:color w:val="auto"/>
        </w:rPr>
        <w:t xml:space="preserve">” means, at any time, any bank, financial institution or other institutional lender or investor (other than any natural person) that agrees to provide any portion of any (a) First Lien Incremental Term Loans pursuant to an Incremental Facility Amendment in accordance with Section 2.20 or (b) Credit Agreement Refinancing Indebtedness in the form of Other First Lien Term Loans or Other First Lien Term Commitments pursuant to a Refinancing Amendment in accordance with Section 2.21;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Additional Term Lender shall be subject to the approval of the First Lien Administrative Agent if such consent would be required under Section 9.04(b) for an assignment of Term Loans or Term Commitments, as applicable, to such bank, financial institution or other institutional lender or investor (such approval in each case not to be unreasonably withheld, conditioned or delayed) and the Borrower.</w:t>
      </w:r>
    </w:p>
    <w:p>
      <w:pPr>
        <w:spacing w:after="0" w:line="1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BA Rate</w:t>
      </w:r>
      <w:r>
        <w:rPr>
          <w:rFonts w:ascii="Arial" w:cs="Arial" w:eastAsia="Arial" w:hAnsi="Arial"/>
          <w:sz w:val="18"/>
          <w:szCs w:val="18"/>
          <w:color w:val="auto"/>
        </w:rPr>
        <w:t xml:space="preserve">” means, with respect to any Eurodollar Borrowing denominated in Canadian Dollars for any Interest Period, an interest rate per annum equal to (i) the BA Rate for such Interest Period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(ii) the Statutory Reserve Rate; provided that, in no event shall the Adjusted BA Rate” be less than 0.00% per annum.</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EURIBOR</w:t>
      </w:r>
      <w:r>
        <w:rPr>
          <w:rFonts w:ascii="Arial" w:cs="Arial" w:eastAsia="Arial" w:hAnsi="Arial"/>
          <w:sz w:val="18"/>
          <w:szCs w:val="18"/>
          <w:color w:val="auto"/>
        </w:rPr>
        <w:t xml:space="preserve">” means, with respect to any Eurodollar Borrowing denominated in Euros for any Interest Period, an interest rate per annum equal to (i) EURIBOR for such Interest Period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(ii) the Statutory Reserve Rate; provided that, in no event shall the Adjusted EURIBOR be less than 0.00% per annum.</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xml:space="preserve">” means, with respect to any Eurodollar Borrowing denominated in Dollars or an Alternative Currency (other than Canadian Dollars or Euros) for any Interest Period, an interest rate per annum equal to (i) the LIBO Rate for such Interest Period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(ii) the Statutory Reserve Rate; provided that, in no event shall the Adjusted LIBO Rates be less than 0.00% per annum.</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Questionnaire</w:t>
      </w:r>
      <w:r>
        <w:rPr>
          <w:rFonts w:ascii="Arial" w:cs="Arial" w:eastAsia="Arial" w:hAnsi="Arial"/>
          <w:sz w:val="17"/>
          <w:szCs w:val="17"/>
          <w:color w:val="auto"/>
        </w:rPr>
        <w:t>” means an administrative questionnaire in a form supplied by the First Lien Administrative Agent.</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Class</w:t>
      </w:r>
      <w:r>
        <w:rPr>
          <w:rFonts w:ascii="Arial" w:cs="Arial" w:eastAsia="Arial" w:hAnsi="Arial"/>
          <w:sz w:val="18"/>
          <w:szCs w:val="18"/>
          <w:color w:val="auto"/>
        </w:rPr>
        <w:t>” has the meaning specified in Section 2.24(a).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Controls or is Controlled by or is under common Control with the Person specified.</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the First Lien Administrative Agent, the First Lien Collateral Agent, each Joint Lead Arranger and any successors and assigns of the foregoing in such capacity, and “</w:t>
      </w:r>
      <w:r>
        <w:rPr>
          <w:rFonts w:ascii="Arial" w:cs="Arial" w:eastAsia="Arial" w:hAnsi="Arial"/>
          <w:sz w:val="18"/>
          <w:szCs w:val="18"/>
          <w:u w:val="single" w:color="auto"/>
          <w:color w:val="auto"/>
        </w:rPr>
        <w:t>Agents</w:t>
      </w:r>
      <w:r>
        <w:rPr>
          <w:rFonts w:ascii="Arial" w:cs="Arial" w:eastAsia="Arial" w:hAnsi="Arial"/>
          <w:sz w:val="18"/>
          <w:szCs w:val="18"/>
          <w:color w:val="auto"/>
        </w:rPr>
        <w:t>” means two or more of them.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given to such term in Section 9.01(c).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given to such term in the preliminary statements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has the meaning assigned to such term in Section 9.17.</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for any day, a rate per annum equal to the greatest of (a) the Prime Rate in effect on such day, (b) the Federal Funds Effective Rate in effect on such day plus ½ of 1.00% and (c) the Adjusted LIBO Rate for the applicable Loan on such day (or if such day is not a Business Day, the immediately preceding Business Day) for a deposit in Dollars with a maturity of one month plus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solely for purposes of the foregoing, the Adjusted LIBO Rate for any day shall be calculated using the LIBO Rate based on the rate per annum determined by the First Lien Administrative Agent by reference to the ICE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1" w:right="339" w:bottom="1440" w:gutter="0" w:footer="0" w:header="0"/>
        </w:sectPr>
      </w:pPr>
    </w:p>
    <w:bookmarkStart w:id="11" w:name="page12"/>
    <w:bookmarkEnd w:id="11"/>
    <w:p>
      <w:pPr>
        <w:jc w:val="both"/>
        <w:spacing w:after="0" w:line="269" w:lineRule="auto"/>
        <w:rPr>
          <w:sz w:val="20"/>
          <w:szCs w:val="20"/>
          <w:color w:val="auto"/>
        </w:rPr>
      </w:pPr>
      <w:r>
        <w:rPr>
          <w:rFonts w:ascii="Arial" w:cs="Arial" w:eastAsia="Arial" w:hAnsi="Arial"/>
          <w:sz w:val="17"/>
          <w:szCs w:val="17"/>
          <w:color w:val="auto"/>
        </w:rPr>
        <w:t>Administration Interest Settlement Rates (as set forth by any service selected by the First Lien Administrative Agent that has been nominated by the ICE Benchmark Administration Limited (or any Person which takes over the administration of that rate) as an authorized information vendor for the purpose of displaying such rates) (the “</w:t>
      </w:r>
      <w:r>
        <w:rPr>
          <w:rFonts w:ascii="Arial" w:cs="Arial" w:eastAsia="Arial" w:hAnsi="Arial"/>
          <w:sz w:val="17"/>
          <w:szCs w:val="17"/>
          <w:u w:val="single" w:color="auto"/>
          <w:color w:val="auto"/>
        </w:rPr>
        <w:t>ICE LIBOR</w:t>
      </w:r>
      <w:r>
        <w:rPr>
          <w:rFonts w:ascii="Arial" w:cs="Arial" w:eastAsia="Arial" w:hAnsi="Arial"/>
          <w:sz w:val="17"/>
          <w:szCs w:val="17"/>
          <w:color w:val="auto"/>
        </w:rPr>
        <w:t>”) as published by Reuters (or such other commercially available source providing quotations of ICE LIBOR as may be designated by the First Lien Administrative Agent from time to time) on such day at approximately 11:00 a.m. (London time) for a deposit in Dollars with a maturity of one month. If the First Lien Administrative Agent shall have determined (which determination shall be conclusive absent manifest error) that it is unable to ascertain the Federal Funds Effective Rate or the Adjusted LIBO Rate for any reason, including the inability or failure of the First Lien Administrative Agent to obtain sufficient quotations in accordance with the terms of the definition of Federal Funds Effective Rate, the Alternate Base Rate shall be determined without regard to clause (b) or (c), as applicable, of the preceding sentence until the circumstances giving rise to such inability no longer exist.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w:t>
      </w:r>
    </w:p>
    <w:p>
      <w:pPr>
        <w:spacing w:after="0" w:line="18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means Canadian Dollars, Euros, Sterling and each other currency (other than Dollars) that is requested by the Borrower and approved in accordance with Section 1.07.</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Equivalent</w:t>
      </w:r>
      <w:r>
        <w:rPr>
          <w:rFonts w:ascii="Arial" w:cs="Arial" w:eastAsia="Arial" w:hAnsi="Arial"/>
          <w:sz w:val="18"/>
          <w:szCs w:val="18"/>
          <w:color w:val="auto"/>
        </w:rPr>
        <w:t>” means, at any time, with respect to any amount denominated in Dollars, the equivalent amount thereof in the applicable Alternative Currency as determined by the First Lien Administrative Agent or the relevant Issuing Bank, as the case may be, at such time on the basis of the Spot Rate (determined in respect of the most recent LC Revaluation Date or other applicable date of determination) for the purchase of such Alternative Currency with Dollars.</w:t>
      </w:r>
    </w:p>
    <w:p>
      <w:pPr>
        <w:spacing w:after="0" w:line="178" w:lineRule="exact"/>
        <w:rPr>
          <w:sz w:val="20"/>
          <w:szCs w:val="20"/>
          <w:color w:val="auto"/>
        </w:rPr>
      </w:pPr>
    </w:p>
    <w:p>
      <w:pPr>
        <w:ind w:left="1960" w:hanging="656"/>
        <w:spacing w:after="0"/>
        <w:tabs>
          <w:tab w:leader="none" w:pos="1960" w:val="left"/>
        </w:tabs>
        <w:numPr>
          <w:ilvl w:val="0"/>
          <w:numId w:val="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Ancillary Document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9.06</w:t>
      </w:r>
      <w:r>
        <w:rPr>
          <w:rFonts w:ascii="Arial" w:cs="Arial" w:eastAsia="Arial" w:hAnsi="Arial"/>
          <w:sz w:val="19"/>
          <w:szCs w:val="19"/>
          <w:color w:val="auto"/>
        </w:rPr>
        <w:t>.</w:t>
      </w:r>
    </w:p>
    <w:p>
      <w:pPr>
        <w:spacing w:after="0" w:line="222"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U.S. Foreign Corrupt Practices Act of 1977, as amended, the UK Bribery Act 2010, and any other laws or regulations concerning or relating to bribery or corruption.</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means the Bank Secrecy Act, as amended by the Patriot Act, and any other laws or regulations concerning or relating to terrorism financing or money laundering.</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w:t>
      </w:r>
      <w:r>
        <w:rPr>
          <w:rFonts w:ascii="Arial" w:cs="Arial" w:eastAsia="Arial" w:hAnsi="Arial"/>
          <w:sz w:val="18"/>
          <w:szCs w:val="18"/>
          <w:color w:val="auto"/>
        </w:rPr>
        <w:t>” means, with respect to any payment to be made to the First Lien Administrative Agent hereunder, the account specified by the First Lien Administrative Agent from time to time for the purpose of receiving payments of such type.</w:t>
      </w:r>
    </w:p>
    <w:p>
      <w:pPr>
        <w:spacing w:after="0" w:line="170" w:lineRule="exact"/>
        <w:rPr>
          <w:sz w:val="20"/>
          <w:szCs w:val="20"/>
          <w:color w:val="auto"/>
        </w:rPr>
      </w:pPr>
    </w:p>
    <w:p>
      <w:pPr>
        <w:jc w:val="both"/>
        <w:ind w:right="2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Fronting Exposure</w:t>
      </w:r>
      <w:r>
        <w:rPr>
          <w:rFonts w:ascii="Arial" w:cs="Arial" w:eastAsia="Arial" w:hAnsi="Arial"/>
          <w:sz w:val="18"/>
          <w:szCs w:val="18"/>
          <w:color w:val="auto"/>
        </w:rPr>
        <w:t>” means, with respect to any Person that is an Issuing Bank or the Swingline Lender at any time, the sum of (a) the aggregate amount of all Letters of Credit 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Borrower at such time and (c) the aggregate principal amount of all Swingline Loans made by such Person in its capacity as a Swingline Lender (if applicable) outstanding at such time.</w:t>
      </w:r>
    </w:p>
    <w:p>
      <w:pPr>
        <w:spacing w:after="0" w:line="188"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Letters of Credit, LC Disbursements, LC Exposure, Swingline Exposure and Swingline Loans, “Applicable Percentage” shall mean the percentage of the aggregate Revolving Commitments represented by such Lender’s Revolving Commitment at such time (or, if the Revolving Commitments have terminated or expired, such Lender’s share of the total Revolving Exposure at that time);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effect, giving effect to any assignments pursuant to this Agreement and to any Lender’s status as a Defaulting Lender at the time of determination.</w:t>
      </w:r>
    </w:p>
    <w:p>
      <w:pPr>
        <w:spacing w:after="0" w:line="23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for any day, with respect to any ABR Loan or Eurodollar Loan, the applicable rate per annum set forth below under the caption “ABR Spread”, “Adjusted LIBO Rate, RFR Rate Spread or Adjusted BA Rate Spread” or “Adjusted EURIBOR Spread” as the case may be, based upon the Senior Secured Net Leverage Ratio as of the end of the fiscal quarter of Holdings for which consolidated financial statements have theretofore been most recently delivered pursuant to Section 5.01(a) or 5.01(b);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the date of the delivery of the consolidated financial statements pursuant to Section 5.01(b) as of and for the first full fiscal quarter following the Effective Date, the Applicable Rate shall be based on the rates per annum set forth in Category 1:</w:t>
      </w:r>
    </w:p>
    <w:p>
      <w:pPr>
        <w:spacing w:after="0" w:line="214" w:lineRule="exact"/>
        <w:rPr>
          <w:sz w:val="20"/>
          <w:szCs w:val="20"/>
          <w:color w:val="auto"/>
        </w:rPr>
      </w:pPr>
    </w:p>
    <w:tbl>
      <w:tblPr>
        <w:tblLayout w:type="fixed"/>
        <w:tblInd w:w="63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auto"/>
              <w:right w:val="single" w:sz="8" w:color="auto"/>
            </w:tcBorders>
          </w:tcPr>
          <w:p>
            <w:pPr>
              <w:spacing w:after="0"/>
              <w:rPr>
                <w:sz w:val="18"/>
                <w:szCs w:val="18"/>
                <w:color w:val="auto"/>
              </w:rPr>
            </w:pPr>
          </w:p>
        </w:tc>
        <w:tc>
          <w:tcPr>
            <w:tcW w:w="1980" w:type="dxa"/>
            <w:vAlign w:val="bottom"/>
            <w:tcBorders>
              <w:top w:val="single" w:sz="8" w:color="auto"/>
              <w:right w:val="single" w:sz="8" w:color="auto"/>
            </w:tcBorders>
            <w:gridSpan w:val="9"/>
          </w:tcPr>
          <w:p>
            <w:pPr>
              <w:jc w:val="center"/>
              <w:ind w:right="20"/>
              <w:spacing w:after="0"/>
              <w:rPr>
                <w:sz w:val="20"/>
                <w:szCs w:val="20"/>
                <w:color w:val="auto"/>
              </w:rPr>
            </w:pPr>
            <w:r>
              <w:rPr>
                <w:rFonts w:ascii="Arial" w:cs="Arial" w:eastAsia="Arial" w:hAnsi="Arial"/>
                <w:sz w:val="18"/>
                <w:szCs w:val="18"/>
                <w:color w:val="auto"/>
                <w:w w:val="93"/>
              </w:rPr>
              <w:t>Adjusted LIBO Rate, RFR</w:t>
            </w: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360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Senior Secured Net Leverage Ratio:</w:t>
            </w:r>
          </w:p>
        </w:tc>
        <w:tc>
          <w:tcPr>
            <w:tcW w:w="146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8"/>
                <w:szCs w:val="18"/>
                <w:color w:val="auto"/>
                <w:w w:val="91"/>
              </w:rPr>
              <w:t>ABR Spread</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5"/>
          </w:tcPr>
          <w:p>
            <w:pPr>
              <w:jc w:val="center"/>
              <w:spacing w:after="0" w:line="196" w:lineRule="exact"/>
              <w:rPr>
                <w:sz w:val="20"/>
                <w:szCs w:val="20"/>
                <w:color w:val="auto"/>
              </w:rPr>
            </w:pPr>
            <w:r>
              <w:rPr>
                <w:rFonts w:ascii="Arial" w:cs="Arial" w:eastAsia="Arial" w:hAnsi="Arial"/>
                <w:sz w:val="18"/>
                <w:szCs w:val="18"/>
                <w:color w:val="auto"/>
                <w:w w:val="89"/>
              </w:rPr>
              <w:t>Rate Spread or Adjusted</w:t>
            </w:r>
          </w:p>
        </w:tc>
        <w:tc>
          <w:tcPr>
            <w:tcW w:w="80" w:type="dxa"/>
            <w:vAlign w:val="bottom"/>
            <w:tcBorders>
              <w:top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gridSpan w:val="5"/>
          </w:tcPr>
          <w:p>
            <w:pPr>
              <w:ind w:left="220"/>
              <w:spacing w:after="0" w:line="196" w:lineRule="exact"/>
              <w:rPr>
                <w:sz w:val="20"/>
                <w:szCs w:val="20"/>
                <w:color w:val="auto"/>
              </w:rPr>
            </w:pPr>
            <w:r>
              <w:rPr>
                <w:rFonts w:ascii="Arial" w:cs="Arial" w:eastAsia="Arial" w:hAnsi="Arial"/>
                <w:sz w:val="18"/>
                <w:szCs w:val="18"/>
                <w:color w:val="auto"/>
              </w:rPr>
              <w:t>Adjusted EURIBOR</w:t>
            </w:r>
          </w:p>
        </w:tc>
        <w:tc>
          <w:tcPr>
            <w:tcW w:w="0" w:type="dxa"/>
            <w:vAlign w:val="bottom"/>
          </w:tcPr>
          <w:p>
            <w:pPr>
              <w:spacing w:after="0"/>
              <w:rPr>
                <w:sz w:val="1"/>
                <w:szCs w:val="1"/>
                <w:color w:val="auto"/>
              </w:rPr>
            </w:pPr>
          </w:p>
        </w:tc>
      </w:tr>
      <w:tr>
        <w:trPr>
          <w:trHeight w:val="88"/>
        </w:trPr>
        <w:tc>
          <w:tcPr>
            <w:tcW w:w="40" w:type="dxa"/>
            <w:vAlign w:val="bottom"/>
            <w:tcBorders>
              <w:left w:val="single" w:sz="8" w:color="auto"/>
            </w:tcBorders>
          </w:tcPr>
          <w:p>
            <w:pPr>
              <w:spacing w:after="0"/>
              <w:rPr>
                <w:sz w:val="7"/>
                <w:szCs w:val="7"/>
                <w:color w:val="auto"/>
              </w:rPr>
            </w:pPr>
          </w:p>
        </w:tc>
        <w:tc>
          <w:tcPr>
            <w:tcW w:w="3600" w:type="dxa"/>
            <w:vAlign w:val="bottom"/>
            <w:tcBorders>
              <w:right w:val="single" w:sz="8" w:color="auto"/>
            </w:tcBorders>
            <w:gridSpan w:val="3"/>
            <w:vMerge w:val="continue"/>
          </w:tcPr>
          <w:p>
            <w:pPr>
              <w:spacing w:after="0"/>
              <w:rPr>
                <w:sz w:val="7"/>
                <w:szCs w:val="7"/>
                <w:color w:val="auto"/>
              </w:rPr>
            </w:pPr>
          </w:p>
        </w:tc>
        <w:tc>
          <w:tcPr>
            <w:tcW w:w="1460" w:type="dxa"/>
            <w:vAlign w:val="bottom"/>
            <w:tcBorders>
              <w:right w:val="single" w:sz="8" w:color="auto"/>
            </w:tcBorders>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vMerge w:val="restart"/>
          </w:tcPr>
          <w:p>
            <w:pPr>
              <w:spacing w:after="0"/>
              <w:rPr>
                <w:sz w:val="7"/>
                <w:szCs w:val="7"/>
                <w:color w:val="auto"/>
              </w:rPr>
            </w:pPr>
          </w:p>
        </w:tc>
        <w:tc>
          <w:tcPr>
            <w:tcW w:w="680" w:type="dxa"/>
            <w:vAlign w:val="bottom"/>
            <w:tcBorders>
              <w:top w:val="single" w:sz="8" w:color="auto"/>
            </w:tcBorders>
            <w:gridSpan w:val="3"/>
            <w:vMerge w:val="restart"/>
          </w:tcPr>
          <w:p>
            <w:pPr>
              <w:jc w:val="center"/>
              <w:ind w:right="60"/>
              <w:spacing w:after="0" w:line="196" w:lineRule="exact"/>
              <w:rPr>
                <w:sz w:val="20"/>
                <w:szCs w:val="20"/>
                <w:color w:val="auto"/>
              </w:rPr>
            </w:pPr>
            <w:r>
              <w:rPr>
                <w:rFonts w:ascii="Arial" w:cs="Arial" w:eastAsia="Arial" w:hAnsi="Arial"/>
                <w:sz w:val="18"/>
                <w:szCs w:val="18"/>
                <w:color w:val="auto"/>
                <w:w w:val="92"/>
              </w:rPr>
              <w:t>BA Rate</w:t>
            </w:r>
          </w:p>
        </w:tc>
        <w:tc>
          <w:tcPr>
            <w:tcW w:w="540" w:type="dxa"/>
            <w:vAlign w:val="bottom"/>
            <w:tcBorders>
              <w:top w:val="single" w:sz="8" w:color="auto"/>
            </w:tcBorders>
            <w:vMerge w:val="restart"/>
          </w:tcPr>
          <w:p>
            <w:pPr>
              <w:spacing w:after="0"/>
              <w:rPr>
                <w:sz w:val="7"/>
                <w:szCs w:val="7"/>
                <w:color w:val="auto"/>
              </w:rPr>
            </w:pPr>
          </w:p>
        </w:tc>
        <w:tc>
          <w:tcPr>
            <w:tcW w:w="120" w:type="dxa"/>
            <w:vAlign w:val="bottom"/>
            <w:tcBorders>
              <w:right w:val="single" w:sz="8" w:color="auto"/>
            </w:tcBorders>
            <w:gridSpan w:val="2"/>
            <w:vMerge w:val="restart"/>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auto"/>
                <w:w w:val="82"/>
              </w:rPr>
              <w:t>Spread</w:t>
            </w:r>
          </w:p>
        </w:tc>
        <w:tc>
          <w:tcPr>
            <w:tcW w:w="500" w:type="dxa"/>
            <w:vAlign w:val="bottom"/>
            <w:tcBorders>
              <w:top w:val="single" w:sz="8" w:color="auto"/>
            </w:tcBorders>
            <w:vMerge w:val="restart"/>
          </w:tcPr>
          <w:p>
            <w:pPr>
              <w:spacing w:after="0"/>
              <w:rPr>
                <w:sz w:val="7"/>
                <w:szCs w:val="7"/>
                <w:color w:val="auto"/>
              </w:rPr>
            </w:pPr>
          </w:p>
        </w:tc>
        <w:tc>
          <w:tcPr>
            <w:tcW w:w="240" w:type="dxa"/>
            <w:vAlign w:val="bottom"/>
            <w:tcBorders>
              <w:right w:val="single" w:sz="8" w:color="auto"/>
            </w:tcBorders>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760" w:type="dxa"/>
            <w:vAlign w:val="bottom"/>
            <w:tcBorders>
              <w:top w:val="single" w:sz="8" w:color="auto"/>
            </w:tcBorders>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vMerge w:val="continue"/>
          </w:tcPr>
          <w:p>
            <w:pPr>
              <w:spacing w:after="0"/>
              <w:rPr>
                <w:sz w:val="7"/>
                <w:szCs w:val="7"/>
                <w:color w:val="auto"/>
              </w:rPr>
            </w:pPr>
          </w:p>
        </w:tc>
        <w:tc>
          <w:tcPr>
            <w:tcW w:w="680" w:type="dxa"/>
            <w:vAlign w:val="bottom"/>
            <w:tcBorders>
              <w:top w:val="single" w:sz="8" w:color="auto"/>
              <w:bottom w:val="single" w:sz="8" w:color="auto"/>
            </w:tcBorders>
            <w:gridSpan w:val="3"/>
            <w:vMerge w:val="continue"/>
          </w:tcPr>
          <w:p>
            <w:pPr>
              <w:spacing w:after="0"/>
              <w:rPr>
                <w:sz w:val="7"/>
                <w:szCs w:val="7"/>
                <w:color w:val="auto"/>
              </w:rPr>
            </w:pPr>
          </w:p>
        </w:tc>
        <w:tc>
          <w:tcPr>
            <w:tcW w:w="540" w:type="dxa"/>
            <w:vAlign w:val="bottom"/>
            <w:tcBorders>
              <w:top w:val="single" w:sz="8" w:color="auto"/>
            </w:tcBorders>
            <w:vMerge w:val="continue"/>
          </w:tcPr>
          <w:p>
            <w:pPr>
              <w:spacing w:after="0"/>
              <w:rPr>
                <w:sz w:val="7"/>
                <w:szCs w:val="7"/>
                <w:color w:val="auto"/>
              </w:rPr>
            </w:pPr>
          </w:p>
        </w:tc>
        <w:tc>
          <w:tcPr>
            <w:tcW w:w="120" w:type="dxa"/>
            <w:vAlign w:val="bottom"/>
            <w:tcBorders>
              <w:right w:val="single" w:sz="8" w:color="auto"/>
            </w:tcBorders>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right w:val="single" w:sz="8" w:color="auto"/>
            </w:tcBorders>
            <w:gridSpan w:val="6"/>
          </w:tcPr>
          <w:p>
            <w:pPr>
              <w:jc w:val="center"/>
              <w:ind w:right="680"/>
              <w:spacing w:after="0" w:line="196" w:lineRule="exact"/>
              <w:rPr>
                <w:sz w:val="20"/>
                <w:szCs w:val="20"/>
                <w:color w:val="auto"/>
              </w:rPr>
            </w:pPr>
            <w:r>
              <w:rPr>
                <w:rFonts w:ascii="Arial" w:cs="Arial" w:eastAsia="Arial" w:hAnsi="Arial"/>
                <w:sz w:val="18"/>
                <w:szCs w:val="18"/>
                <w:color w:val="auto"/>
                <w:w w:val="86"/>
              </w:rPr>
              <w:t>Spread</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3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Category 1</w:t>
            </w:r>
          </w:p>
        </w:tc>
        <w:tc>
          <w:tcPr>
            <w:tcW w:w="11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2.00%</w:t>
            </w:r>
          </w:p>
        </w:tc>
        <w:tc>
          <w:tcPr>
            <w:tcW w:w="280" w:type="dxa"/>
            <w:vAlign w:val="bottom"/>
            <w:tcBorders>
              <w:right w:val="single" w:sz="8" w:color="auto"/>
            </w:tcBorders>
          </w:tcPr>
          <w:p>
            <w:pPr>
              <w:spacing w:after="0"/>
              <w:rPr>
                <w:sz w:val="21"/>
                <w:szCs w:val="21"/>
                <w:color w:val="auto"/>
              </w:rPr>
            </w:pPr>
          </w:p>
        </w:tc>
        <w:tc>
          <w:tcPr>
            <w:tcW w:w="1220" w:type="dxa"/>
            <w:vAlign w:val="bottom"/>
            <w:gridSpan w:val="5"/>
          </w:tcPr>
          <w:p>
            <w:pPr>
              <w:jc w:val="center"/>
              <w:ind w:left="630"/>
              <w:spacing w:after="0"/>
              <w:rPr>
                <w:sz w:val="20"/>
                <w:szCs w:val="20"/>
                <w:color w:val="auto"/>
              </w:rPr>
            </w:pPr>
            <w:r>
              <w:rPr>
                <w:rFonts w:ascii="Arial" w:cs="Arial" w:eastAsia="Arial" w:hAnsi="Arial"/>
                <w:sz w:val="18"/>
                <w:szCs w:val="18"/>
                <w:color w:val="auto"/>
                <w:w w:val="90"/>
              </w:rPr>
              <w:t>3.00%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240" w:type="dxa"/>
            <w:vAlign w:val="bottom"/>
            <w:gridSpan w:val="3"/>
          </w:tcPr>
          <w:p>
            <w:pPr>
              <w:ind w:left="740"/>
              <w:spacing w:after="0"/>
              <w:rPr>
                <w:sz w:val="20"/>
                <w:szCs w:val="20"/>
                <w:color w:val="auto"/>
              </w:rPr>
            </w:pPr>
            <w:r>
              <w:rPr>
                <w:rFonts w:ascii="Arial" w:cs="Arial" w:eastAsia="Arial" w:hAnsi="Arial"/>
                <w:sz w:val="18"/>
                <w:szCs w:val="18"/>
                <w:color w:val="auto"/>
                <w:w w:val="93"/>
              </w:rPr>
              <w:t>3.00%</w:t>
            </w:r>
          </w:p>
        </w:tc>
        <w:tc>
          <w:tcPr>
            <w:tcW w:w="5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0" w:type="dxa"/>
            <w:vAlign w:val="bottom"/>
            <w:tcBorders>
              <w:right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Less than or equal to 1.00 to 1.00</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3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Category 2</w:t>
            </w:r>
          </w:p>
        </w:tc>
        <w:tc>
          <w:tcPr>
            <w:tcW w:w="11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2.25%</w:t>
            </w:r>
          </w:p>
        </w:tc>
        <w:tc>
          <w:tcPr>
            <w:tcW w:w="280" w:type="dxa"/>
            <w:vAlign w:val="bottom"/>
            <w:tcBorders>
              <w:right w:val="single" w:sz="8" w:color="auto"/>
            </w:tcBorders>
          </w:tcPr>
          <w:p>
            <w:pPr>
              <w:spacing w:after="0"/>
              <w:rPr>
                <w:sz w:val="21"/>
                <w:szCs w:val="21"/>
                <w:color w:val="auto"/>
              </w:rPr>
            </w:pPr>
          </w:p>
        </w:tc>
        <w:tc>
          <w:tcPr>
            <w:tcW w:w="1220" w:type="dxa"/>
            <w:vAlign w:val="bottom"/>
            <w:gridSpan w:val="5"/>
          </w:tcPr>
          <w:p>
            <w:pPr>
              <w:jc w:val="center"/>
              <w:ind w:left="630"/>
              <w:spacing w:after="0"/>
              <w:rPr>
                <w:sz w:val="20"/>
                <w:szCs w:val="20"/>
                <w:color w:val="auto"/>
              </w:rPr>
            </w:pPr>
            <w:r>
              <w:rPr>
                <w:rFonts w:ascii="Arial" w:cs="Arial" w:eastAsia="Arial" w:hAnsi="Arial"/>
                <w:sz w:val="18"/>
                <w:szCs w:val="18"/>
                <w:color w:val="auto"/>
                <w:w w:val="90"/>
              </w:rPr>
              <w:t>3.25%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240" w:type="dxa"/>
            <w:vAlign w:val="bottom"/>
            <w:gridSpan w:val="3"/>
          </w:tcPr>
          <w:p>
            <w:pPr>
              <w:ind w:left="740"/>
              <w:spacing w:after="0"/>
              <w:rPr>
                <w:sz w:val="20"/>
                <w:szCs w:val="20"/>
                <w:color w:val="auto"/>
              </w:rPr>
            </w:pPr>
            <w:r>
              <w:rPr>
                <w:rFonts w:ascii="Arial" w:cs="Arial" w:eastAsia="Arial" w:hAnsi="Arial"/>
                <w:sz w:val="18"/>
                <w:szCs w:val="18"/>
                <w:color w:val="auto"/>
                <w:w w:val="93"/>
              </w:rPr>
              <w:t>3.25%</w:t>
            </w:r>
          </w:p>
        </w:tc>
        <w:tc>
          <w:tcPr>
            <w:tcW w:w="5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0" w:type="dxa"/>
            <w:vAlign w:val="bottom"/>
            <w:tcBorders>
              <w:right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2"/>
              </w:rPr>
              <w:t>Greater than 1.00 to 1.00, but less than or equal</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to 2.00 to 1.00</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3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Category 3</w:t>
            </w:r>
          </w:p>
        </w:tc>
        <w:tc>
          <w:tcPr>
            <w:tcW w:w="11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2.50%</w:t>
            </w:r>
          </w:p>
        </w:tc>
        <w:tc>
          <w:tcPr>
            <w:tcW w:w="280" w:type="dxa"/>
            <w:vAlign w:val="bottom"/>
            <w:tcBorders>
              <w:right w:val="single" w:sz="8" w:color="auto"/>
            </w:tcBorders>
          </w:tcPr>
          <w:p>
            <w:pPr>
              <w:spacing w:after="0"/>
              <w:rPr>
                <w:sz w:val="21"/>
                <w:szCs w:val="21"/>
                <w:color w:val="auto"/>
              </w:rPr>
            </w:pPr>
          </w:p>
        </w:tc>
        <w:tc>
          <w:tcPr>
            <w:tcW w:w="1220" w:type="dxa"/>
            <w:vAlign w:val="bottom"/>
            <w:gridSpan w:val="5"/>
          </w:tcPr>
          <w:p>
            <w:pPr>
              <w:jc w:val="center"/>
              <w:ind w:left="630"/>
              <w:spacing w:after="0"/>
              <w:rPr>
                <w:sz w:val="20"/>
                <w:szCs w:val="20"/>
                <w:color w:val="auto"/>
              </w:rPr>
            </w:pPr>
            <w:r>
              <w:rPr>
                <w:rFonts w:ascii="Arial" w:cs="Arial" w:eastAsia="Arial" w:hAnsi="Arial"/>
                <w:sz w:val="18"/>
                <w:szCs w:val="18"/>
                <w:color w:val="auto"/>
                <w:w w:val="90"/>
              </w:rPr>
              <w:t>3.50%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240" w:type="dxa"/>
            <w:vAlign w:val="bottom"/>
            <w:gridSpan w:val="3"/>
          </w:tcPr>
          <w:p>
            <w:pPr>
              <w:ind w:left="740"/>
              <w:spacing w:after="0"/>
              <w:rPr>
                <w:sz w:val="20"/>
                <w:szCs w:val="20"/>
                <w:color w:val="auto"/>
              </w:rPr>
            </w:pPr>
            <w:r>
              <w:rPr>
                <w:rFonts w:ascii="Arial" w:cs="Arial" w:eastAsia="Arial" w:hAnsi="Arial"/>
                <w:sz w:val="18"/>
                <w:szCs w:val="18"/>
                <w:color w:val="auto"/>
                <w:w w:val="93"/>
              </w:rPr>
              <w:t>3.50%</w:t>
            </w:r>
          </w:p>
        </w:tc>
        <w:tc>
          <w:tcPr>
            <w:tcW w:w="5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0" w:type="dxa"/>
            <w:vAlign w:val="bottom"/>
            <w:tcBorders>
              <w:right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2"/>
              </w:rPr>
              <w:t>Greater than 2.00 to 1.00, but less than or equal</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to 3.00 to 1.00</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3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Category 4</w:t>
            </w:r>
          </w:p>
        </w:tc>
        <w:tc>
          <w:tcPr>
            <w:tcW w:w="11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2.75%</w:t>
            </w:r>
          </w:p>
        </w:tc>
        <w:tc>
          <w:tcPr>
            <w:tcW w:w="280" w:type="dxa"/>
            <w:vAlign w:val="bottom"/>
            <w:tcBorders>
              <w:right w:val="single" w:sz="8" w:color="auto"/>
            </w:tcBorders>
          </w:tcPr>
          <w:p>
            <w:pPr>
              <w:spacing w:after="0"/>
              <w:rPr>
                <w:sz w:val="21"/>
                <w:szCs w:val="21"/>
                <w:color w:val="auto"/>
              </w:rPr>
            </w:pPr>
          </w:p>
        </w:tc>
        <w:tc>
          <w:tcPr>
            <w:tcW w:w="1220" w:type="dxa"/>
            <w:vAlign w:val="bottom"/>
            <w:gridSpan w:val="5"/>
          </w:tcPr>
          <w:p>
            <w:pPr>
              <w:jc w:val="center"/>
              <w:ind w:left="630"/>
              <w:spacing w:after="0"/>
              <w:rPr>
                <w:sz w:val="20"/>
                <w:szCs w:val="20"/>
                <w:color w:val="auto"/>
              </w:rPr>
            </w:pPr>
            <w:r>
              <w:rPr>
                <w:rFonts w:ascii="Arial" w:cs="Arial" w:eastAsia="Arial" w:hAnsi="Arial"/>
                <w:sz w:val="18"/>
                <w:szCs w:val="18"/>
                <w:color w:val="auto"/>
                <w:w w:val="90"/>
              </w:rPr>
              <w:t>3.75%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240" w:type="dxa"/>
            <w:vAlign w:val="bottom"/>
            <w:gridSpan w:val="3"/>
          </w:tcPr>
          <w:p>
            <w:pPr>
              <w:ind w:left="740"/>
              <w:spacing w:after="0"/>
              <w:rPr>
                <w:sz w:val="20"/>
                <w:szCs w:val="20"/>
                <w:color w:val="auto"/>
              </w:rPr>
            </w:pPr>
            <w:r>
              <w:rPr>
                <w:rFonts w:ascii="Arial" w:cs="Arial" w:eastAsia="Arial" w:hAnsi="Arial"/>
                <w:sz w:val="18"/>
                <w:szCs w:val="18"/>
                <w:color w:val="auto"/>
                <w:w w:val="93"/>
              </w:rPr>
              <w:t>3.75%</w:t>
            </w:r>
          </w:p>
        </w:tc>
        <w:tc>
          <w:tcPr>
            <w:tcW w:w="5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0" w:type="dxa"/>
            <w:vAlign w:val="bottom"/>
            <w:tcBorders>
              <w:right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3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2"/>
              </w:rPr>
              <w:t>Greater than 3.00 to 1.00, but less than or equal</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to 4.00 to 1.00</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3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Category 5</w:t>
            </w:r>
          </w:p>
        </w:tc>
        <w:tc>
          <w:tcPr>
            <w:tcW w:w="118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3.00%</w:t>
            </w:r>
          </w:p>
        </w:tc>
        <w:tc>
          <w:tcPr>
            <w:tcW w:w="280" w:type="dxa"/>
            <w:vAlign w:val="bottom"/>
            <w:tcBorders>
              <w:right w:val="single" w:sz="8" w:color="auto"/>
            </w:tcBorders>
          </w:tcPr>
          <w:p>
            <w:pPr>
              <w:spacing w:after="0"/>
              <w:rPr>
                <w:sz w:val="21"/>
                <w:szCs w:val="21"/>
                <w:color w:val="auto"/>
              </w:rPr>
            </w:pPr>
          </w:p>
        </w:tc>
        <w:tc>
          <w:tcPr>
            <w:tcW w:w="1220" w:type="dxa"/>
            <w:vAlign w:val="bottom"/>
            <w:gridSpan w:val="5"/>
          </w:tcPr>
          <w:p>
            <w:pPr>
              <w:jc w:val="center"/>
              <w:ind w:left="630"/>
              <w:spacing w:after="0"/>
              <w:rPr>
                <w:sz w:val="20"/>
                <w:szCs w:val="20"/>
                <w:color w:val="auto"/>
              </w:rPr>
            </w:pPr>
            <w:r>
              <w:rPr>
                <w:rFonts w:ascii="Arial" w:cs="Arial" w:eastAsia="Arial" w:hAnsi="Arial"/>
                <w:sz w:val="18"/>
                <w:szCs w:val="18"/>
                <w:color w:val="auto"/>
                <w:w w:val="90"/>
              </w:rPr>
              <w:t>4.00%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1240" w:type="dxa"/>
            <w:vAlign w:val="bottom"/>
            <w:gridSpan w:val="3"/>
          </w:tcPr>
          <w:p>
            <w:pPr>
              <w:ind w:left="740"/>
              <w:spacing w:after="0"/>
              <w:rPr>
                <w:sz w:val="20"/>
                <w:szCs w:val="20"/>
                <w:color w:val="auto"/>
              </w:rPr>
            </w:pPr>
            <w:r>
              <w:rPr>
                <w:rFonts w:ascii="Arial" w:cs="Arial" w:eastAsia="Arial" w:hAnsi="Arial"/>
                <w:sz w:val="18"/>
                <w:szCs w:val="18"/>
                <w:color w:val="auto"/>
                <w:w w:val="93"/>
              </w:rPr>
              <w:t>4.00%</w:t>
            </w:r>
          </w:p>
        </w:tc>
        <w:tc>
          <w:tcPr>
            <w:tcW w:w="5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0" w:type="dxa"/>
            <w:vAlign w:val="bottom"/>
            <w:tcBorders>
              <w:right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6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Greater than 4.00 to 1.00</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0" w:type="dxa"/>
            <w:vAlign w:val="bottom"/>
            <w:tcBorders>
              <w:left w:val="single" w:sz="8" w:color="auto"/>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For purposes of the foregoing, each change in the Applicable Rate resulting from a change in the Senior Secured Net Leverage Ratio shall be effective during the period commencing on and including the Business Day following the date of delivery to the First Lien Administrative Agent pursuant to Section 5.01(a) or 5.01(b) of the consolidated financial statements and related Compliance Certificate indicating such change and ending on the date immediately preceding the effective date of the next such change. Notwithstanding the foregoing, the Applicable Rate, at the option of the First Lien Administrative Agent or the Required Revolving Lenders, commencing upon written notice to Holdings, shall be (x) the applicable rate per annum set forth above under the caption “ABR Spread”, “Adjusted LIBO Rate, RFR Rate Spread or Adjusted BA Rate Spread” or “Adjusted EURIBOR Spread” as the case may be, based upon the Senior Secured Leverage Ratio as of the end of the fiscal quarter of Holdings for which consolidated financial statements have theretofore been most recently delivered pursuant to Section 5.01(a) or 5.01(b),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(y) 2.00%, (i) at any time that an Event of Default under Section 7.01(a) has occurred and is continuing and shall continue to so apply to but excluding the date on which such Event of Default shall cease to be continuing (and thereafter, the Category otherwise determined in accordance with this definition shall apply) or (ii) if the Borrower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has the meaning assigned to such term in the definition of the term “Permitted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1" w:right="339" w:bottom="1440" w:gutter="0" w:footer="0" w:header="0"/>
        </w:sectPr>
      </w:pPr>
    </w:p>
    <w:bookmarkStart w:id="13" w:name="page14"/>
    <w:bookmarkEnd w:id="1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Foreign Bank</w:t>
      </w:r>
      <w:r>
        <w:rPr>
          <w:rFonts w:ascii="Arial" w:cs="Arial" w:eastAsia="Arial" w:hAnsi="Arial"/>
          <w:sz w:val="18"/>
          <w:szCs w:val="18"/>
          <w:color w:val="auto"/>
        </w:rPr>
        <w:t>” has the meaning assigned to such term in the definition of “Permitted Investments.”</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entered into by a Lender and an Eligible Assignee (with the consent of any Person whose consent is required by Section 9.04(b)), substantially in the form of Exhibit A or any other form reasonably approved by the First Lien Administrative Agent.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sheets of Holdings for the fiscal year ended December 31, 2020, and the related consolidated statements of operations and comprehensive income, consolidated statements of shareholders’ equity and consolidated statements of cash flows of Holdings for the fiscal year ended December 31, 2020.</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as of any date of determination, a cumulative amount equal to (without duplication):</w:t>
      </w:r>
    </w:p>
    <w:p>
      <w:pPr>
        <w:spacing w:after="0" w:line="225" w:lineRule="exact"/>
        <w:rPr>
          <w:sz w:val="20"/>
          <w:szCs w:val="20"/>
          <w:color w:val="auto"/>
        </w:rPr>
      </w:pPr>
    </w:p>
    <w:p>
      <w:pPr>
        <w:ind w:left="1680" w:hanging="376"/>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$30,000,000 (such amount, the “</w:t>
      </w:r>
      <w:r>
        <w:rPr>
          <w:rFonts w:ascii="Arial" w:cs="Arial" w:eastAsia="Arial" w:hAnsi="Arial"/>
          <w:sz w:val="18"/>
          <w:szCs w:val="18"/>
          <w:u w:val="single" w:color="auto"/>
          <w:color w:val="auto"/>
        </w:rPr>
        <w:t>Starter Basket</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225" w:lineRule="exact"/>
        <w:rPr>
          <w:rFonts w:ascii="Arial" w:cs="Arial" w:eastAsia="Arial" w:hAnsi="Arial"/>
          <w:sz w:val="18"/>
          <w:szCs w:val="18"/>
          <w:color w:val="auto"/>
        </w:rPr>
      </w:pPr>
    </w:p>
    <w:p>
      <w:pPr>
        <w:ind w:left="660" w:firstLine="644"/>
        <w:spacing w:after="0" w:line="277" w:lineRule="auto"/>
        <w:tabs>
          <w:tab w:leader="none" w:pos="174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50% of Consolidated Net Income (minus 100% of losses) of Holdings and any Restricted Subsidiaries for the period (treated as one accounting period) from September 31, 2021 to the end of the most recently ended Test Period as of such date,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ind w:left="660" w:firstLine="644"/>
        <w:spacing w:after="0" w:line="308" w:lineRule="auto"/>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Net Proceeds of new public or private issuances of Qualified Equity Interests (excluding Qualified Equity Interests the proceeds of which will be applied as Cure Amounts) in Holdings or any parent of Holdings which are contributed to the Borrower, </w:t>
      </w:r>
      <w:r>
        <w:rPr>
          <w:rFonts w:ascii="Arial" w:cs="Arial" w:eastAsia="Arial" w:hAnsi="Arial"/>
          <w:sz w:val="17"/>
          <w:szCs w:val="17"/>
          <w:u w:val="single" w:color="auto"/>
          <w:color w:val="auto"/>
        </w:rPr>
        <w:t>plus</w:t>
      </w:r>
    </w:p>
    <w:p>
      <w:pPr>
        <w:spacing w:after="0" w:line="146" w:lineRule="exact"/>
        <w:rPr>
          <w:rFonts w:ascii="Arial" w:cs="Arial" w:eastAsia="Arial" w:hAnsi="Arial"/>
          <w:sz w:val="17"/>
          <w:szCs w:val="17"/>
          <w:color w:val="auto"/>
        </w:rPr>
      </w:pPr>
    </w:p>
    <w:p>
      <w:pPr>
        <w:ind w:left="660" w:firstLine="644"/>
        <w:spacing w:after="0" w:line="277" w:lineRule="auto"/>
        <w:tabs>
          <w:tab w:leader="none" w:pos="174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capital contributions received by the Borrower after the Effective Date in cash or Permitted Investments (other than in respect of any Disqualified Equity Interest),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ind w:left="660" w:firstLine="644"/>
        <w:spacing w:after="0" w:line="277" w:lineRule="auto"/>
        <w:tabs>
          <w:tab w:leader="none" w:pos="181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net cash proceeds received by Holdings or any Restricted Subsidiary from Indebtedness and Disqualified Equity Interest issuances issued after the Effective Date and which have been exchanged or converted into Qualified Equity Interests, </w:t>
      </w:r>
      <w:r>
        <w:rPr>
          <w:rFonts w:ascii="Arial" w:cs="Arial" w:eastAsia="Arial" w:hAnsi="Arial"/>
          <w:sz w:val="18"/>
          <w:szCs w:val="18"/>
          <w:u w:val="single" w:color="auto"/>
          <w:color w:val="auto"/>
        </w:rPr>
        <w:t>plus</w:t>
      </w:r>
    </w:p>
    <w:p>
      <w:pPr>
        <w:spacing w:after="0" w:line="170" w:lineRule="exact"/>
        <w:rPr>
          <w:rFonts w:ascii="Arial" w:cs="Arial" w:eastAsia="Arial" w:hAnsi="Arial"/>
          <w:sz w:val="18"/>
          <w:szCs w:val="18"/>
          <w:color w:val="auto"/>
        </w:rPr>
      </w:pPr>
    </w:p>
    <w:p>
      <w:pPr>
        <w:ind w:left="660" w:firstLine="644"/>
        <w:spacing w:after="0" w:line="277" w:lineRule="auto"/>
        <w:tabs>
          <w:tab w:leader="none" w:pos="1819"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returns, profits, distributions and similar amounts received in cash or Permitted Investments by Holdings or any Restricted Subsidiary on Investments made using the Available Amount (not to exceed the amount of such Investments);</w:t>
      </w:r>
    </w:p>
    <w:p>
      <w:pPr>
        <w:spacing w:after="0" w:line="170" w:lineRule="exact"/>
        <w:rPr>
          <w:rFonts w:ascii="Arial" w:cs="Arial" w:eastAsia="Arial" w:hAnsi="Arial"/>
          <w:sz w:val="18"/>
          <w:szCs w:val="18"/>
          <w:color w:val="auto"/>
        </w:rPr>
      </w:pPr>
    </w:p>
    <w:p>
      <w:pPr>
        <w:jc w:val="both"/>
        <w:ind w:left="660" w:firstLine="644"/>
        <w:spacing w:after="0" w:line="255" w:lineRule="auto"/>
        <w:tabs>
          <w:tab w:leader="none" w:pos="1717"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Investments of Holdings or any of its Restricted Subsidiaries in any Unrestricted Subsidiary made using the Available Amount that has been re-designated as a Restricted Subsidiary or that has been merged, amalgamated or consolidated with or into the Borrower or any of its Restricted Subsidiary (up to the lesser of (i) the Fair Market Value determined in good faith by the Borrower of the Investments of the Borrower and its Restricted Subsidiaries in such Unrestricted Subsidiary at the time of such re-designation or merger or consolidation and (ii) the Fair Market Value determined in good faith by the Borrower of the original Investment by Holdings and its Restricted Subsidiaries in such Unrestricted Subsidiary), </w:t>
      </w:r>
      <w:r>
        <w:rPr>
          <w:rFonts w:ascii="Arial" w:cs="Arial" w:eastAsia="Arial" w:hAnsi="Arial"/>
          <w:sz w:val="18"/>
          <w:szCs w:val="18"/>
          <w:u w:val="single" w:color="auto"/>
          <w:color w:val="auto"/>
        </w:rPr>
        <w:t>plus</w:t>
      </w:r>
    </w:p>
    <w:p>
      <w:pPr>
        <w:spacing w:after="0" w:line="192" w:lineRule="exact"/>
        <w:rPr>
          <w:rFonts w:ascii="Arial" w:cs="Arial" w:eastAsia="Arial" w:hAnsi="Arial"/>
          <w:sz w:val="18"/>
          <w:szCs w:val="18"/>
          <w:color w:val="auto"/>
        </w:rPr>
      </w:pPr>
    </w:p>
    <w:p>
      <w:pPr>
        <w:ind w:left="660" w:right="20" w:firstLine="644"/>
        <w:spacing w:after="0" w:line="277" w:lineRule="auto"/>
        <w:tabs>
          <w:tab w:leader="none" w:pos="174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Net Proceeds of a sale or other Disposition of any Unrestricted Subsidiary (including the issuance of stock of an Unrestricted Subsidiary) received by the Holdings or any Restricted Subsidiary, </w:t>
      </w:r>
      <w:r>
        <w:rPr>
          <w:rFonts w:ascii="Arial" w:cs="Arial" w:eastAsia="Arial" w:hAnsi="Arial"/>
          <w:sz w:val="18"/>
          <w:szCs w:val="18"/>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1" w:right="339" w:bottom="1440" w:gutter="0" w:footer="0" w:header="0"/>
        </w:sectPr>
      </w:pPr>
    </w:p>
    <w:bookmarkStart w:id="14" w:name="page15"/>
    <w:bookmarkEnd w:id="14"/>
    <w:p>
      <w:pPr>
        <w:ind w:left="660" w:firstLine="644"/>
        <w:spacing w:after="0" w:line="277" w:lineRule="auto"/>
        <w:tabs>
          <w:tab w:leader="none" w:pos="1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the extent not included in Consolidated Net Income, dividends or other distributions or returns on capital received by Holdings or any Restricted Subsidiary from an Unrestricted Subsidiary.</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means, as of any date of determination and with respect to the then-current Benchmark, as applicable, (x) if the then-current Benchmark is a term rate, any tenor for such Benchmark that is or may be used for determining the length of an Interest Period or (y) otherwise, any payment period for interest calculated with reference to such Benchmark, as applicable, pursuant to this Agreement as of such date.</w:t>
      </w:r>
    </w:p>
    <w:p>
      <w:pPr>
        <w:spacing w:after="0" w:line="16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Average Exchange Rate</w:t>
      </w:r>
      <w:r>
        <w:rPr>
          <w:rFonts w:ascii="Arial" w:cs="Arial" w:eastAsia="Arial" w:hAnsi="Arial"/>
          <w:sz w:val="17"/>
          <w:szCs w:val="17"/>
          <w:color w:val="auto"/>
        </w:rPr>
        <w:t xml:space="preserve">” means the daily average currency exchange rate for the most recently ended fiscal quarter of Holdings for which financial statements have been delivered pursuant to Section 5.01(a) or Section 5.01(b) (or, prior to the first such delivery, such financial statements referred to in Section 4.01(h)), as reasonably determined in good faith by the Borrower based on the Bloomberg Key Cross Currency Rates Page at such time or, if the Borrower is unable to determine the Average Exchange Rate based on the Bloomberg Key Cross Currency Rates Page for any reason, publicly reported currency exchange rate information in consultation with the First Lien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if an amount that is to otherwise be converted using the foregoing methodology has been hedged, swapped or otherwise effectively converted into another currency pursuant to a Swap Agreement to which any Loan Party is a party, the currency exchange rate so utilized for that amount shall be as set forth in such Swap Agreement (copies of which shall be made available to the First Lien Administrative Agent upon request).</w:t>
      </w:r>
    </w:p>
    <w:p>
      <w:pPr>
        <w:spacing w:after="0" w:line="17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 Rate</w:t>
      </w:r>
      <w:r>
        <w:rPr>
          <w:rFonts w:ascii="Arial" w:cs="Arial" w:eastAsia="Arial" w:hAnsi="Arial"/>
          <w:sz w:val="18"/>
          <w:szCs w:val="18"/>
          <w:color w:val="auto"/>
        </w:rPr>
        <w:t>” means, for any Interest Period with respect to a Eurodollar Borrowing denominated in Canadian Dollars, the rate per annum equal to the average discount rate for Canadian Dollar bankers’ acceptances of the appropriate face amount for such Interest Period as quoted on the Reuters Screen CDOR page (or such other page as is a replacement page for such bankers’ acceptances) as of 10:00 a.m., Toronto, Ontario time, on the date of determination.</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means Title 11 of the United States Code, as amended, or any similar federal or state law for the relief of debtors.</w:t>
      </w:r>
    </w:p>
    <w:p>
      <w:pPr>
        <w:spacing w:after="0" w:line="248"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w:t>
      </w:r>
      <w:r>
        <w:rPr>
          <w:rFonts w:ascii="Arial" w:cs="Arial" w:eastAsia="Arial" w:hAnsi="Arial"/>
          <w:sz w:val="16"/>
          <w:szCs w:val="16"/>
          <w:color w:val="auto"/>
        </w:rPr>
        <w:t xml:space="preserve">” means, initially, LIBOR;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replacement of the Benchmark has occurred pursuant to this Section titled “Benchmark Replacement Setting”,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 for any Available Tenor:</w:t>
      </w:r>
    </w:p>
    <w:p>
      <w:pPr>
        <w:spacing w:after="0" w:line="225" w:lineRule="exact"/>
        <w:rPr>
          <w:sz w:val="20"/>
          <w:szCs w:val="20"/>
          <w:color w:val="auto"/>
        </w:rPr>
      </w:pPr>
    </w:p>
    <w:p>
      <w:pPr>
        <w:ind w:left="1300" w:hanging="644"/>
        <w:spacing w:after="0" w:line="277" w:lineRule="auto"/>
        <w:tabs>
          <w:tab w:leader="none" w:pos="1294"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clause (a) of Section 2.14, the first alternative set forth below that can be determined by the First Lien Administrative Agent:</w:t>
      </w:r>
    </w:p>
    <w:p>
      <w:pPr>
        <w:spacing w:after="0" w:line="210" w:lineRule="exact"/>
        <w:rPr>
          <w:rFonts w:ascii="Arial" w:cs="Arial" w:eastAsia="Arial" w:hAnsi="Arial"/>
          <w:sz w:val="18"/>
          <w:szCs w:val="18"/>
          <w:color w:val="auto"/>
        </w:rPr>
      </w:pPr>
    </w:p>
    <w:p>
      <w:pPr>
        <w:ind w:left="1960" w:hanging="656"/>
        <w:spacing w:after="0" w:line="232" w:lineRule="auto"/>
        <w:tabs>
          <w:tab w:leader="none" w:pos="1957" w:val="left"/>
        </w:tabs>
        <w:numPr>
          <w:ilvl w:val="1"/>
          <w:numId w:val="7"/>
        </w:numPr>
        <w:rPr>
          <w:rFonts w:ascii="Arial" w:cs="Arial" w:eastAsia="Arial" w:hAnsi="Arial"/>
          <w:sz w:val="22"/>
          <w:szCs w:val="22"/>
          <w:color w:val="auto"/>
        </w:rPr>
      </w:pPr>
      <w:r>
        <w:rPr>
          <w:rFonts w:ascii="Arial" w:cs="Arial" w:eastAsia="Arial" w:hAnsi="Arial"/>
          <w:sz w:val="18"/>
          <w:szCs w:val="18"/>
          <w:color w:val="auto"/>
        </w:rPr>
        <w:t>the sum of: (i) Term SOFR and (ii) 0.11448% (11.448 basis points) for an Available Tenor of one-month’s duration, 0.26161% (26.161 basis points) for an Available Tenor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21" w:right="339" w:bottom="1440" w:gutter="0" w:footer="0" w:header="0"/>
        </w:sectPr>
      </w:pPr>
    </w:p>
    <w:bookmarkStart w:id="15" w:name="page16"/>
    <w:bookmarkEnd w:id="15"/>
    <w:p>
      <w:pPr>
        <w:ind w:left="1960"/>
        <w:spacing w:after="0"/>
        <w:rPr>
          <w:sz w:val="20"/>
          <w:szCs w:val="20"/>
          <w:color w:val="auto"/>
        </w:rPr>
      </w:pPr>
      <w:r>
        <w:rPr>
          <w:rFonts w:ascii="Arial" w:cs="Arial" w:eastAsia="Arial" w:hAnsi="Arial"/>
          <w:sz w:val="18"/>
          <w:szCs w:val="18"/>
          <w:color w:val="auto"/>
        </w:rPr>
        <w:t>of three-months’ duration, and 0.42826% (42.826 basis points) for an Available Tenor of six-months’ duration, or</w:t>
      </w:r>
    </w:p>
    <w:p>
      <w:pPr>
        <w:spacing w:after="0" w:line="266" w:lineRule="exact"/>
        <w:rPr>
          <w:sz w:val="20"/>
          <w:szCs w:val="20"/>
          <w:color w:val="auto"/>
        </w:rPr>
      </w:pPr>
    </w:p>
    <w:p>
      <w:pPr>
        <w:jc w:val="both"/>
        <w:ind w:left="1960" w:hanging="656"/>
        <w:spacing w:after="0" w:line="238" w:lineRule="auto"/>
        <w:tabs>
          <w:tab w:leader="none" w:pos="1955" w:val="left"/>
        </w:tabs>
        <w:numPr>
          <w:ilvl w:val="1"/>
          <w:numId w:val="8"/>
        </w:numPr>
        <w:rPr>
          <w:rFonts w:ascii="Arial" w:cs="Arial" w:eastAsia="Arial" w:hAnsi="Arial"/>
          <w:sz w:val="22"/>
          <w:szCs w:val="22"/>
          <w:color w:val="auto"/>
        </w:rPr>
      </w:pPr>
      <w:r>
        <w:rPr>
          <w:rFonts w:ascii="Arial" w:cs="Arial" w:eastAsia="Arial" w:hAnsi="Arial"/>
          <w:sz w:val="18"/>
          <w:szCs w:val="18"/>
          <w:color w:val="auto"/>
        </w:rPr>
        <w:t>the sum of: (i) Daily Simple SOFR and (ii) the spread adjustment selected or recommended by the Relevant Governmental Body for the replacement of the tenor of LIBOR with a SOFR-based rate having approximately the same length as the interest payment period specified in clause (a) of this Section; and</w:t>
      </w:r>
    </w:p>
    <w:p>
      <w:pPr>
        <w:spacing w:after="0" w:line="202" w:lineRule="exact"/>
        <w:rPr>
          <w:rFonts w:ascii="Arial" w:cs="Arial" w:eastAsia="Arial" w:hAnsi="Arial"/>
          <w:sz w:val="22"/>
          <w:szCs w:val="22"/>
          <w:color w:val="auto"/>
        </w:rPr>
      </w:pPr>
    </w:p>
    <w:p>
      <w:pPr>
        <w:jc w:val="both"/>
        <w:ind w:left="1300" w:hanging="644"/>
        <w:spacing w:after="0" w:line="257" w:lineRule="auto"/>
        <w:tabs>
          <w:tab w:leader="none" w:pos="1294"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purposes of clause (b) of Section 2.14, the sum of (a) the alternate benchmark rate and (b) an adjustment (which may be a positive or negative value or zero), in each case, that has been selected by the First Lien Administrative Agent and the Borrower as the replacement for such Available Tenor of such Benchmark giving due consideration to any evolving or then-prevailing market convention, including any applicable recommendations made by the Relevant Governmental Body, for U.S. dollar-denominated syndicated credit facilities at such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determined pursuant to clause (1) or (2) above would be less than the Floor, the Benchmark Replacement will be deemed to be the Floor for the purposes of this Agreement and the other Loan Documents.</w:t>
      </w:r>
    </w:p>
    <w:p>
      <w:pPr>
        <w:spacing w:after="0" w:line="17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“ABR,” the definition of “Business Day,” the definition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First Lien Administrative Agent decides may be appropriate to reflect the adoption and implementation of such Benchmark Replacement and to permit the administration thereof by the First Lien Administrative Agent in a manner substantially consistent with market practice (or, if the First Lien Administrative Agent decides that adoption of any portion of such market practice is not administratively feasible or if the First Lien Administrative Agent determines that no market practice for the administration of such Benchmark Replacement exists, in such other manner of administration as the First Lien Administrative Agent decides is reasonably necessary in connection with the administration of this Agreement and the other Loan Documents).</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xml:space="preserve">” means, with respect to any then-current Benchmark other than LIBOR, the occurrence of a public 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that representativeness will not be restored.</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1" w:right="339" w:bottom="1440" w:gutter="0" w:footer="0" w:header="0"/>
        </w:sectPr>
      </w:pPr>
    </w:p>
    <w:bookmarkStart w:id="16" w:name="page17"/>
    <w:bookmarkEnd w:id="16"/>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Bona Fide Debt Fund</w:t>
      </w:r>
      <w:r>
        <w:rPr>
          <w:rFonts w:ascii="Arial" w:cs="Arial" w:eastAsia="Arial" w:hAnsi="Arial"/>
          <w:sz w:val="18"/>
          <w:szCs w:val="18"/>
          <w:color w:val="auto"/>
        </w:rPr>
        <w:t>” means any fund, insurance company or investment vehicle that is primarily engaged in the making, purchasing, holding or otherwise investing in commercial loans, bonds and other similar extensions of credit in the ordinary course.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preliminary statements hereto. The term “Borrower” shall also be deemed to include each such “Additional Borrower”, as the context may require. For the avoidance of doubt, upon the release of any Additional Borrower as a Borrower, such Person shall cease to be a Borrower hereunder for so long as such Person is so released.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means materials and/or information provided by or on behalf of the Borrower hereunder.</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Loans of the same Class, Type and currency, made, converted or continued on the same date and, in the case of Eurodollar Loans or RFR Loans, as to which a single Interest Period is in effect, or (b) a Swingline Loan.</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Minimum</w:t>
      </w:r>
      <w:r>
        <w:rPr>
          <w:rFonts w:ascii="Arial" w:cs="Arial" w:eastAsia="Arial" w:hAnsi="Arial"/>
          <w:sz w:val="17"/>
          <w:szCs w:val="17"/>
          <w:color w:val="auto"/>
        </w:rPr>
        <w:t>” means (a) in the case of a Eurodollar Revolving Borrowing, $1,000,000, (b) in the case of an ABR Revolving Borrowing, $500,000, (c) in the case of an RFR Loan denominated in Sterling, £1,000,000 and (d) in the case of a Swingline Loan, $100,000.</w:t>
      </w:r>
    </w:p>
    <w:p>
      <w:pPr>
        <w:spacing w:after="0" w:line="146"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Multiple</w:t>
      </w:r>
      <w:r>
        <w:rPr>
          <w:rFonts w:ascii="Arial" w:cs="Arial" w:eastAsia="Arial" w:hAnsi="Arial"/>
          <w:sz w:val="17"/>
          <w:szCs w:val="17"/>
          <w:color w:val="auto"/>
        </w:rPr>
        <w:t>” means (a) in the case of a Eurodollar Revolving Borrowing, $1,000,000, (b) in the case of an ABR Revolving Borrowing, $500,000, (c) in the case of an RFR Loan denominated in Sterling, £1,000,000 and (d) in the case of a Swingline Loan, $100,000.</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Borrowing in accordance with Section 2.03.</w:t>
      </w:r>
    </w:p>
    <w:p>
      <w:pPr>
        <w:spacing w:after="0" w:line="2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(i) subject to clauses (ii) and (iii) below, any day that is not a Saturday, Sunday or other day on which commercial banks in New York City are authorized or required by Requirements of Law to remain closed, (ii) with respect to all notices and determinations in connection with, and payments of principal and interest on or with respect to Loans denominated in Euros, any day that is a Business Day described in clause (i) and that is also a TARGET Day, (iii) with respect to all notices and determinations in connection with, and payments of principal and interest on or with respect to Loans denominated in Sterling, any day that is an RFR Business Day (iv) with respect to all notices and determinations in connection with, and payments of principal and interest on or with respect to, Loans denominated in any other Alternative Currency, any day that is a Business Day described in clauses (i), (ii) and (iii) and that is also a day which is not a legal holiday or a day on which banking institutions are authorized or required by Requirements of Law or other government action to remain closed in the country of issuance of the applicable currency.</w:t>
      </w:r>
    </w:p>
    <w:p>
      <w:pPr>
        <w:spacing w:after="0" w:line="16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Base Rate</w:t>
      </w:r>
      <w:r>
        <w:rPr>
          <w:rFonts w:ascii="Arial" w:cs="Arial" w:eastAsia="Arial" w:hAnsi="Arial"/>
          <w:sz w:val="16"/>
          <w:szCs w:val="16"/>
          <w:color w:val="auto"/>
        </w:rPr>
        <w:t>” means, for any day, a rate per annum equal to the greatest of (a) the rate which the principal office of the First Lien Administrative Agent in Toronto, Ontario then quotes, publishes and refers to as its “prime rate” and which is its reference rate of interest for loans in Canadian Dollars made in Canada to commercial borrowers and (b) the one-month Adjusted BA Rate, plus 1.00% per annum, adjusted automatically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with each quoted, published or displayed change in such rate, all without necessity of any notice to the Borrower or any other Person.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the lawful money of Canada.</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leases of such Person that are or would have been treated as operating leases for purposes of GAAP prior to the issuance on February 25, 2016 of the Accounting Standards Update 2016-02, Leases (Topic 842) by the Financial Accounting Standards Board (the “ASU”)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w:t>
      </w:r>
      <w:r>
        <w:rPr>
          <w:rFonts w:ascii="Arial" w:cs="Arial" w:eastAsia="Arial" w:hAnsi="Arial"/>
          <w:sz w:val="17"/>
          <w:szCs w:val="17"/>
          <w:u w:val="single" w:color="auto"/>
          <w:color w:val="auto"/>
        </w:rPr>
        <w:t>.</w:t>
      </w:r>
    </w:p>
    <w:p>
      <w:pPr>
        <w:spacing w:after="0" w:line="18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xml:space="preserve">” means all leases that have been or should be, in accordance with GAAP as in effect on the Effective Date, recorded as capitalized leases;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all purposes hereunder the amount of obligations under any Capitalized Lease shall be the amount thereof accounted for as a liability in accordance with GAAP.</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Software Expenditures</w:t>
      </w:r>
      <w:r>
        <w:rPr>
          <w:rFonts w:ascii="Arial" w:cs="Arial" w:eastAsia="Arial" w:hAnsi="Arial"/>
          <w:sz w:val="18"/>
          <w:szCs w:val="18"/>
          <w:color w:val="auto"/>
        </w:rPr>
        <w:t>” means, for any period, the aggregate of all expenditures (whether paid in cash or accrued as liabilities) by Holdings and its Restricted Subsidiaries during such period in respect of purchased software or internally developed software and software enhancements that, in conformity with GAAP, are or are required to be reflected as capitalized costs on the consolidated balance sheet of Holdings and its Restricted Subsidiaries.</w:t>
      </w:r>
    </w:p>
    <w:p>
      <w:pPr>
        <w:spacing w:after="0" w:line="18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Obligations</w:t>
      </w:r>
      <w:r>
        <w:rPr>
          <w:rFonts w:ascii="Arial" w:cs="Arial" w:eastAsia="Arial" w:hAnsi="Arial"/>
          <w:sz w:val="17"/>
          <w:szCs w:val="17"/>
          <w:color w:val="auto"/>
        </w:rPr>
        <w:t>” means (a) obligations of Holdings, the Borrower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Services</w:t>
      </w:r>
      <w:r>
        <w:rPr>
          <w:rFonts w:ascii="Arial" w:cs="Arial" w:eastAsia="Arial" w:hAnsi="Arial"/>
          <w:sz w:val="17"/>
          <w:szCs w:val="17"/>
          <w:color w:val="auto"/>
        </w:rPr>
        <w:t>” has the meaning assigned to such term in the definition of “Secured Cash Management Obligations.”</w:t>
      </w:r>
    </w:p>
    <w:p>
      <w:pPr>
        <w:spacing w:after="0" w:line="23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Casualty Event</w:t>
      </w:r>
      <w:r>
        <w:rPr>
          <w:rFonts w:ascii="Arial" w:cs="Arial" w:eastAsia="Arial" w:hAnsi="Arial"/>
          <w:sz w:val="18"/>
          <w:szCs w:val="18"/>
          <w:color w:val="auto"/>
        </w:rPr>
        <w:t>” means any event that gives rise to the receipt by Holdings, the Borrower or any Subsidiary of any insurance proceeds or condemnation awards in an amount in excess of $20,000,000 in respect of any equipment, fixed assets or real property (including any improvements thereon) to replace or repair such equipment, fixed assets or real property.</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w:t>
      </w:r>
      <w:r>
        <w:rPr>
          <w:rFonts w:ascii="Arial" w:cs="Arial" w:eastAsia="Arial" w:hAnsi="Arial"/>
          <w:sz w:val="18"/>
          <w:szCs w:val="18"/>
          <w:color w:val="auto"/>
        </w:rPr>
        <w:t>” means, in respect of Sterling, the Bank of England’s Bank Rate as published by the Bank of England from time to time (the “</w:t>
      </w:r>
      <w:r>
        <w:rPr>
          <w:rFonts w:ascii="Arial" w:cs="Arial" w:eastAsia="Arial" w:hAnsi="Arial"/>
          <w:sz w:val="18"/>
          <w:szCs w:val="18"/>
          <w:u w:val="single" w:color="auto"/>
          <w:color w:val="auto"/>
        </w:rPr>
        <w:t>GBP CBR</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 Adjustment</w:t>
      </w:r>
      <w:r>
        <w:rPr>
          <w:rFonts w:ascii="Arial" w:cs="Arial" w:eastAsia="Arial" w:hAnsi="Arial"/>
          <w:sz w:val="18"/>
          <w:szCs w:val="18"/>
          <w:color w:val="auto"/>
        </w:rPr>
        <w:t>” means, in respect of a Central Bank Rate, in relation to that Central Bank Rate prevailing at close of business on any applicable RFR Business Day, the 20% trimmed arithmetic mean of the relevant Central Bank Rate Spreads for the 5 most immediately preceding applicable RFR Business Days for which the relevant RFR is available.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 Spread</w:t>
      </w:r>
      <w:r>
        <w:rPr>
          <w:rFonts w:ascii="Arial" w:cs="Arial" w:eastAsia="Arial" w:hAnsi="Arial"/>
          <w:sz w:val="18"/>
          <w:szCs w:val="18"/>
          <w:color w:val="auto"/>
        </w:rPr>
        <w:t>” means, in respect of a Central Bank Rate, in relation to any applicable RFR Business Day, the difference (expressed as a percentage rate per annum) between (x) the relevant RFR for such applicable RFR Business Day and (y) the relevant Central Bank Rate prevailing at close of business on such applicable RFR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1" w:right="339" w:bottom="1440" w:gutter="0" w:footer="0" w:header="0"/>
        </w:sectPr>
      </w:pPr>
    </w:p>
    <w:bookmarkStart w:id="18" w:name="page19"/>
    <w:bookmarkEnd w:id="18"/>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 the failure of Holdings, directly or indirectly through wholly-owned subsidiaries, to own all of the Equity Interests of the Borrower; (b) the acquisition of ownership, directly or indirectly, beneficially or of record, by any Person or group (within the meaning of the Securities Exchange Act and the rules of the Securities and Exchange Commission thereunder) but excluding any employee benefit plan of such Person or its Subsidiaries and any Person acting in its capacity as trustee, agent or other fiduciary or administrator of any such plan, of Equity Interests in Holdings representing more than 35% of the aggregate ordinary voting power represented by the issued and outstanding Equity Interests in Holdings (directly or indirectly, including through one or more holding companies); (c) persons who were (i) directors of Holdings on the Effective Date, (ii) nominated by the board of directors of Holdings or whose nomination for election by the stockholders of Holdings was approved by the board of directors of Holdings or (iii) appointed by directors that were directors of Holdings or directors nominated as provided in the preceding clause (ii), ceasing to occupy a majority of the seats (excluding vacant seats) on the board of directors of Holdings; or (d) a “change of control”, or other similar provision, as defined in any agreement or instrument evidencing any Material Indebtedness.</w:t>
      </w:r>
    </w:p>
    <w:p>
      <w:pPr>
        <w:spacing w:after="0" w:line="18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(a) the adoption of any rule, regulation, treaty or other law after the date of this Agreement, (b) any change in any rule, regulation, treaty or other law or in the administration, interpretation or application thereof by any Governmental Authority after the date of this Agreement or (c) the making or issuance of any request, guideline or directive (whether or not having the force of law) of any Governmental Authority made or issued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notwithstanding anything herein to the contrary, (x) the Dodd-Frank Wall Street Reform and Consumer Protection Act and all rules, regulations, guidelines or directives thereunder or issued in connection therewith and (y) all requests, rules, guidelines or directives promulgated by the Bank of International Settlements, the Basel Committee on Banking Supervision (or any successor or similar authority) or by the United States, Canada, United Kingdom or other foreign regulatory authorities, in each case pursuant to Basel III, shall, in each case, be deemed to be a “Change in Law,” to the extent enacted, adopted, promulgated or issued after the date of this Agreement, but only to the extent such rules, regulations, or published interpretations or directives are applied to Holdings and its Subsidiaries by the First Lien Administrative Agent or any Lender in substantially the same manner as applied to other similarly situated borrowers under comparable syndicated credit facilities, including, without limitation, for purposes of Section 2.15.</w:t>
      </w:r>
    </w:p>
    <w:p>
      <w:pPr>
        <w:spacing w:after="0" w:line="18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w:t>
      </w:r>
      <w:r>
        <w:rPr>
          <w:rFonts w:ascii="Arial" w:cs="Arial" w:eastAsia="Arial" w:hAnsi="Arial"/>
          <w:sz w:val="17"/>
          <w:szCs w:val="17"/>
          <w:color w:val="auto"/>
        </w:rPr>
        <w:t>” when used in reference to (a) any Loan or Borrowing, refers to whether such Loan, or the Loans comprising such Borrowing, are Revolving Loans, Other Revolving Loans, Term Loans, First Lien Incremental Term Loans, Other First Lien Term Loans or Swingline Loans, (b) any Commitment, refers to whether such Commitment is a Revolving Commitment, Additional/Replacement Revolving Commitment, Other Revolving Commitment, Term Commitment or Other First Lien Term Commitment and (c) any Lender, refers to whether such Lender has a Loan or Commitment with respect to a particular Class of Loans or Commitments. Other First Lien Term Commitments, Other First Lien Term Loans, Other Revolving Commitments (and the Other Revolving Loans made pursuant thereto), Additional/Replacement Revolving Commitments and First Lien Incremental Term Loans that have different terms and conditions shall be construed to be in different Classes.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assets, whether real or personal, tangible or intangible, on which Liens are purported to be granted pursuant to the Security Documents as security for the Secured Obligations.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means, at any time, the requirement that:</w:t>
      </w:r>
    </w:p>
    <w:p>
      <w:pPr>
        <w:spacing w:after="0" w:line="225" w:lineRule="exact"/>
        <w:rPr>
          <w:sz w:val="20"/>
          <w:szCs w:val="20"/>
          <w:color w:val="auto"/>
        </w:rPr>
      </w:pPr>
    </w:p>
    <w:p>
      <w:pPr>
        <w:jc w:val="both"/>
        <w:ind w:left="660" w:firstLine="644"/>
        <w:spacing w:after="0" w:line="273" w:lineRule="auto"/>
        <w:tabs>
          <w:tab w:leader="none" w:pos="175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First Lien Administrative Agent shall have received from (i) Holdings, the Borrower and each of the Restricted Subsidiaries (other than any Excluded Subsidiary) either (x) a counterpart of the First Lien Guarantee Agreement duly executed and delivered on behalf of such Person or (y) in the case of any Person that becomes a Loan Party after the Effective Date (including by ceasing to be an Excluded Subsidiary), a supplement to the First Lien Guarantee Agreement, in substantially the form specified therein, duly executed and delivered on behalf of such Person and (ii) the Borrower and each Subsidiary Loan Party organized in the United States (together with the Borrower, the “</w:t>
      </w:r>
      <w:r>
        <w:rPr>
          <w:rFonts w:ascii="Arial" w:cs="Arial" w:eastAsia="Arial" w:hAnsi="Arial"/>
          <w:sz w:val="17"/>
          <w:szCs w:val="17"/>
          <w:u w:val="single" w:color="auto"/>
          <w:color w:val="auto"/>
        </w:rPr>
        <w:t>US Loan Parties</w:t>
      </w:r>
      <w:r>
        <w:rPr>
          <w:rFonts w:ascii="Arial" w:cs="Arial" w:eastAsia="Arial" w:hAnsi="Arial"/>
          <w:sz w:val="17"/>
          <w:szCs w:val="17"/>
          <w:color w:val="auto"/>
        </w:rPr>
        <w:t>”) and Holdings (solely for purposes of pledging the Equity Interest in the Borrower in accordance with clause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1" w:right="3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below) either (x) a counterpart of the First Lien Collateral Agreement duly executed and delivered on behalf of such Person or (y) in the case of any Person that becomes a Subsidiary Loan Party after the Effective Date (including by ceasing to be an Excluded Subsidiary), a supplement to the First Lien Collateral Agreement, substantially in the form specified therein, duly executed and delivered on behalf of such Person, in each case under this clause (a) together with, in the case of any such First Lien Loan Documents executed and delivered after the Effective Date, to the extent reasonably requested by the First Lien Administrative Agent, opinions and documents of the type referred to in Sections 4.01(b) and 4.01(d);</w:t>
      </w:r>
    </w:p>
    <w:p>
      <w:pPr>
        <w:spacing w:after="0" w:line="192" w:lineRule="exact"/>
        <w:rPr>
          <w:sz w:val="20"/>
          <w:szCs w:val="20"/>
          <w:color w:val="auto"/>
        </w:rPr>
      </w:pPr>
    </w:p>
    <w:p>
      <w:pPr>
        <w:jc w:val="both"/>
        <w:ind w:firstLine="644"/>
        <w:spacing w:after="0" w:line="273" w:lineRule="auto"/>
        <w:tabs>
          <w:tab w:leader="none" w:pos="10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all outstanding Equity Interests of the Borrower (including any Additional Borrower organized in the United States) owned by or on behalf of Holdings, and (ii) all outstanding Equity Interests of the Borrower (including any Additional Borrower organized in the United States) and each Restricted Subsidiary owned by or on behalf of any US Loan Party (other than, in each case, any Equity Interests constituting Excluded Assets), shall have been pledged pursuant to the First Lien Collateral Agreement, and the First Lien Administrative Agent shall have received certificates, if any, representing all such Equity Interests to the extent constituting “certificated securities”, together with undated stock powers or other instruments of transfer with respect thereto endorsed in blank;</w:t>
      </w:r>
    </w:p>
    <w:p>
      <w:pPr>
        <w:spacing w:after="0" w:line="177" w:lineRule="exact"/>
        <w:rPr>
          <w:rFonts w:ascii="Arial" w:cs="Arial" w:eastAsia="Arial" w:hAnsi="Arial"/>
          <w:sz w:val="17"/>
          <w:szCs w:val="17"/>
          <w:color w:val="auto"/>
        </w:rPr>
      </w:pPr>
    </w:p>
    <w:p>
      <w:pPr>
        <w:jc w:val="both"/>
        <w:ind w:firstLine="644"/>
        <w:spacing w:after="0" w:line="255" w:lineRule="auto"/>
        <w:tabs>
          <w:tab w:leader="none" w:pos="10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if any Indebtedness for borrowed money of Holdings, the Borrower or any Subsidiary in a principal amount of $5,000,000 or more is owing by such obligor to any US Loan Party and such Indebtedness shall be evidenced by a promissory note, such promissory note shall be pledged pursuant to the First Lien Collateral Agreement, and the First Lien Administrative Agent shall have received all such promissory notes, together with undated instruments of transfer with respect thereto endorsed in blank;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foregoing delivery requirement with respect to any intercompany indebtedness may be satisfied by delivery of an omnibus or global intercompany note executed by all US Loan Parties as payees and all such obligors as payors;</w:t>
      </w:r>
    </w:p>
    <w:p>
      <w:pPr>
        <w:spacing w:after="0" w:line="192" w:lineRule="exact"/>
        <w:rPr>
          <w:rFonts w:ascii="Arial" w:cs="Arial" w:eastAsia="Arial" w:hAnsi="Arial"/>
          <w:sz w:val="18"/>
          <w:szCs w:val="18"/>
          <w:color w:val="auto"/>
        </w:rPr>
      </w:pPr>
    </w:p>
    <w:p>
      <w:pPr>
        <w:jc w:val="both"/>
        <w:ind w:firstLine="644"/>
        <w:spacing w:after="0" w:line="271" w:lineRule="auto"/>
        <w:tabs>
          <w:tab w:leader="none" w:pos="10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certificates, agreements, documents and instruments, including Uniform Commercial Code financing statements and Intellectual Property Security Agreements with respect to any Trademarks, Patents and Copyrights that are registered, issued or applied-for in the United States and that constitute Collateral held by a US Loan Party, for the filing with the United States Patent or Trademark Office and the United States Copyright Office to the extent required by this Agreement, the Security Documents, Requirements of Law and as reasonably requested by the First Lien Administrative Agent to be filed, delivered, registered or recorded to create the Liens intended to be created by the Security Documents and perfect such Liens to the extent required by, and with the priority required by, this Agreement, the Security Documents and the other provisions of the term “Collateral and Guarantee Requirement,” shall have been filed, registered or recorded or delivered to the First Lien Administrative Agent for filing, registration or recording; and</w:t>
      </w:r>
    </w:p>
    <w:p>
      <w:pPr>
        <w:spacing w:after="0" w:line="178" w:lineRule="exact"/>
        <w:rPr>
          <w:rFonts w:ascii="Arial" w:cs="Arial" w:eastAsia="Arial" w:hAnsi="Arial"/>
          <w:sz w:val="17"/>
          <w:szCs w:val="17"/>
          <w:color w:val="auto"/>
        </w:rPr>
      </w:pPr>
    </w:p>
    <w:p>
      <w:pPr>
        <w:jc w:val="both"/>
        <w:ind w:firstLine="644"/>
        <w:spacing w:after="0" w:line="287" w:lineRule="auto"/>
        <w:tabs>
          <w:tab w:leader="none" w:pos="10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First Lien Administrative Agent shall have received (i) counterparts of a Mortgage with respect to each Material Real Property duly executed and delivered by the record owner of such Mortgaged Property (if the Mortgaged Property is in a jurisdiction that imposes a mortgage recording or similar tax on the amount secured by such Mortgage, then the amount secured by such Mortgage shall be limited to the Fair Market Value of such Mortgaged Property, as reasonably determined by Holdings), (ii) a policy or policies of title insurance (or marked unconditional commitment to issue such policy or policies) issued by a nationally recognized title insurance company insuring the Lien of each such Mortgage as a first priority Lien on the Mortgaged Property described therein, free of any other Liens except as expressly permitted by Section 6.02, together with such customary lender’s endorsements (other than a creditor’s rights endorsement) as the First Lien Administrative Agent may reasonably request to the extent available in the applicable jurisdiction at commercially reasonable rates (it being agreed that the First Lien Administrative Agent shall accept zoning reports from a nationally recognized zoning company in lieu of zoning endorsements to such title insurance policies), in an amount equal to the Fair Market Value of such Mortgaged Property or as otherwise reasonably agreed by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will the Borrower be required to obtain independent appraisals of such Mortgaged Properties, unless required by FIRREA, (iii) a completed “Life-of-Loan” Federal Emergency Management Agency standard flood hazard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980" w:top="1421" w:right="339" w:bottom="1440" w:gutter="0" w:footer="0" w:header="0"/>
        </w:sectPr>
      </w:pPr>
    </w:p>
    <w:bookmarkStart w:id="20" w:name="page21"/>
    <w:bookmarkEnd w:id="20"/>
    <w:p>
      <w:pPr>
        <w:jc w:val="both"/>
        <w:ind w:left="660"/>
        <w:spacing w:after="0" w:line="286" w:lineRule="auto"/>
        <w:rPr>
          <w:sz w:val="20"/>
          <w:szCs w:val="20"/>
          <w:color w:val="auto"/>
        </w:rPr>
      </w:pPr>
      <w:r>
        <w:rPr>
          <w:rFonts w:ascii="Arial" w:cs="Arial" w:eastAsia="Arial" w:hAnsi="Arial"/>
          <w:sz w:val="16"/>
          <w:szCs w:val="16"/>
          <w:color w:val="auto"/>
        </w:rPr>
        <w:t>determination with respect to each Mortgaged Property on a “Building” (as defined in 12 CFR Chapter III, Section 339.2) is located, and if any Mortgaged Property on which a “Building” (as defined in 12 CFR Chapter III, Section 339.2) is located in an area determined by the Federal Emergency Management Agency (or any successor agency) to be located in a special flood hazard area, a duly executed notice about special flood hazard area status and flood disaster assistance and evidence of such flood insurance as provided in Section 5.07(b), (iv) in each case if reasonably requested by the First Lien Administrative Agent, a customary legal opinion with respect to each such Mortgage, from counsel qualified to opine in each jurisdiction (i) where a Mortgaged Property is located regarding the enforceability of the Mortgage and (ii) where the applicable Loan Party granting the Mortgage on said Mortgaged Property is organized, regarding the due authorization, execution and delivery of such Mortgage, and in each case, such other customary matters as may be in form and substance reasonably satisfactory to the First Lien Administrative Agent, (v) a survey or existing survey together with a no change affidavit of such Mortgaged Property, in compliance with the 2016 Minimum Standard Detail Requirements for ALTA/ACSM Land Title Surveys (or 2011 Minimum Standard Detail Requirements for ALTA/ACSM Land Title Surveys in the case of any existing survey) and otherwise reasonably satisfactory to the First Lien Administrative Agent, and (vi) evidence of payment of title insurance premiums and expenses and all recording, mortgage, transfer and stamp taxes and fees payable in connection with recording the Mortgage, any amendments thereto and any fixture filings in appropriate county land office(s).</w:t>
      </w:r>
    </w:p>
    <w:p>
      <w:pPr>
        <w:spacing w:after="0" w:line="174" w:lineRule="exact"/>
        <w:rPr>
          <w:sz w:val="20"/>
          <w:szCs w:val="20"/>
          <w:color w:val="auto"/>
        </w:rPr>
      </w:pPr>
    </w:p>
    <w:p>
      <w:pPr>
        <w:ind w:left="660" w:right="20" w:firstLine="644"/>
        <w:spacing w:after="0" w:line="277" w:lineRule="auto"/>
        <w:tabs>
          <w:tab w:leader="none" w:pos="17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from Holdings a counterpart of the Floating Charge Document duly executed and delivered on its behalf .</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foregoing provisions of this definition or anything in this Agreement or any other First Lien Loan Document to the contrary,</w:t>
      </w:r>
    </w:p>
    <w:p>
      <w:pPr>
        <w:spacing w:after="0" w:line="46" w:lineRule="exact"/>
        <w:rPr>
          <w:sz w:val="20"/>
          <w:szCs w:val="20"/>
          <w:color w:val="auto"/>
        </w:rPr>
      </w:pPr>
    </w:p>
    <w:p>
      <w:pPr>
        <w:jc w:val="both"/>
        <w:ind w:firstLine="8"/>
        <w:spacing w:after="0" w:line="283" w:lineRule="auto"/>
        <w:tabs>
          <w:tab w:leader="none" w:pos="2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First Lien Administrative Agent and the Borrower reasonably agree in writing that the cost, burden, difficulty or consequence of creating or perfecting such pledges or security interests in such assets, or obtaining such title insurance, legal opinions or other deliverables in respect of such assets, or providing such Guarantees (taking into account any material adverse tax consequences to Holdings and its Affiliates (including the imposition of withholding or other material taxes)), is excessive in relation to the benefits to be obtained by the Lenders therefrom; (b) Liens required to be granted from time to time pursuant to the term “Collateral and Guarantee Requirement” shall be subject to exceptions and limitations set forth in this Agreement and the Security Documents; (c) in no event shall control agreements or other control or similar arrangements be required with respect to cash or cash equivalent, deposit accounts, securities and commodities accounts (including securities entitlements and related assets), letter of credit rights or other assets requiring perfection by control (but not, for avoidance of doubt, possession); (d) other than the filing of Form MR01 with the Companies House in the United Kingdom with respect to the security interest granted under the Floating Charge Document, in no event shall any Loan Party be required to complete any filings or other action with respect to the perfection of security interests in any jurisdiction outside of a Covered Jurisdiction (or, with respect to Intellectual Property, in any jurisdiction outside the United States), and no actions in any non-Covered Jurisdiction (or, with respect to Intellectual Property, in any jurisdiction outside the United States) or required by the laws of any non-Covered Jurisdiction (or, with respect to Intellectual Property, by the laws of any jurisdiction outside the United States) shall be required to be taken to create any security interests in assets located or titled outside of any Covered Jurisdiction (including in any Equity Interests of Subsidiaries organized outside of a Covered Jurisdiction), or in any Intellectual Property governed by, arising, existing, registered or applied for under the laws of any jurisdiction other than the United States of America, any State or to perfect or make enforceable any security interests in any such assets (it being understood that there shall be no security agreements or pledge agreements governed under the laws of any non-U.S. jurisdiction); (e) in no event shall any Loan Party be required to complete any filings or other action with respect to perfection of security interests in assets subject to certificates of title beyond the filing of UCC financing statements; (f) other than the filing of UCC financing statements, no perfection shall be required with respect to promissory notes evidencing debt for borrowed money in a principal amount of less than $2,500,000; (g) in no event shall any Loan Party be required to complete any filings or other action with respect to security interests in Intellectual Property beyond the filing of Intellectual Property Security Agreements with the United States Patent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1" w:right="339" w:bottom="1440" w:gutter="0" w:footer="0" w:header="0"/>
        </w:sectPr>
      </w:pPr>
    </w:p>
    <w:bookmarkStart w:id="21" w:name="page22"/>
    <w:bookmarkEnd w:id="21"/>
    <w:p>
      <w:pPr>
        <w:jc w:val="both"/>
        <w:spacing w:after="0" w:line="270" w:lineRule="auto"/>
        <w:rPr>
          <w:sz w:val="20"/>
          <w:szCs w:val="20"/>
          <w:color w:val="auto"/>
        </w:rPr>
      </w:pPr>
      <w:r>
        <w:rPr>
          <w:rFonts w:ascii="Arial" w:cs="Arial" w:eastAsia="Arial" w:hAnsi="Arial"/>
          <w:sz w:val="17"/>
          <w:szCs w:val="17"/>
          <w:color w:val="auto"/>
        </w:rPr>
        <w:t>Trademark Office and the United States Copyright Office; (h) no actions shall be required to perfect a security interest in letter of credit rights (other than the filing of UCC financing statements) not otherwise constituting supporting obligations; (i) in no event shall any Loan Party be required to deliver to the First Lien Administrative Agent to be held in its possession Collateral not consisting of intercompany notes and instruments or stock certificates of the Wholly Owned Restricted Subsidiary; and (j) in no event shall the Collateral include any Excluded Assets. The First Lien Administrative Agent may grant extensions of time for the creation and perfection of security interests in or the obtaining of title insurance, legal opinions or other deliverables with respect to particular assets or the provision of any Guarantee by any Subsidiary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by the time or times at which it would otherwise be required to be accomplished by this Agreement (including as set forth on Schedule 5.14) or the Security Documents.</w:t>
      </w:r>
    </w:p>
    <w:p>
      <w:pPr>
        <w:spacing w:after="0" w:line="18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with respect to any Lender, its Revolving Commitment, Other Revolving Commitment of any Class, Term Commitment, Other First Lien Term Commitment of any Class or any combination thereof (as the context requires) and (b) with respect to any Swingline Lender, its Swingline Commitment.</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Percentage</w:t>
      </w:r>
      <w:r>
        <w:rPr>
          <w:rFonts w:ascii="Arial" w:cs="Arial" w:eastAsia="Arial" w:hAnsi="Arial"/>
          <w:sz w:val="18"/>
          <w:szCs w:val="18"/>
          <w:color w:val="auto"/>
        </w:rPr>
        <w:t xml:space="preserve">” means, for any day, the applicable percentage set forth below under the caption “Commitment Fee Percentage” based upon the Senior Secured Net Leverage Ratio as of the end of the fiscal quarter of Holdings for which consolidated financial statements have theretofore been most recently delivered pursuant to Section 5.01(a) or 5.01(b);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the date of the delivery of the consolidated financial statements pursuant to Section 5.01(b) as of and for the first full fiscal quarter following the Effective Date, the Commitment Fee Percentage shall be based on the rates per annum set forth in Category 1:</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2680" w:type="dxa"/>
            <w:vAlign w:val="bottom"/>
            <w:tcBorders>
              <w:top w:val="single" w:sz="8" w:color="auto"/>
              <w:bottom w:val="single" w:sz="8" w:color="auto"/>
            </w:tcBorders>
          </w:tcPr>
          <w:p>
            <w:pPr>
              <w:spacing w:after="0"/>
              <w:rPr>
                <w:sz w:val="3"/>
                <w:szCs w:val="3"/>
                <w:color w:val="auto"/>
              </w:rPr>
            </w:pPr>
          </w:p>
        </w:tc>
        <w:tc>
          <w:tcPr>
            <w:tcW w:w="2480" w:type="dxa"/>
            <w:vAlign w:val="bottom"/>
            <w:tcBorders>
              <w:top w:val="single" w:sz="8" w:color="auto"/>
              <w:bottom w:val="single" w:sz="8" w:color="auto"/>
              <w:right w:val="single" w:sz="8" w:color="auto"/>
            </w:tcBorders>
          </w:tcPr>
          <w:p>
            <w:pPr>
              <w:spacing w:after="0"/>
              <w:rPr>
                <w:sz w:val="3"/>
                <w:szCs w:val="3"/>
                <w:color w:val="auto"/>
              </w:rPr>
            </w:pPr>
          </w:p>
        </w:tc>
      </w:tr>
      <w:tr>
        <w:trPr>
          <w:trHeight w:val="269"/>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560" w:type="dxa"/>
            <w:vAlign w:val="bottom"/>
            <w:tcBorders>
              <w:bottom w:val="single" w:sz="8" w:color="E0E0E0"/>
              <w:right w:val="single" w:sz="8" w:color="auto"/>
            </w:tcBorders>
            <w:gridSpan w:val="3"/>
            <w:shd w:val="clear" w:color="auto" w:fill="E0E0E0"/>
          </w:tcPr>
          <w:p>
            <w:pPr>
              <w:ind w:left="20"/>
              <w:spacing w:after="0"/>
              <w:rPr>
                <w:sz w:val="20"/>
                <w:szCs w:val="20"/>
                <w:color w:val="auto"/>
              </w:rPr>
            </w:pPr>
            <w:r>
              <w:rPr>
                <w:rFonts w:ascii="Arial" w:cs="Arial" w:eastAsia="Arial" w:hAnsi="Arial"/>
                <w:sz w:val="18"/>
                <w:szCs w:val="18"/>
                <w:color w:val="auto"/>
              </w:rPr>
              <w:t>Senior Secured Net Leverage Ratio</w:t>
            </w:r>
          </w:p>
        </w:tc>
        <w:tc>
          <w:tcPr>
            <w:tcW w:w="2480" w:type="dxa"/>
            <w:vAlign w:val="bottom"/>
            <w:tcBorders>
              <w:bottom w:val="single" w:sz="8" w:color="E0E0E0"/>
              <w:right w:val="single" w:sz="8" w:color="auto"/>
            </w:tcBorders>
            <w:shd w:val="clear" w:color="auto" w:fill="E0E0E0"/>
          </w:tcPr>
          <w:p>
            <w:pPr>
              <w:spacing w:after="0"/>
              <w:rPr>
                <w:sz w:val="20"/>
                <w:szCs w:val="20"/>
                <w:color w:val="auto"/>
              </w:rPr>
            </w:pPr>
            <w:r>
              <w:rPr>
                <w:rFonts w:ascii="Arial" w:cs="Arial" w:eastAsia="Arial" w:hAnsi="Arial"/>
                <w:sz w:val="18"/>
                <w:szCs w:val="18"/>
                <w:color w:val="auto"/>
              </w:rPr>
              <w:t>Commitment Fee Percentage</w:t>
            </w:r>
          </w:p>
        </w:tc>
      </w:tr>
      <w:tr>
        <w:trPr>
          <w:trHeight w:val="196"/>
        </w:trPr>
        <w:tc>
          <w:tcPr>
            <w:tcW w:w="40" w:type="dxa"/>
            <w:vAlign w:val="bottom"/>
            <w:tcBorders>
              <w:top w:val="single" w:sz="8" w:color="auto"/>
              <w:bottom w:val="single" w:sz="8" w:color="auto"/>
              <w:right w:val="single" w:sz="8" w:color="auto"/>
            </w:tcBorders>
            <w:shd w:val="clear" w:color="auto" w:fill="000000"/>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8"/>
              </w:rPr>
              <w:t>Category 1</w:t>
            </w:r>
          </w:p>
        </w:tc>
        <w:tc>
          <w:tcPr>
            <w:tcW w:w="2680" w:type="dxa"/>
            <w:vAlign w:val="bottom"/>
            <w:tcBorders>
              <w:top w:val="single" w:sz="8" w:color="auto"/>
              <w:right w:val="single" w:sz="8" w:color="auto"/>
            </w:tcBorders>
          </w:tcPr>
          <w:p>
            <w:pPr>
              <w:spacing w:after="0"/>
              <w:rPr>
                <w:sz w:val="17"/>
                <w:szCs w:val="17"/>
                <w:color w:val="auto"/>
              </w:rPr>
            </w:pPr>
          </w:p>
        </w:tc>
        <w:tc>
          <w:tcPr>
            <w:tcW w:w="2480" w:type="dxa"/>
            <w:vAlign w:val="bottom"/>
            <w:tcBorders>
              <w:top w:val="single" w:sz="8" w:color="auto"/>
              <w:right w:val="single" w:sz="8" w:color="auto"/>
            </w:tcBorders>
          </w:tcPr>
          <w:p>
            <w:pPr>
              <w:spacing w:after="0" w:line="196" w:lineRule="exact"/>
              <w:rPr>
                <w:sz w:val="20"/>
                <w:szCs w:val="20"/>
                <w:color w:val="auto"/>
              </w:rPr>
            </w:pPr>
            <w:r>
              <w:rPr>
                <w:rFonts w:ascii="Arial" w:cs="Arial" w:eastAsia="Arial" w:hAnsi="Arial"/>
                <w:sz w:val="18"/>
                <w:szCs w:val="18"/>
                <w:color w:val="auto"/>
              </w:rPr>
              <w:t>0.250%</w:t>
            </w:r>
          </w:p>
        </w:tc>
      </w:tr>
      <w:tr>
        <w:trPr>
          <w:trHeight w:val="237"/>
        </w:trPr>
        <w:tc>
          <w:tcPr>
            <w:tcW w:w="40" w:type="dxa"/>
            <w:vAlign w:val="bottom"/>
            <w:tcBorders>
              <w:right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Less than or equal to 1.00 to 1.00</w:t>
            </w:r>
          </w:p>
        </w:tc>
        <w:tc>
          <w:tcPr>
            <w:tcW w:w="2480" w:type="dxa"/>
            <w:vAlign w:val="bottom"/>
            <w:tcBorders>
              <w:right w:val="single" w:sz="8" w:color="auto"/>
            </w:tcBorders>
          </w:tcPr>
          <w:p>
            <w:pPr>
              <w:spacing w:after="0"/>
              <w:rPr>
                <w:sz w:val="20"/>
                <w:szCs w:val="20"/>
                <w:color w:val="auto"/>
              </w:rPr>
            </w:pPr>
          </w:p>
        </w:tc>
      </w:tr>
      <w:tr>
        <w:trPr>
          <w:trHeight w:val="243"/>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8"/>
              </w:rPr>
              <w:t>Category 2</w:t>
            </w:r>
          </w:p>
        </w:tc>
        <w:tc>
          <w:tcPr>
            <w:tcW w:w="268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ind w:left="60"/>
              <w:spacing w:after="0" w:line="196" w:lineRule="exact"/>
              <w:rPr>
                <w:sz w:val="20"/>
                <w:szCs w:val="20"/>
                <w:color w:val="auto"/>
              </w:rPr>
            </w:pPr>
            <w:r>
              <w:rPr>
                <w:rFonts w:ascii="Arial" w:cs="Arial" w:eastAsia="Arial" w:hAnsi="Arial"/>
                <w:sz w:val="18"/>
                <w:szCs w:val="18"/>
                <w:color w:val="auto"/>
              </w:rPr>
              <w:t>0.500%</w:t>
            </w:r>
          </w:p>
        </w:tc>
      </w:tr>
      <w:tr>
        <w:trPr>
          <w:trHeight w:val="222"/>
        </w:trPr>
        <w:tc>
          <w:tcPr>
            <w:tcW w:w="40" w:type="dxa"/>
            <w:vAlign w:val="bottom"/>
            <w:tcBorders>
              <w:right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Greater than 1.00 to 1.00, but less than or</w:t>
            </w:r>
          </w:p>
        </w:tc>
        <w:tc>
          <w:tcPr>
            <w:tcW w:w="2480" w:type="dxa"/>
            <w:vAlign w:val="bottom"/>
            <w:tcBorders>
              <w:right w:val="single" w:sz="8" w:color="auto"/>
            </w:tcBorders>
          </w:tcPr>
          <w:p>
            <w:pPr>
              <w:spacing w:after="0"/>
              <w:rPr>
                <w:sz w:val="19"/>
                <w:szCs w:val="19"/>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equal to 2.00 to 1.00</w:t>
            </w:r>
          </w:p>
        </w:tc>
        <w:tc>
          <w:tcPr>
            <w:tcW w:w="2480" w:type="dxa"/>
            <w:vAlign w:val="bottom"/>
            <w:tcBorders>
              <w:right w:val="single" w:sz="8" w:color="auto"/>
            </w:tcBorders>
          </w:tcPr>
          <w:p>
            <w:pPr>
              <w:spacing w:after="0"/>
              <w:rPr>
                <w:sz w:val="20"/>
                <w:szCs w:val="20"/>
                <w:color w:val="auto"/>
              </w:rPr>
            </w:pPr>
          </w:p>
        </w:tc>
      </w:tr>
      <w:tr>
        <w:trPr>
          <w:trHeight w:val="243"/>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8"/>
              </w:rPr>
              <w:t>Category 3</w:t>
            </w:r>
          </w:p>
        </w:tc>
        <w:tc>
          <w:tcPr>
            <w:tcW w:w="268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0.500%</w:t>
            </w:r>
          </w:p>
        </w:tc>
      </w:tr>
      <w:tr>
        <w:trPr>
          <w:trHeight w:val="222"/>
        </w:trPr>
        <w:tc>
          <w:tcPr>
            <w:tcW w:w="40" w:type="dxa"/>
            <w:vAlign w:val="bottom"/>
            <w:tcBorders>
              <w:right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Greater than 2.00 to 1.00, but less than or</w:t>
            </w:r>
          </w:p>
        </w:tc>
        <w:tc>
          <w:tcPr>
            <w:tcW w:w="2480" w:type="dxa"/>
            <w:vAlign w:val="bottom"/>
            <w:tcBorders>
              <w:right w:val="single" w:sz="8" w:color="auto"/>
            </w:tcBorders>
          </w:tcPr>
          <w:p>
            <w:pPr>
              <w:spacing w:after="0"/>
              <w:rPr>
                <w:sz w:val="19"/>
                <w:szCs w:val="19"/>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equal to 3.00 to 1.00</w:t>
            </w:r>
          </w:p>
        </w:tc>
        <w:tc>
          <w:tcPr>
            <w:tcW w:w="2480" w:type="dxa"/>
            <w:vAlign w:val="bottom"/>
            <w:tcBorders>
              <w:right w:val="single" w:sz="8" w:color="auto"/>
            </w:tcBorders>
          </w:tcPr>
          <w:p>
            <w:pPr>
              <w:spacing w:after="0"/>
              <w:rPr>
                <w:sz w:val="20"/>
                <w:szCs w:val="20"/>
                <w:color w:val="auto"/>
              </w:rPr>
            </w:pPr>
          </w:p>
        </w:tc>
      </w:tr>
      <w:tr>
        <w:trPr>
          <w:trHeight w:val="243"/>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8"/>
              </w:rPr>
              <w:t>Category 4</w:t>
            </w:r>
          </w:p>
        </w:tc>
        <w:tc>
          <w:tcPr>
            <w:tcW w:w="268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0.500%</w:t>
            </w:r>
          </w:p>
        </w:tc>
      </w:tr>
      <w:tr>
        <w:trPr>
          <w:trHeight w:val="222"/>
        </w:trPr>
        <w:tc>
          <w:tcPr>
            <w:tcW w:w="40" w:type="dxa"/>
            <w:vAlign w:val="bottom"/>
            <w:tcBorders>
              <w:right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Greater than 3.00 to 1.00, but less than or</w:t>
            </w:r>
          </w:p>
        </w:tc>
        <w:tc>
          <w:tcPr>
            <w:tcW w:w="2480" w:type="dxa"/>
            <w:vAlign w:val="bottom"/>
            <w:tcBorders>
              <w:right w:val="single" w:sz="8" w:color="auto"/>
            </w:tcBorders>
          </w:tcPr>
          <w:p>
            <w:pPr>
              <w:spacing w:after="0"/>
              <w:rPr>
                <w:sz w:val="19"/>
                <w:szCs w:val="19"/>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equal to 4.00 to 1.00</w:t>
            </w:r>
          </w:p>
        </w:tc>
        <w:tc>
          <w:tcPr>
            <w:tcW w:w="2480" w:type="dxa"/>
            <w:vAlign w:val="bottom"/>
            <w:tcBorders>
              <w:right w:val="single" w:sz="8" w:color="auto"/>
            </w:tcBorders>
          </w:tcPr>
          <w:p>
            <w:pPr>
              <w:spacing w:after="0"/>
              <w:rPr>
                <w:sz w:val="20"/>
                <w:szCs w:val="20"/>
                <w:color w:val="auto"/>
              </w:rPr>
            </w:pPr>
          </w:p>
        </w:tc>
      </w:tr>
      <w:tr>
        <w:trPr>
          <w:trHeight w:val="243"/>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8"/>
              </w:rPr>
              <w:t>Category 5</w:t>
            </w:r>
          </w:p>
        </w:tc>
        <w:tc>
          <w:tcPr>
            <w:tcW w:w="268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0.750%</w:t>
            </w:r>
          </w:p>
        </w:tc>
      </w:tr>
      <w:tr>
        <w:trPr>
          <w:trHeight w:val="237"/>
        </w:trPr>
        <w:tc>
          <w:tcPr>
            <w:tcW w:w="40" w:type="dxa"/>
            <w:vAlign w:val="bottom"/>
            <w:tcBorders>
              <w:right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Greater than 4.00 to 1.00</w:t>
            </w:r>
          </w:p>
        </w:tc>
        <w:tc>
          <w:tcPr>
            <w:tcW w:w="2480" w:type="dxa"/>
            <w:vAlign w:val="bottom"/>
            <w:tcBorders>
              <w:right w:val="single" w:sz="8" w:color="auto"/>
            </w:tcBorders>
          </w:tcPr>
          <w:p>
            <w:pPr>
              <w:spacing w:after="0"/>
              <w:rPr>
                <w:sz w:val="20"/>
                <w:szCs w:val="20"/>
                <w:color w:val="auto"/>
              </w:rPr>
            </w:pPr>
          </w:p>
        </w:tc>
      </w:tr>
      <w:tr>
        <w:trPr>
          <w:trHeight w:val="243"/>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For purposes of the foregoing, each change in the Commitment Fee Percentage resulting from a change in the Senior Secured Net Leverage Ratio shall be effective during the period commencing on and including the Business Day following the date of delivery to the First Lien Administrative Agent pursuant to Section 5.01(a) or 5.01(b) of the consolidated financial statements and related Compliance Certificate indicating such change and ending on the date immediately preceding the effective date of the next such change.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21" w:right="339" w:bottom="1440" w:gutter="0" w:footer="0" w:header="0"/>
        </w:sectPr>
      </w:pPr>
    </w:p>
    <w:bookmarkStart w:id="22" w:name="page23"/>
    <w:bookmarkEnd w:id="22"/>
    <w:p>
      <w:pPr>
        <w:jc w:val="both"/>
        <w:spacing w:after="0" w:line="272" w:lineRule="auto"/>
        <w:rPr>
          <w:sz w:val="20"/>
          <w:szCs w:val="20"/>
          <w:color w:val="auto"/>
        </w:rPr>
      </w:pPr>
      <w:r>
        <w:rPr>
          <w:rFonts w:ascii="Arial" w:cs="Arial" w:eastAsia="Arial" w:hAnsi="Arial"/>
          <w:sz w:val="17"/>
          <w:szCs w:val="17"/>
          <w:color w:val="auto"/>
        </w:rPr>
        <w:t>foregoing, the Commitment Fee Percentage, at the option of the First Lien Administrative Agent or the Required Revolving Lenders, commencing upon written notice to the Borrower, shall be based on the rates per annum set forth in Category 5 (i) at any time that an Event of Default under Section 7.01(a) has occurred and is continuing and shall continue to so apply to but excluding the date on which such Event of Default shall cease to be continuing (and thereafter, the Category otherwise determined in accordance with this definition shall apply) or (ii) if Holdings fails to deliver the consolidated financial statements required to be delivered pursuant to Section 5.01(a) or 5.01(b)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Commodity Exchange Act</w:t>
      </w:r>
      <w:r>
        <w:rPr>
          <w:rFonts w:ascii="Arial" w:cs="Arial" w:eastAsia="Arial" w:hAnsi="Arial"/>
          <w:sz w:val="17"/>
          <w:szCs w:val="17"/>
          <w:color w:val="auto"/>
        </w:rPr>
        <w:t xml:space="preserve">” means the Commodity Exchange Act (7 U.S.C. § 1 </w:t>
      </w:r>
      <w:r>
        <w:rPr>
          <w:rFonts w:ascii="Arial" w:cs="Arial" w:eastAsia="Arial" w:hAnsi="Arial"/>
          <w:sz w:val="17"/>
          <w:szCs w:val="17"/>
          <w:u w:val="single" w:color="auto"/>
          <w:color w:val="auto"/>
        </w:rPr>
        <w:t>et seq</w:t>
      </w:r>
      <w:r>
        <w:rPr>
          <w:rFonts w:ascii="Arial" w:cs="Arial" w:eastAsia="Arial" w:hAnsi="Arial"/>
          <w:sz w:val="17"/>
          <w:szCs w:val="17"/>
          <w:color w:val="auto"/>
        </w:rPr>
        <w:t>.), as amended from time to time, and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successor statute.</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means the Compliance Certificate required to be delivered pursuant to Section 5.01(d), substantially in the form of Exhibit Y, with such modifications thereto as the First Lien Administrative Agent and the Borrower may reasonably agree.</w:t>
      </w:r>
    </w:p>
    <w:p>
      <w:pPr>
        <w:spacing w:after="0" w:line="17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for any period, Consolidated Net Income for such period </w:t>
      </w:r>
      <w:r>
        <w:rPr>
          <w:rFonts w:ascii="Arial" w:cs="Arial" w:eastAsia="Arial" w:hAnsi="Arial"/>
          <w:sz w:val="16"/>
          <w:szCs w:val="16"/>
          <w:i w:val="1"/>
          <w:iCs w:val="1"/>
          <w:color w:val="auto"/>
        </w:rPr>
        <w:t>plus</w:t>
      </w:r>
      <w:r>
        <w:rPr>
          <w:rFonts w:ascii="Arial" w:cs="Arial" w:eastAsia="Arial" w:hAnsi="Arial"/>
          <w:sz w:val="16"/>
          <w:szCs w:val="16"/>
          <w:color w:val="auto"/>
        </w:rPr>
        <w:t>, (1) without duplication and to the extent reflected as a charge in the statement of such Consolidated Net Income for such period, the sum of (a) Taxes based on income or profits or capital, plus franchise or similar taxes and foreign withholding taxes, (b) interest expense, amortization or write-off of debt discount and debt issuance costs and commissions, discounts and other fees and charges associated with Indebtedness (including the Loans), (c) depreciation and amortization expense, (d) transition, integration and similar fees, charges and expenses related acquisitions or dispositions, (e) unusual, non-recurring or exceptional expenses, losses or charges (including any unusual, non-recurring exceptional operating expenses, losses or charges directly attributable to the implementation of cost savings initiatives), severance, relocation costs, integration and facilities’ opening costs and other business optimization expenses and operating improvements (including related to new product introductions), recruiting fees,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contract terminations and professional and consulting fees incurred in connection with any of the foregoing, (f) restructuring charges, accruals or reserves (including restructuring and integration costs related to acquisitions and adjustments to existing reserves), whether or not classified as restructuring expense on the consolidated financial statements, (g) fees, costs and expenses paid or premiums and penalties incurred in connection with any debt or equity financing transaction, including mark-to-market adjustments for exchangeable option features and capped call derivatives, (h) fees, costs and expenses paid or incurred in connection with (i) any product remediation plan and (ii) the re-evaluation associated with the classification of any business unit, division, product line or line of business as held for sale, (i) non-cash stock option and other equity-based compensation expenses and payroll tax expense related to stock option and other equity-based compensation expenses, (j)</w:t>
      </w:r>
    </w:p>
    <w:p>
      <w:pPr>
        <w:spacing w:after="0" w:line="11" w:lineRule="exact"/>
        <w:rPr>
          <w:sz w:val="20"/>
          <w:szCs w:val="20"/>
          <w:color w:val="auto"/>
        </w:rPr>
      </w:pPr>
    </w:p>
    <w:p>
      <w:pPr>
        <w:jc w:val="both"/>
        <w:ind w:firstLine="8"/>
        <w:spacing w:after="0" w:line="285" w:lineRule="auto"/>
        <w:tabs>
          <w:tab w:leader="none" w:pos="311"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expenses and charges paid in connection with the SNIA litigation and (B) expenses and charges incurred or accrued with respect to other litigation disclosed in the public filings made by the Borrower and its Subsidiaries prior to the Effective Date, in each case of prongs (A) and (B) including amounts in respect of settlements or judgments, and (k) Non-Cash Charges, plus (2) without duplication, (a) the amount of “run rate” cost savings, operating expense reductions, other operating improvements and synergies related to any Specified Transaction, the Transactions, any restructuring, cost saving initiative or other initiative projected by the Borrower in good faith to be realized as a result of actions taken or committed to be taken in each case on or prior to the date that is 12 months after the end of the relevant Test Period (including actions initiated prior to the Effective Date) (which cost savings, operating expense reductions, other operating improvements and synergies shall be added to Consolidated EBITDA until fully realized and calculated on a pro forma basis as though such cost savings, operating expense reductions, other operating improvements and synergies had been realized on the first day of the relevant period), net of the amount of actual benefits realized from such actions; provided that (A) such cost savings, operating expense reductions, other operating improvements and synergies are reasonably identifiable and quantifiable (in the good faith determination of the Borrower), (B) no cost savings, operating expense reductions, other operating improvements or synergies shall be added pursuant to this clause (2) to the extent duplicative of any expenses or charges relating to such cost savings, operating expense reductions, other operating improvements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21" w:right="3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7"/>
          <w:szCs w:val="17"/>
          <w:color w:val="auto"/>
        </w:rPr>
        <w:t xml:space="preserve">synergies that are included in clauses (1)(e) and (1)(f) above or in the definition of “Pro Forma Adjustment” (it being understood and agreed that “run rate” shall mean the full recurring benefit that is associated with any action taken), and (C) amounts added pursuant to this clause (2) shall not exceed 25% of Consolidated EBITDA (calculated before giving effect to such adjustments) during such period; </w:t>
      </w:r>
      <w:r>
        <w:rPr>
          <w:rFonts w:ascii="Arial" w:cs="Arial" w:eastAsia="Arial" w:hAnsi="Arial"/>
          <w:sz w:val="17"/>
          <w:szCs w:val="17"/>
          <w:i w:val="1"/>
          <w:iCs w:val="1"/>
          <w:color w:val="auto"/>
        </w:rPr>
        <w:t>minus</w:t>
      </w:r>
      <w:r>
        <w:rPr>
          <w:rFonts w:ascii="Arial" w:cs="Arial" w:eastAsia="Arial" w:hAnsi="Arial"/>
          <w:sz w:val="17"/>
          <w:szCs w:val="17"/>
          <w:color w:val="auto"/>
        </w:rPr>
        <w:t>, to the extent included in the statement of such Consolidated Net Income for such period, the sum of (a) interest income, (b) any extraordinary income or gains determined in accordance with GAAP, (c) all Tax benefits for such period to the extent not netted in determining the amount for clause (a) preceding and (d) any other non-cash income (excluding any items that represent the reversal of any accrual of, or cash reserve for, anticipated cash charges in any prior period that are described in the parenthetical to clause (g) above), including for the avoidance of doubt non-cash foreign currency translation gains (including non-cash gains related to currency remeasurement of Indebtedness), all as determined on a consolidated basis, provided that:</w:t>
      </w:r>
    </w:p>
    <w:p>
      <w:pPr>
        <w:spacing w:after="0" w:line="178" w:lineRule="exact"/>
        <w:rPr>
          <w:sz w:val="20"/>
          <w:szCs w:val="20"/>
          <w:color w:val="auto"/>
        </w:rPr>
      </w:pPr>
    </w:p>
    <w:p>
      <w:pPr>
        <w:jc w:val="both"/>
        <w:ind w:left="660" w:firstLine="644"/>
        <w:spacing w:after="0" w:line="269" w:lineRule="auto"/>
        <w:tabs>
          <w:tab w:leader="none" w:pos="170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Holdings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Arial" w:cs="Arial" w:eastAsia="Arial" w:hAnsi="Arial"/>
          <w:sz w:val="17"/>
          <w:szCs w:val="17"/>
          <w:u w:val="single" w:color="auto"/>
          <w:color w:val="auto"/>
        </w:rPr>
        <w:t>Acquired Entity or Business</w:t>
      </w:r>
      <w:r>
        <w:rPr>
          <w:rFonts w:ascii="Arial" w:cs="Arial" w:eastAsia="Arial" w:hAnsi="Arial"/>
          <w:sz w:val="17"/>
          <w:szCs w:val="17"/>
          <w:color w:val="auto"/>
        </w:rPr>
        <w:t>”), and the Acquired EBITDA of any Unrestricted Subsidiary that is converted into a Restricted Subsidiary during such period (each, a “</w:t>
      </w:r>
      <w:r>
        <w:rPr>
          <w:rFonts w:ascii="Arial" w:cs="Arial" w:eastAsia="Arial" w:hAnsi="Arial"/>
          <w:sz w:val="17"/>
          <w:szCs w:val="17"/>
          <w:u w:val="single" w:color="auto"/>
          <w:color w:val="auto"/>
        </w:rPr>
        <w:t>Converted Restricted Subsidiary</w:t>
      </w:r>
      <w:r>
        <w:rPr>
          <w:rFonts w:ascii="Arial" w:cs="Arial" w:eastAsia="Arial" w:hAnsi="Arial"/>
          <w:sz w:val="17"/>
          <w:szCs w:val="17"/>
          <w:color w:val="auto"/>
        </w:rPr>
        <w:t>”),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First Lien Administrative Agent (for further delivery to the Lenders);</w:t>
      </w:r>
    </w:p>
    <w:p>
      <w:pPr>
        <w:spacing w:after="0" w:line="179" w:lineRule="exact"/>
        <w:rPr>
          <w:sz w:val="20"/>
          <w:szCs w:val="20"/>
          <w:color w:val="auto"/>
        </w:rPr>
      </w:pPr>
    </w:p>
    <w:p>
      <w:pPr>
        <w:jc w:val="both"/>
        <w:ind w:left="660" w:firstLine="644"/>
        <w:spacing w:after="0" w:line="268" w:lineRule="auto"/>
        <w:tabs>
          <w:tab w:leader="none" w:pos="18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GAAP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(i.e., if such Disposed EBITDA is negative, it shall be added back in determining Consolidated EBITDA for any period)) by Holdings or any Restricted Subsidiary during such period (each such Person, property, business or asset so sold, transferred or otherwise disposed of, closed or classified, a “</w:t>
      </w:r>
      <w:r>
        <w:rPr>
          <w:rFonts w:ascii="Arial" w:cs="Arial" w:eastAsia="Arial" w:hAnsi="Arial"/>
          <w:sz w:val="17"/>
          <w:szCs w:val="17"/>
          <w:u w:val="single" w:color="auto"/>
          <w:color w:val="auto"/>
        </w:rPr>
        <w:t>Sold Entity or Business</w:t>
      </w:r>
      <w:r>
        <w:rPr>
          <w:rFonts w:ascii="Arial" w:cs="Arial" w:eastAsia="Arial" w:hAnsi="Arial"/>
          <w:sz w:val="17"/>
          <w:szCs w:val="17"/>
          <w:color w:val="auto"/>
          <w:highlight w:val="white"/>
        </w:rPr>
        <w:t>”), and the Disposed EBITDA of any</w:t>
      </w:r>
      <w:r>
        <w:rPr>
          <w:rFonts w:ascii="Arial" w:cs="Arial" w:eastAsia="Arial" w:hAnsi="Arial"/>
          <w:sz w:val="17"/>
          <w:szCs w:val="17"/>
          <w:color w:val="auto"/>
        </w:rPr>
        <w:t xml:space="preserve"> Restricted Subsidiary that is converted into an Unrestricted Subsidiary during such period (each, a “</w:t>
      </w:r>
      <w:r>
        <w:rPr>
          <w:rFonts w:ascii="Arial" w:cs="Arial" w:eastAsia="Arial" w:hAnsi="Arial"/>
          <w:sz w:val="17"/>
          <w:szCs w:val="17"/>
          <w:u w:val="single" w:color="auto"/>
          <w:color w:val="auto"/>
        </w:rPr>
        <w:t>Converted Unrestricted Subsidiary</w:t>
      </w:r>
      <w:r>
        <w:rPr>
          <w:rFonts w:ascii="Arial" w:cs="Arial" w:eastAsia="Arial" w:hAnsi="Arial"/>
          <w:sz w:val="17"/>
          <w:szCs w:val="17"/>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as specified in the Pro Forma Disposal Adjustment certificate delivered to the First Lien Administrative Agent (for further delivery to the Lenders); and</w:t>
      </w:r>
    </w:p>
    <w:p>
      <w:pPr>
        <w:spacing w:after="0" w:line="184" w:lineRule="exact"/>
        <w:rPr>
          <w:sz w:val="20"/>
          <w:szCs w:val="20"/>
          <w:color w:val="auto"/>
        </w:rPr>
      </w:pPr>
    </w:p>
    <w:p>
      <w:pPr>
        <w:jc w:val="both"/>
        <w:ind w:left="660" w:firstLine="644"/>
        <w:spacing w:after="0" w:line="311" w:lineRule="auto"/>
        <w:tabs>
          <w:tab w:leader="none" w:pos="179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there shall be, to the extent included in Consolidated Net Income, excluded in determining Consolidated EBITDA any expense (or income) as a result of adjustments recorded to contingent consideration liabilities relating to the Transactions, to any acquisition or Investment consummated prior to the Effective Date and any Permitted Acquisition (or other Investment not prohibited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21" w:right="339" w:bottom="1440" w:gutter="0" w:footer="0" w:header="0"/>
        </w:sectPr>
      </w:pPr>
    </w:p>
    <w:bookmarkStart w:id="24" w:name="page25"/>
    <w:bookmarkEnd w:id="24"/>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means the sum of (a) the amount of cash interest expense (including that attributable to Capitalized Leases), net of cash interest income of Holdings and the Restricted Subsidiaries with respect to all outstanding Indebtedness of Holdings and the Restricted Subsidiaries, including all commissions, discounts and other fees and charges owed with respect to letters of credit and bankers’ acceptance financing and net costs under hedging agreements, plus (b) the aggregate amount of actual cash payments made with respect to any increase in the principal amount of Indebtedness as a result of pay-in-kind interest that are required to be made in connection with any repayment of such Indebtedness, and excluding, for the avoidance of doubt, (i) amortization of deferred financing costs, debt issuance costs (including bridge, commitment and other financing fees), commissions, fees and expenses and any other amounts of non-cash interest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all non-recurring cash interest expense consisting of liquidated damages for failure to timely comply with registration rights obligations, (v) any prepayment premium or penalty, (vi) penalties and interest relating to taxes, (vii) any accretion of accrued interest on discounted liabilities (other than Indebtedness except to the extent arising from the application of purchase accounting), (viii) any “additional interest” with respect to debt securities, (ix) commissions, discounts, yield and other fees and charges (including any interest expense) related to any Securitization Facility and (x) any interest expense attributable to the exercise of appraisal rights and the settlement of any claims or actions (whether actual, contingent or potential) with respect thereto and with respect to any Permitted Acquisition or other Investment, all as calculated on a consolidated basis in accordance with GAAP.</w:t>
      </w:r>
    </w:p>
    <w:p>
      <w:pPr>
        <w:spacing w:after="0" w:line="39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the net income (loss) of Holdings and its Restricted Subsidiaries for such period determined on a consolidated basis in accordance with GAAP, excluding, without duplication (a) the cumulative effect of a change in accounting principles during such period, (b) any Transaction Costs incurred during such period, (c) any income (loss) for such period attributable to the early extinguishment of Indebtedness, hedging agreements or other derivative instruments, (d) any income (loss) attributable to deferred compensation plans or trusts, (e) any income (loss) from Investments recorded using the equity method, and (f) the amount of any expense required to be recorded as compensation expense related to contingent transaction consideration.</w:t>
      </w:r>
    </w:p>
    <w:p>
      <w:pPr>
        <w:spacing w:after="0" w:line="19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There shall be included in Consolidated Net Income, without duplication, the amount of any cash tax benefits related to the tax amortization of intangible assets in such period. 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required or permitted by GAAP and related authoritative pronouncements (including the effects of such adjustments pushed down to Holdings and its Restricted Subsidiaries), as a result of the Transactions, any acquisition or Investment consummated prior to the Effective Date and any Permitted Acquisitions (or other Investment not prohibited hereunder) or the amortization or write-off of any amounts thereof.</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In addition, to the extent not already included in Consolidated Net Income, Consolidated Net Income shall include the amount of proceeds received or due from business interruption insurance or reimbursement of expenses and charges pursuant to indemnification and other reimbursement provisions in connection with any acquisition or other Investment or any disposition of any asset permitted hereunder.</w:t>
      </w:r>
    </w:p>
    <w:p>
      <w:pPr>
        <w:spacing w:after="0" w:line="16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Senior Secured First Lien Net Indebtedness</w:t>
      </w:r>
      <w:r>
        <w:rPr>
          <w:rFonts w:ascii="Arial" w:cs="Arial" w:eastAsia="Arial" w:hAnsi="Arial"/>
          <w:sz w:val="17"/>
          <w:szCs w:val="17"/>
          <w:color w:val="auto"/>
        </w:rPr>
        <w:t>” means, as of any date of determination, the aggregate amount of Indebtedness of Holdings and its Restricted Subsidiaries outstanding on such date that is not subordinated in right of payment to the First Lien Loan Document Obligations and that is secured by a Lien on any asset of Holdings or any of the Restricted Subsidiaries that is not expressly subordinated to Liens on any asset of Holdings or any of the Restricted Subsidiaries securing the First Lien Loan Document Obligations (including, for avoidance of doubt, the First Lien Loan Document Obligations), determined on a consolidated basis in accordance with GAAP (but excluding the effects of any discounting of Indebtedness resulting from the application of the acquisition method accounting in connection with the Transactions or any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21" w:right="339" w:bottom="144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8"/>
          <w:szCs w:val="18"/>
          <w:color w:val="auto"/>
        </w:rPr>
        <w:t xml:space="preserve">Acquisition (or other Investment not prohibited hereunder) consisting only of Senior Secured First Lien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Holdings and its Restricted Subsidiaries as of such date, but including cash and Permitted Investments restricted in favor of the Secured Obligations (which may also secure other Indebtedness secured by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or junior lien on the Collateral along with the Secured Obligations).</w:t>
      </w:r>
    </w:p>
    <w:p>
      <w:pPr>
        <w:spacing w:after="0" w:line="19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Senior Secured Indebtedness</w:t>
      </w:r>
      <w:r>
        <w:rPr>
          <w:rFonts w:ascii="Arial" w:cs="Arial" w:eastAsia="Arial" w:hAnsi="Arial"/>
          <w:sz w:val="16"/>
          <w:szCs w:val="16"/>
          <w:color w:val="auto"/>
        </w:rPr>
        <w:t xml:space="preserve">” means, as of any date of determination, the aggregate amount of Indebtedness of Holdings and its Restricted Subsidiaries outstanding on such date that is not subordinated in right of payment to the First Lien Loan Document Obligations and that is secured by a Lien on any asset of Holdings or any of the Restricted Subsidiaries (including, for the avoidance of doubt, the First Lien Loan Document Obligations),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and consisting only of such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Holdings and the Restricted Subsidiaries as of such date, but including, notwithstanding the foregoing, cash and Permitted Investments so restricted by virtue of being subject to any Permitted Encumbrance or to any Lien permitted under Section 6.02 that secures the Secured Obligations (which Lien may also secure other Indebtedness secured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with, or a junior lien basis to, the Secured Obligations).</w:t>
      </w:r>
    </w:p>
    <w:p>
      <w:pPr>
        <w:spacing w:after="0" w:line="16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Net Indebtedness</w:t>
      </w:r>
      <w:r>
        <w:rPr>
          <w:rFonts w:ascii="Arial" w:cs="Arial" w:eastAsia="Arial" w:hAnsi="Arial"/>
          <w:sz w:val="17"/>
          <w:szCs w:val="17"/>
          <w:color w:val="auto"/>
        </w:rPr>
        <w:t xml:space="preserve">” means, as of any date of determination, the aggregate amount of Indebtedness of Holdings and its Restricted Subsidiaries outstanding on such date, determined on a consolidated basis in accordance with GAAP (but excluding the effects of any discounting of Indebtedness resulting from the application of the acquisition method accounting in connection with the Transactions or any Permitted Acquisition (or other Investment not prohibited hereunder)) consisting only of Indebtedness for borrowed money, drawn obligations under letters of credit that have not been reimbursed, obligations in respect of Capitalized Leases and debt obligations evidenced by promissory notes or similar instruments, but excluding any obligations under or in respect of Qualified Securitization Facilities,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amount of cash and Permitted Investments (in each case, free and clear of all liens, other than Liens permitted pursuant to Section 6.02), excluding cash and Permitted Investments that are listed as “restricted” on the consolidated balance sheet of Holdings and its Restricted Subsidiaries as of such date, but including cash and Permitted Investments restricted in favor of the Secured Obligations (which may also secure other Indebtedness secured by a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or junior lien on the Collateral along with the Secured Obligations).</w:t>
      </w:r>
    </w:p>
    <w:p>
      <w:pPr>
        <w:spacing w:after="0" w:line="18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Working Capital</w:t>
      </w:r>
      <w:r>
        <w:rPr>
          <w:rFonts w:ascii="Arial" w:cs="Arial" w:eastAsia="Arial" w:hAnsi="Arial"/>
          <w:sz w:val="18"/>
          <w:szCs w:val="18"/>
          <w:color w:val="auto"/>
        </w:rPr>
        <w:t xml:space="preserve">” means, at any date, the excess of (a) the sum of all amounts (other than cash and Permitted Investments) that would, in conformity with GAAP, be set forth opposite the caption “total current assets” (or any like caption) on a consolidated balance sheet of Holdings and its Restricted Subsidiaries at such date, excluding the current portion of deferred income taxes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sum of all amounts that would, in conformity with GAAP, be set forth opposite the caption “total current liabilities” (or any like caption) on a consolidated balance sheet of Holdings and its Restricted Subsidiaries on such date, including deferred revenue but excluding, without duplication, (i) the current portion of any Funded Debt, (ii) all Indebtedness consisting of Loans and obligations under Letters of Credit to the extent otherwise included therein, (iii) the current portion of interest and (iv) the current portion of current and deferred income taxes.</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or the dismissal or appointment of the management, of a Person, whether through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w:t>
      </w:r>
      <w:r>
        <w:rPr>
          <w:rFonts w:ascii="Arial" w:cs="Arial" w:eastAsia="Arial" w:hAnsi="Arial"/>
          <w:sz w:val="18"/>
          <w:szCs w:val="18"/>
          <w:color w:val="auto"/>
        </w:rPr>
        <w:t>” has the meaning assigned to such term in the First Lien Collateral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Jurisdiction</w:t>
      </w:r>
      <w:r>
        <w:rPr>
          <w:rFonts w:ascii="Arial" w:cs="Arial" w:eastAsia="Arial" w:hAnsi="Arial"/>
          <w:sz w:val="18"/>
          <w:szCs w:val="18"/>
          <w:color w:val="auto"/>
        </w:rPr>
        <w:t>” means each of (a) the United States (or any state, commonwealth or territory thereof or the District of Columbia), and (b) any other jurisdiction as agreed in writing by the First Lien Administrative Agent and the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has the meaning assigned to such term in Section 9.21(a).</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 Refinancing Indebtedness</w:t>
      </w:r>
      <w:r>
        <w:rPr>
          <w:rFonts w:ascii="Arial" w:cs="Arial" w:eastAsia="Arial" w:hAnsi="Arial"/>
          <w:sz w:val="16"/>
          <w:szCs w:val="16"/>
          <w:color w:val="auto"/>
        </w:rPr>
        <w:t>” means Indebtedness issued, incurred or otherwise obtained by the Borrower (including by means of the extension or renewal of existing Indebtedness) in exchange for, or to extend, renew, replace or refinance, in whole or part, existing Term Loans, Revolving Loans (or unused Revolving Commitments) or First Lien Incremental Equivalent Debt (“</w:t>
      </w:r>
      <w:r>
        <w:rPr>
          <w:rFonts w:ascii="Arial" w:cs="Arial" w:eastAsia="Arial" w:hAnsi="Arial"/>
          <w:sz w:val="16"/>
          <w:szCs w:val="16"/>
          <w:u w:val="single" w:color="auto"/>
          <w:color w:val="auto"/>
        </w:rPr>
        <w:t>Refinanced Debt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exchanging, extending, renewing, replacing or refinancing Indebtedness (a) is in an original aggregate principal amount not greater than the aggregate principal amount of the Refinanced Debt (plus any premium, accrued interest and fees and expenses incurred in connection with such exchange, extension, renewal, replacement or refinancing), (b) (i) does not mature earlier than or, except in the case of Revolving Commitments, have a Weighted Average Life to Maturity shorter than the Refinanced Debt and (ii) if such Indebtedness is unsecured or secured by the Collateral on a junior lien basis to the Secured Obligations, does not mature or have scheduled amortization or payments of principal prior to the maturity date of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 (c) shall not be guaranteed by any entity that is not a Loan Party, (d) in the case of any secured Indebtedness (i) is not secured by any assets not securing the Secured Obligations and (ii) if not comprising Other First Lien Term Loans or Other Revolving Commitments hereunder that are secured on a pari passu basis with the Secured Obligations, is subject to a Customary Intercreditor Agreement(s) and (e) has covenants and events of default (excluding, for the avoidance of doubt, pricing, interest rate margins, rate floors, discounts, fees, premiums and prepayment or redemption provisions) that are not materially more favorable (when taken as a whole) to the lenders or investors providing such Indebtedness than the covenants and events of default of this Agreement (when taken as a whole) are to the Lenders (unless (x) such covenants or other provisions are applicable only to periods after the maturity date of the Refinanced Debt at the time of such refinancing or (y) the Revolving Lenders also receive the benefit of such more favorable covenants and events of default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by the First Lien Administrative Agent or any of the Lenders if such covenant, event of default or guarantee is (i) also added or modified for the benefit of any corresponding Loans remaining outstanding after the issuance or incurrence of such Indebtedness, (ii) with respect to any “springing” financial maintenance covenant or other covenant only applicable to, or for the benefit of, a revolving credit facility, also added for the benefit of each revolving credit facility hereunder (and not for the benefit of any term loan facility hereunder) and/or (iii) only applicable after the Latest Maturity Date at the time of such refinancing). For the avoidance of doubt, it is understood and agreed that (x) notwithstanding anything in 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“Credit Agreement Refinancing Indebtedness” and (y) such Credit Agreement Refinancing Indebtedness. Notwithstanding anything to the contrary, no Credit Agreement Refinancing Indebtedness shall be subject to any “most favored nation” pricing adjustments set forth in this Agreement.</w:t>
      </w:r>
    </w:p>
    <w:p>
      <w:pPr>
        <w:spacing w:after="0" w:line="200" w:lineRule="exact"/>
        <w:rPr>
          <w:sz w:val="20"/>
          <w:szCs w:val="20"/>
          <w:color w:val="auto"/>
        </w:rPr>
      </w:pP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has the meaning assigned to such term in Section 7.02(a).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21" w:right="339" w:bottom="1440" w:gutter="0" w:footer="0" w:header="0"/>
        </w:sectPr>
      </w:pPr>
    </w:p>
    <w:bookmarkStart w:id="27" w:name="page28"/>
    <w:bookmarkEnd w:id="2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Right</w:t>
      </w:r>
      <w:r>
        <w:rPr>
          <w:rFonts w:ascii="Arial" w:cs="Arial" w:eastAsia="Arial" w:hAnsi="Arial"/>
          <w:sz w:val="18"/>
          <w:szCs w:val="18"/>
          <w:color w:val="auto"/>
        </w:rPr>
        <w:t>” has the meaning assigned to such term in Section 7.02(a).</w:t>
      </w:r>
    </w:p>
    <w:p>
      <w:pPr>
        <w:spacing w:after="0" w:line="22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Customary Intercreditor Agreement</w:t>
      </w:r>
      <w:r>
        <w:rPr>
          <w:rFonts w:ascii="Arial" w:cs="Arial" w:eastAsia="Arial" w:hAnsi="Arial"/>
          <w:sz w:val="17"/>
          <w:szCs w:val="17"/>
          <w:color w:val="auto"/>
        </w:rPr>
        <w:t>” means (a) to the extent executed in connection with the incurrence of Indebtedness secured by Liens on the Collateral which are intended to rank equal in priority to the Liens on the Collateral securing the Secured Obligations, at the option of the Borrower, either (i) an intercreditor agreement substantially in the form of the First Lien Pari Passu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the Borrower, either (i) an intercreditor agreement substantially in the form of the First/Second Lien Intercreditor Agreement (with such modifications as may be necessary or appropriate in light of prevailing market conditions and reasonably acceptable to the First Lien Administrative Agent) or (ii) a customary intercreditor agreement in form and substance reasonably acceptable to the First Lien Administrative Agent and the Borrower, which agreement shall provide that the Liens on the Collateral securing such Indebtedness shall rank junior to the Liens on the Collateral securing the Secured Obligations. With regard to any changes in light of prevailing market conditions as set forth above in clauses (a)(i) or (b)(i) or with regard to clauses (a)(ii) or (b)(ii), such changes or agreement, as applicable, shall be posted to the Lenders not less than five (5) Business Days before execution thereof and, if the Required Lenders shall not have objected to such changes within three (3) Business Days after posting, then the Required Lenders shall be deemed to have agreed that the First Lien Administrative Agent’s entry into such intercreditor agreement (including with such changes) is reasonable and to have consented to such intercreditor agreement (including with such changes) and to the First Lien Administrative Agent’s execution thereof.</w:t>
      </w:r>
    </w:p>
    <w:p>
      <w:pPr>
        <w:spacing w:after="0" w:line="19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RFR</w:t>
      </w:r>
      <w:r>
        <w:rPr>
          <w:rFonts w:ascii="Arial" w:cs="Arial" w:eastAsia="Arial" w:hAnsi="Arial"/>
          <w:sz w:val="16"/>
          <w:szCs w:val="16"/>
          <w:color w:val="auto"/>
        </w:rPr>
        <w:t>” means, for any day (an “</w:t>
      </w:r>
      <w:r>
        <w:rPr>
          <w:rFonts w:ascii="Arial" w:cs="Arial" w:eastAsia="Arial" w:hAnsi="Arial"/>
          <w:sz w:val="16"/>
          <w:szCs w:val="16"/>
          <w:u w:val="single" w:color="auto"/>
          <w:color w:val="auto"/>
        </w:rPr>
        <w:t>RFR Interest Day</w:t>
      </w:r>
      <w:r>
        <w:rPr>
          <w:rFonts w:ascii="Arial" w:cs="Arial" w:eastAsia="Arial" w:hAnsi="Arial"/>
          <w:sz w:val="16"/>
          <w:szCs w:val="16"/>
          <w:color w:val="auto"/>
        </w:rPr>
        <w:t>”), an interest rate per annum equal to the greater of (a) (x) SONIA for the day that is 5 RFR Business Days prior to such RFR Interest Day (the “</w:t>
      </w:r>
      <w:r>
        <w:rPr>
          <w:rFonts w:ascii="Arial" w:cs="Arial" w:eastAsia="Arial" w:hAnsi="Arial"/>
          <w:sz w:val="16"/>
          <w:szCs w:val="16"/>
          <w:u w:val="single" w:color="auto"/>
          <w:color w:val="auto"/>
        </w:rPr>
        <w:t>RFR Lookback Day</w:t>
      </w:r>
      <w:r>
        <w:rPr>
          <w:rFonts w:ascii="Arial" w:cs="Arial" w:eastAsia="Arial" w:hAnsi="Arial"/>
          <w:sz w:val="16"/>
          <w:szCs w:val="16"/>
          <w:color w:val="auto"/>
        </w:rPr>
        <w:t>”), (y) if SONIA is not available for the RFR Lookback Day determined pursuant to clause (x) above, if by 5:00 p.m., London time, on the second (2nd) Business Day immediately following any day “</w:t>
      </w:r>
      <w:r>
        <w:rPr>
          <w:rFonts w:ascii="Arial" w:cs="Arial" w:eastAsia="Arial" w:hAnsi="Arial"/>
          <w:sz w:val="16"/>
          <w:szCs w:val="16"/>
          <w:i w:val="1"/>
          <w:iCs w:val="1"/>
          <w:color w:val="auto"/>
        </w:rPr>
        <w:t>i</w:t>
      </w:r>
      <w:r>
        <w:rPr>
          <w:rFonts w:ascii="Arial" w:cs="Arial" w:eastAsia="Arial" w:hAnsi="Arial"/>
          <w:sz w:val="16"/>
          <w:szCs w:val="16"/>
          <w:color w:val="auto"/>
        </w:rPr>
        <w:t>”, RFR in respect of such day “</w:t>
      </w:r>
      <w:r>
        <w:rPr>
          <w:rFonts w:ascii="Arial" w:cs="Arial" w:eastAsia="Arial" w:hAnsi="Arial"/>
          <w:sz w:val="16"/>
          <w:szCs w:val="16"/>
          <w:i w:val="1"/>
          <w:iCs w:val="1"/>
          <w:color w:val="auto"/>
        </w:rPr>
        <w:t>i</w:t>
      </w:r>
      <w:r>
        <w:rPr>
          <w:rFonts w:ascii="Arial" w:cs="Arial" w:eastAsia="Arial" w:hAnsi="Arial"/>
          <w:sz w:val="16"/>
          <w:szCs w:val="16"/>
          <w:color w:val="auto"/>
        </w:rPr>
        <w:t>” has not been published on the SONIA Administrator’s Website, then RFR for such day “</w:t>
      </w:r>
      <w:r>
        <w:rPr>
          <w:rFonts w:ascii="Arial" w:cs="Arial" w:eastAsia="Arial" w:hAnsi="Arial"/>
          <w:sz w:val="16"/>
          <w:szCs w:val="16"/>
          <w:i w:val="1"/>
          <w:iCs w:val="1"/>
          <w:color w:val="auto"/>
        </w:rPr>
        <w:t>i</w:t>
      </w:r>
      <w:r>
        <w:rPr>
          <w:rFonts w:ascii="Arial" w:cs="Arial" w:eastAsia="Arial" w:hAnsi="Arial"/>
          <w:sz w:val="16"/>
          <w:szCs w:val="16"/>
          <w:color w:val="auto"/>
        </w:rPr>
        <w:t>” will be RFR as published in respect of the first preceding Business Day for which RFR was published on the SONIA Administrator’s Website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RFR determined pursuant to this clause (y) shall be utilized for purposes of calculation of Daily Simple RFR for no more than three (3) consecutive RFR Interest Days) or (z) if RFR has been determined pursuant to clause (y) above for three (3) consecutive RFR Interest Days and SONIA remains unavailable for the relevant RFR Lookback Day, RFR shall be (1) the percentage rate per annum which is the aggregate of (I) the GBP CBR for such RFR Lookback Day and (II) the applicable Central Bank Rate Adjustment or (2) if clause (z)(1) applies but the GBP CBR for the applicable RFR Lookback Day is not available, the Daily Simple RFR for such RFR Lookback Day shall be the percentage rate per annum which is the aggregate of (I) the most recent GBP CBR for an RFR Business Day which is no more than five RFR Business Days before that RFR Lookback Day and (II) the applicable Central Bank Rate Adjustment and (b) 0.00%.</w:t>
      </w:r>
    </w:p>
    <w:p>
      <w:pPr>
        <w:spacing w:after="0" w:line="17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xml:space="preserve">” means, for any day, SOFR, with the conventions for this rate (which will include a lookback) being established by the First Lien Administrative Agent in accordance with the conventions for this rate recommended by the Relevant Governmental Body for determining “Daily Simple SOFR” for syndicated business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First Lien Administrative Agent decides that any such convention is not administratively feasible for the First Lien Administrative Agent, then the First Lien Administrative Agent may establish another convention in its reasonable discretion.</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(domestic or foreign) from time to time in effect and affecting the rights of creditors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21" w:right="339" w:bottom="1440" w:gutter="0" w:footer="0" w:header="0"/>
        </w:sectPr>
      </w:pPr>
    </w:p>
    <w:bookmarkStart w:id="28" w:name="page29"/>
    <w:bookmarkEnd w:id="28"/>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170"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subject to Section 2.22(b), any Lender that (a) has failed to perform any of its funding obligations hereunder, including in respect of its Loans or participations in respect of Letters of Credit or Swingline Loans, within two (2) Business Days of the date required to be funded by it hereunder unless such Lender notifies the First Lien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the Borrower, the First Lien Administrative Agent, any Issuing Bank, any Swingline Lender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the First Lien Administrative Agent (whether acting on its own behalf or at the reasonable request of the Borrower (it being understood that the First Lien Administrative Agent shall comply with any such reasonable request)) or any Issuing Bank, to confirm in a manner satisfactory to the First Lien Administrative Agent, such Issuing Bank and the Borrower that it will comply with its funding obligations (provided that such Lender shall cease to be a Defaulting Lender pursuant to this clause (c) upon receipt of such written confirmation by the First Lien Administrative Agent and the Borrower), or (d) has, or has a direct or indirect parent company that has, other than via an Undisclosed Administration, (i) become or is insolvent, (ii) become the subject of a proceeding under any Debtor Relief Law,</w:t>
      </w:r>
    </w:p>
    <w:p>
      <w:pPr>
        <w:jc w:val="both"/>
        <w:ind w:firstLine="8"/>
        <w:spacing w:after="0" w:line="288" w:lineRule="auto"/>
        <w:tabs>
          <w:tab w:leader="none" w:pos="324" w:val="left"/>
        </w:tabs>
        <w:numPr>
          <w:ilvl w:val="0"/>
          <w:numId w:val="18"/>
        </w:numPr>
        <w:rPr>
          <w:rFonts w:ascii="Arial" w:cs="Arial" w:eastAsia="Arial" w:hAnsi="Arial"/>
          <w:sz w:val="16"/>
          <w:szCs w:val="16"/>
          <w:color w:val="auto"/>
        </w:rPr>
      </w:pPr>
      <w:r>
        <w:rPr>
          <w:rFonts w:ascii="Arial" w:cs="Arial" w:eastAsia="Arial" w:hAnsi="Arial"/>
          <w:sz w:val="16"/>
          <w:szCs w:val="16"/>
          <w:color w:val="auto"/>
        </w:rPr>
        <w:t>had a receiver, conservator, trustee, administrator, assignee for the benefit of creditors or similar Person charged with reorganization or liquidation of its business or a custodian appointed for it, (iv) taken any action in furtherance of, or indicated its consent to, approval of or acquiescence in any such proceeding or appointment; or (v) become the subject of a Bail-in Action provided 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w:t>
      </w:r>
    </w:p>
    <w:p>
      <w:pPr>
        <w:spacing w:after="0" w:line="16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 Fronting Exposure</w:t>
      </w:r>
      <w:r>
        <w:rPr>
          <w:rFonts w:ascii="Arial" w:cs="Arial" w:eastAsia="Arial" w:hAnsi="Arial"/>
          <w:sz w:val="18"/>
          <w:szCs w:val="18"/>
          <w:color w:val="auto"/>
        </w:rPr>
        <w:t>” means, at any time there is a Defaulting Lender, (a) with respect to any Issuing Bank, such Defaulting Lender’s Applicable Percentage of the First Lien Loan Document Obligations with respect to the Letters of Credit issued by such Issuing Bank other than First Lien Loan Document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hereof.</w:t>
      </w:r>
    </w:p>
    <w:p>
      <w:pPr>
        <w:spacing w:after="0" w:line="19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Non-Cash Consideration</w:t>
      </w:r>
      <w:r>
        <w:rPr>
          <w:rFonts w:ascii="Arial" w:cs="Arial" w:eastAsia="Arial" w:hAnsi="Arial"/>
          <w:sz w:val="17"/>
          <w:szCs w:val="17"/>
          <w:color w:val="auto"/>
        </w:rPr>
        <w:t>” means the Fair Market Value of non-cash consideration received by Holdings or a Subsidiary in connection with a Disposition pursuant to Section 6.05(k)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w:t>
      </w:r>
      <w:r>
        <w:rPr>
          <w:rFonts w:ascii="Arial" w:cs="Arial" w:eastAsia="Arial" w:hAnsi="Arial"/>
          <w:sz w:val="18"/>
          <w:szCs w:val="18"/>
          <w:color w:val="auto"/>
        </w:rPr>
        <w:t>” and “</w:t>
      </w:r>
      <w:r>
        <w:rPr>
          <w:rFonts w:ascii="Arial" w:cs="Arial" w:eastAsia="Arial" w:hAnsi="Arial"/>
          <w:sz w:val="18"/>
          <w:szCs w:val="18"/>
          <w:u w:val="single" w:color="auto"/>
          <w:color w:val="auto"/>
        </w:rPr>
        <w:t>Disposition</w:t>
      </w:r>
      <w:r>
        <w:rPr>
          <w:rFonts w:ascii="Arial" w:cs="Arial" w:eastAsia="Arial" w:hAnsi="Arial"/>
          <w:sz w:val="18"/>
          <w:szCs w:val="18"/>
          <w:color w:val="auto"/>
        </w:rPr>
        <w:t>” each has the meaning assigned to such term in Section 6.05.</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Disposed EBITDA</w:t>
      </w:r>
      <w:r>
        <w:rPr>
          <w:rFonts w:ascii="Arial" w:cs="Arial" w:eastAsia="Arial" w:hAnsi="Arial"/>
          <w:sz w:val="18"/>
          <w:szCs w:val="18"/>
          <w:color w:val="auto"/>
        </w:rPr>
        <w:t>” 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21" w:right="339" w:bottom="1440" w:gutter="0" w:footer="0" w:header="0"/>
        </w:sectPr>
      </w:pPr>
    </w:p>
    <w:bookmarkStart w:id="29" w:name="page30"/>
    <w:bookmarkEnd w:id="29"/>
    <w:p>
      <w:pPr>
        <w:jc w:val="both"/>
        <w:spacing w:after="0" w:line="286" w:lineRule="auto"/>
        <w:rPr>
          <w:sz w:val="20"/>
          <w:szCs w:val="20"/>
          <w:color w:val="auto"/>
        </w:rPr>
      </w:pPr>
      <w:r>
        <w:rPr>
          <w:rFonts w:ascii="Arial" w:cs="Arial" w:eastAsia="Arial" w:hAnsi="Arial"/>
          <w:sz w:val="17"/>
          <w:szCs w:val="17"/>
          <w:color w:val="auto"/>
        </w:rPr>
        <w:t>as if references to Holdings and its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w:t>
      </w:r>
      <w:r>
        <w:rPr>
          <w:rFonts w:ascii="Arial" w:cs="Arial" w:eastAsia="Arial" w:hAnsi="Arial"/>
          <w:sz w:val="18"/>
          <w:szCs w:val="18"/>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84" w:lineRule="exact"/>
        <w:rPr>
          <w:sz w:val="20"/>
          <w:szCs w:val="20"/>
          <w:color w:val="auto"/>
        </w:rPr>
      </w:pPr>
    </w:p>
    <w:p>
      <w:pPr>
        <w:ind w:left="660" w:right="20" w:firstLine="644"/>
        <w:spacing w:after="0" w:line="308" w:lineRule="auto"/>
        <w:tabs>
          <w:tab w:leader="none" w:pos="1778"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46" w:lineRule="exact"/>
        <w:rPr>
          <w:rFonts w:ascii="Arial" w:cs="Arial" w:eastAsia="Arial" w:hAnsi="Arial"/>
          <w:sz w:val="17"/>
          <w:szCs w:val="17"/>
          <w:color w:val="auto"/>
        </w:rPr>
      </w:pPr>
    </w:p>
    <w:p>
      <w:pPr>
        <w:jc w:val="both"/>
        <w:ind w:left="660" w:firstLine="644"/>
        <w:spacing w:after="0" w:line="263" w:lineRule="auto"/>
        <w:tabs>
          <w:tab w:leader="none" w:pos="17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7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each case, on or prior to the date ninety-one (91) days after the Latest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shall not constitute a Disqualified Equity Interest if any such requirement becomes operative only after the Termination Date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6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Lenders</w:t>
      </w:r>
      <w:r>
        <w:rPr>
          <w:rFonts w:ascii="Arial" w:cs="Arial" w:eastAsia="Arial" w:hAnsi="Arial"/>
          <w:sz w:val="16"/>
          <w:szCs w:val="16"/>
          <w:color w:val="auto"/>
        </w:rPr>
        <w:t>” means (i) those Persons identified by the Borrower to the First Lien Administrative Agent in writing prior to August 2, 2021 as being “Disqualified Lenders”, (ii) those Persons who are competitors of the Borrower and its Subsidiaries (other than a Bona Fide Debt Fund) and are identified by the Borrower to the First Lien Administrative Agent from time to time in writing which designation shall become effective two</w:t>
      </w:r>
    </w:p>
    <w:p>
      <w:pPr>
        <w:spacing w:after="0" w:line="2" w:lineRule="exact"/>
        <w:rPr>
          <w:sz w:val="20"/>
          <w:szCs w:val="20"/>
          <w:color w:val="auto"/>
        </w:rPr>
      </w:pPr>
    </w:p>
    <w:p>
      <w:pPr>
        <w:jc w:val="both"/>
        <w:ind w:firstLine="8"/>
        <w:spacing w:after="0" w:line="268" w:lineRule="auto"/>
        <w:tabs>
          <w:tab w:leader="none" w:pos="285" w:val="left"/>
        </w:tabs>
        <w:numPr>
          <w:ilvl w:val="0"/>
          <w:numId w:val="20"/>
        </w:numPr>
        <w:rPr>
          <w:rFonts w:ascii="Arial" w:cs="Arial" w:eastAsia="Arial" w:hAnsi="Arial"/>
          <w:sz w:val="17"/>
          <w:szCs w:val="17"/>
          <w:color w:val="auto"/>
        </w:rPr>
      </w:pPr>
      <w:r>
        <w:rPr>
          <w:rFonts w:ascii="Arial" w:cs="Arial" w:eastAsia="Arial" w:hAnsi="Arial"/>
          <w:sz w:val="17"/>
          <w:szCs w:val="17"/>
          <w:color w:val="auto"/>
        </w:rPr>
        <w:t>Business Days after delivery of each such written designation to the First Lien Administrative Agent, but which shall not apply retroactively to disqualify any Persons that previously acquired an assignment or participation interest in any Loan prior to such second Business Day after such written designation, and (iii) [Reserved], (iv) in the case of each Person identified pursuant to clauses (i) or (ii) above, any of their Affiliates (other than a Bona Fide Debt Fund) that are either (x) identified in writing by the Borrower to the First Lien Administrative Agent from time to time or (y) known or reasonably identifiable as an Affiliate of any such Person. Upon inquiry by any Lender to the First Lien Administrative Agent as to whether a specified potential assignee or prospective participant is a Disqualified Lender, the First Lien Administrative Agent shall be permitted to disclose to such Lender (x) whether such specific potential assignee or prospective participant is a Disqualified Lender or (y) the identity of any other Disqualified Lender which the First Lien Administrative Agent reasonably believes may be an Affiliate of such specified potential assignee or prospective participant.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Amount</w:t>
      </w:r>
      <w:r>
        <w:rPr>
          <w:rFonts w:ascii="Arial" w:cs="Arial" w:eastAsia="Arial" w:hAnsi="Arial"/>
          <w:sz w:val="18"/>
          <w:szCs w:val="18"/>
          <w:color w:val="auto"/>
        </w:rPr>
        <w:t>” means, at any time:</w:t>
      </w:r>
    </w:p>
    <w:p>
      <w:pPr>
        <w:spacing w:after="0" w:line="225" w:lineRule="exact"/>
        <w:rPr>
          <w:sz w:val="20"/>
          <w:szCs w:val="20"/>
          <w:color w:val="auto"/>
        </w:rPr>
      </w:pPr>
    </w:p>
    <w:p>
      <w:pPr>
        <w:ind w:left="1680" w:hanging="376"/>
        <w:spacing w:after="0"/>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an amount denominated in Dollars, such amount;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2"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-21-</w:t>
      </w:r>
    </w:p>
    <w:p>
      <w:pPr>
        <w:sectPr>
          <w:pgSz w:w="11900" w:h="16838" w:orient="portrait"/>
          <w:cols w:equalWidth="0" w:num="1">
            <w:col w:w="11240"/>
          </w:cols>
          <w:pgMar w:left="320" w:top="1421" w:right="339" w:bottom="1440" w:gutter="0" w:footer="0" w:header="0"/>
        </w:sectPr>
      </w:pPr>
    </w:p>
    <w:bookmarkStart w:id="30" w:name="page31"/>
    <w:bookmarkEnd w:id="30"/>
    <w:p>
      <w:pPr>
        <w:jc w:val="both"/>
        <w:ind w:firstLine="1304"/>
        <w:spacing w:after="0" w:line="301" w:lineRule="auto"/>
        <w:tabs>
          <w:tab w:leader="none" w:pos="1722" w:val="left"/>
        </w:tabs>
        <w:numPr>
          <w:ilvl w:val="0"/>
          <w:numId w:val="22"/>
        </w:numPr>
        <w:rPr>
          <w:rFonts w:ascii="Arial" w:cs="Arial" w:eastAsia="Arial" w:hAnsi="Arial"/>
          <w:sz w:val="16"/>
          <w:szCs w:val="16"/>
          <w:color w:val="auto"/>
        </w:rPr>
      </w:pPr>
      <w:r>
        <w:rPr>
          <w:rFonts w:ascii="Arial" w:cs="Arial" w:eastAsia="Arial" w:hAnsi="Arial"/>
          <w:sz w:val="16"/>
          <w:szCs w:val="16"/>
          <w:color w:val="auto"/>
        </w:rPr>
        <w:t>with respect to any amount denominated in a currency other than Dollars, where a determination of such amount is required to be made under any First Lien Loan Document by the First Lien Administrative Agent or any Issuing Bank, the equivalent amount thereof in Dollars as determined by the First Lien Administrative Agent or such Issuing Bank, as the case may be, at such time on the basis of the Spot Rate (determined in respect of the most recent LC Revaluation Date or other applicable date of determination) for the purchase of Dollars with such Alternative Currency; and</w:t>
      </w:r>
    </w:p>
    <w:p>
      <w:pPr>
        <w:spacing w:after="0" w:line="157" w:lineRule="exact"/>
        <w:rPr>
          <w:rFonts w:ascii="Arial" w:cs="Arial" w:eastAsia="Arial" w:hAnsi="Arial"/>
          <w:sz w:val="16"/>
          <w:szCs w:val="16"/>
          <w:color w:val="auto"/>
        </w:rPr>
      </w:pPr>
    </w:p>
    <w:p>
      <w:pPr>
        <w:jc w:val="both"/>
        <w:ind w:firstLine="1304"/>
        <w:spacing w:after="0" w:line="263" w:lineRule="auto"/>
        <w:tabs>
          <w:tab w:leader="none" w:pos="1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any amount denominated in a currency other than Dollars, where a determination of such amount is required to be made under any First Lien Loan Document by Holdings, the Borrower or any Restricted Subsidiary, the equivalent amount thereof in Dollars as determined on the basis of the Average Exchange Rate for such currency.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0"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Effective Date</w:t>
      </w:r>
      <w:r>
        <w:rPr>
          <w:rFonts w:ascii="Arial" w:cs="Arial" w:eastAsia="Arial" w:hAnsi="Arial"/>
          <w:sz w:val="18"/>
          <w:szCs w:val="18"/>
          <w:color w:val="auto"/>
        </w:rPr>
        <w:t>” means, with respect to any Early Opt-in Election, the sixth (6</w:t>
      </w:r>
      <w:r>
        <w:rPr>
          <w:rFonts w:ascii="Arial" w:cs="Arial" w:eastAsia="Arial" w:hAnsi="Arial"/>
          <w:sz w:val="23"/>
          <w:szCs w:val="23"/>
          <w:color w:val="auto"/>
          <w:vertAlign w:val="superscript"/>
        </w:rPr>
        <w:t>th</w:t>
      </w:r>
      <w:r>
        <w:rPr>
          <w:rFonts w:ascii="Arial" w:cs="Arial" w:eastAsia="Arial" w:hAnsi="Arial"/>
          <w:sz w:val="18"/>
          <w:szCs w:val="18"/>
          <w:color w:val="auto"/>
        </w:rPr>
        <w:t>)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the occurrence of:</w:t>
      </w:r>
    </w:p>
    <w:p>
      <w:pPr>
        <w:spacing w:after="0" w:line="225" w:lineRule="exact"/>
        <w:rPr>
          <w:sz w:val="20"/>
          <w:szCs w:val="20"/>
          <w:color w:val="auto"/>
        </w:rPr>
      </w:pPr>
    </w:p>
    <w:p>
      <w:pPr>
        <w:jc w:val="both"/>
        <w:ind w:left="1300" w:hanging="644"/>
        <w:spacing w:after="0" w:line="257" w:lineRule="auto"/>
        <w:tabs>
          <w:tab w:leader="none" w:pos="12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notification by the First Lien Administrative Agent to (or the request by the Borrower to the First Lien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87"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joint election by the First Lien Administrative Agent and the Borrower to trigger a fallback from LIBOR and the provision by the First Lien Administrative Agent of written notice of such election to the Lenders.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August 13, 2021.</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ind w:firstLine="1304"/>
        <w:spacing w:after="0" w:line="264" w:lineRule="auto"/>
        <w:tabs>
          <w:tab w:leader="none" w:pos="1944" w:val="left"/>
        </w:tabs>
        <w:numPr>
          <w:ilvl w:val="0"/>
          <w:numId w:val="24"/>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System</w:t>
      </w:r>
      <w:r>
        <w:rPr>
          <w:rFonts w:ascii="Arial" w:cs="Arial" w:eastAsia="Arial" w:hAnsi="Arial"/>
          <w:sz w:val="18"/>
          <w:szCs w:val="18"/>
          <w:color w:val="auto"/>
        </w:rPr>
        <w:t>” means any electronic system, including email, e-fax, any Platform and any other Internet or extranet-based site, whether such electronic system is owned, operated or hosted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21"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Administrative Agent and any of its Related Parties or any other Person, providing for access to data protected by passcodes or other security system.</w:t>
      </w:r>
    </w:p>
    <w:p>
      <w:pPr>
        <w:spacing w:after="0" w:line="248"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means (a) a Lender, (b) an Affiliate of a Lender, (c) an Approved Fund and (d) any other Person (other than Holdings, the Borrower or any of their respective Affiliates), other than, in each case, (i) a natural person, (ii) a Defaulting Lender or (iii) a Disqualified Lender. Notwithstanding the foregoing, each Loan Party and the Lenders acknowledge and agree that the First Lien Administrative Agent shall have no responsibility or liability for monitoring or enforcing the list of Disqualified Lenders or for any assignment made to a Disqualified Lender unless (i) (A) such assignment resulted from the First Lien Administrative Agent’s gross negligence, bad faith or willful misconduct (as determined by a court of competent jurisdiction in a final and non-appealable judgment) or (B) such assignment resulted from a material breach of the First Lien Loan Documents by the First Lien Administrative Agent (as determined by a court of competent jurisdiction in a final and non-appealable judgment) and (ii) the Borrower has not consented to such assignment or is not deemed to have consented to such assignment to the extent required by Section 9.04(b).</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applicable treaties, rules, regulations, codes, ordinances, judgments, orders, decrees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17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directly or indirectly resulting from or based upon (a) any actual or alleged violation of any Environmental Law or permit, license or approval issued thereunder, (b) the generation, use, handling, transportation, storage, or treatment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w:t>
      </w:r>
    </w:p>
    <w:p>
      <w:pPr>
        <w:spacing w:after="0" w:line="18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Loan Party or any ERISA Affiliate from the PBGC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21" w:right="339" w:bottom="1440" w:gutter="0" w:footer="0" w:header="0"/>
        </w:sectPr>
      </w:pPr>
    </w:p>
    <w:bookmarkStart w:id="32" w:name="page33"/>
    <w:bookmarkEnd w:id="32"/>
    <w:p>
      <w:pPr>
        <w:jc w:val="both"/>
        <w:spacing w:after="0" w:line="291" w:lineRule="auto"/>
        <w:rPr>
          <w:sz w:val="20"/>
          <w:szCs w:val="20"/>
          <w:color w:val="auto"/>
        </w:rPr>
      </w:pPr>
      <w:r>
        <w:rPr>
          <w:rFonts w:ascii="Arial" w:cs="Arial" w:eastAsia="Arial" w:hAnsi="Arial"/>
          <w:sz w:val="16"/>
          <w:szCs w:val="16"/>
          <w:color w:val="auto"/>
        </w:rPr>
        <w:t>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w:t>
      </w:r>
    </w:p>
    <w:p>
      <w:pPr>
        <w:jc w:val="both"/>
        <w:ind w:firstLine="8"/>
        <w:spacing w:after="0" w:line="270" w:lineRule="auto"/>
        <w:tabs>
          <w:tab w:leader="none" w:pos="26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incurrence by a Loan Party or any ERISA Affiliate of any liability with respect to the withdrawal or partial withdrawal from any Multiemployer Plan; (h) the receipt by a Loan Party or any ERISA Affiliate of any notice, or the receipt by any Multiemployer Plan from a Loan Party or any ERISA Affiliate of any notice, concerning the imposition of Withdrawal Liability, or the failure of a Loan Party or any ERISA Affiliate to pay when due, after the expiration of any applicable grace period, any installment payment with respect to any Withdrawal Liability; or (i)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EURIBOR</w:t>
      </w:r>
      <w:r>
        <w:rPr>
          <w:rFonts w:ascii="Arial" w:cs="Arial" w:eastAsia="Arial" w:hAnsi="Arial"/>
          <w:sz w:val="16"/>
          <w:szCs w:val="16"/>
          <w:color w:val="auto"/>
        </w:rPr>
        <w:t>” means, for any Interest Period with respect to a Eurodollar Borrowing denominated in Euros, the rate per annum equal to (i) the Euro interbank offered rate administered by the Banking Federation of the European Union (or such other commercially available source providing quotations of that rate as may be designated by the First Lien Administrative Agent from time to time, including any Person that takes over administration of the rate) as published by Reuters (or such other information service which publishes that rate from time to time in place of Reuters), on Reuters Page EURIBOR01 (or any replacement Reuters page that displays that rate) at approximately 11:00 a.m., Brussels time, two TARGET Days prior to the commencement of such Interest Period, for Euro deposits (for delivery on the first day of such Interest Period) with a term equivalent to such Interest Period or (ii) if such published rate is not available at such time for any reason, then the “EURIBOR” for such Interest Period shall be the Interpolated Rate.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lawful single currency of the European Union.</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w:t>
      </w:r>
      <w:r>
        <w:rPr>
          <w:rFonts w:ascii="Arial" w:cs="Arial" w:eastAsia="Arial" w:hAnsi="Arial"/>
          <w:sz w:val="16"/>
          <w:szCs w:val="16"/>
          <w:color w:val="auto"/>
        </w:rPr>
        <w:t>” when used in reference to any Loan or Borrowing, refers to whether such Loan, or the Loans comprising such Borrowing, are bearing interest at a rate determined by reference to (i) the Adjusted LIBO Rate (in the case of Loans denominated in Dollars or any Alternative Currency other than Canadian Dollars, Sterling and Euros), (ii) the Adjusted BA Rate (in the case of Revolving Loans denominated in Canadian Dollars),</w:t>
      </w:r>
    </w:p>
    <w:p>
      <w:pPr>
        <w:spacing w:after="0" w:line="2" w:lineRule="exact"/>
        <w:rPr>
          <w:sz w:val="20"/>
          <w:szCs w:val="20"/>
          <w:color w:val="auto"/>
        </w:rPr>
      </w:pPr>
    </w:p>
    <w:p>
      <w:pPr>
        <w:ind w:left="1300" w:right="100" w:hanging="1292"/>
        <w:spacing w:after="0" w:line="492" w:lineRule="auto"/>
        <w:tabs>
          <w:tab w:leader="none" w:pos="3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EURIBOR (in the case of Revolving Loans denominated in Euros) or (iv) Daily Simple RFR (in the case of Loans denominated in Sterling). “</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Section 7.01.</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 from time to time.</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Assets</w:t>
      </w:r>
      <w:r>
        <w:rPr>
          <w:rFonts w:ascii="Arial" w:cs="Arial" w:eastAsia="Arial" w:hAnsi="Arial"/>
          <w:sz w:val="17"/>
          <w:szCs w:val="17"/>
          <w:color w:val="auto"/>
        </w:rPr>
        <w:t>” means (a) any fee-owned real property that is not Material Real Property and all leasehold (including ground lease) interests in real property (including requirements to deliver landlord lien waivers, estoppels and collateral access letters), (b) motor vehicles and other assets subject to certificates of title or ownership, (c) Letter of Credit rights (except to the extent constituting supporting obligations (as defined under the UCC) in which a security interest can be perfected with the filing of a UCC-1 financing statement), (d) Commercial Tort Claims with a value of less than $2,500,000 and commercial tort claims for which no complaint or counterclaim has been filed in a court of competent jurisdiction, (e) Excluded Equity Interests, (f) any lease, contract, license, sublicense, other agreement or document, government approval or franchise with any Person if, to the extent and for so long as, the grant of a Lien thereon to secure the Secured Obligations would require the consent of a third party (unless such consent has been received), violates or invalidates, constitutes a breach of or a default under, or creates a right of termination in favor of any other party thereto (other than any Loan Party) to, such lease, contract, license, sublicense, other agreement or document, government approval or franchise (but only to the extent any of the foregoing is not rendered ineffective by, or is otherwise unenforceable under, the Uniform Commercial Code, or any other applicable Requirements of Law), (g) any asset subject to a Lien of the type permitted by Section 6.02(iv)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21" w:right="339" w:bottom="1440" w:gutter="0" w:footer="0" w:header="0"/>
        </w:sectPr>
      </w:pPr>
    </w:p>
    <w:bookmarkStart w:id="33" w:name="page34"/>
    <w:bookmarkEnd w:id="33"/>
    <w:p>
      <w:pPr>
        <w:jc w:val="both"/>
        <w:spacing w:after="0" w:line="283" w:lineRule="auto"/>
        <w:rPr>
          <w:sz w:val="20"/>
          <w:szCs w:val="20"/>
          <w:color w:val="auto"/>
        </w:rPr>
      </w:pPr>
      <w:r>
        <w:rPr>
          <w:rFonts w:ascii="Arial" w:cs="Arial" w:eastAsia="Arial" w:hAnsi="Arial"/>
          <w:sz w:val="16"/>
          <w:szCs w:val="16"/>
          <w:color w:val="auto"/>
        </w:rPr>
        <w:t>(whether or not incurred pursuant to such Section) or a Lien permitted by Section 6.02(xi), in each case if, to the extent and for so long as the grant of a Lien thereon to secure the Secured Obligations constitutes a breach of or a default under, or creates a right of termination in favor of any party (other than any Loan Party) to, any agreement pursuant to which such Lien has been created (but only to the extent any of the foregoing is not rendered ineffective by, or is otherwise unenforceable under, the Uniform Commercial Code, or any other applicable Requirements of Law), (h) any intent-to-use trademark applications filed in the United States Patent and Trademark Office, pursuant to Section 1(b) of the Lanham Act, 15 U.S.C. Section 1051, prior to the accepted filing of a “Statement of Use” and issuance of a “Certificate of Registration” pursuant to Section 1(d) of the Lanham Act or an accepted filing of an “Amendment to Allege Use” whereby such intent-to-use trademark application is converted to a “use in commerce” application pursuant to Section 1(c) of the Lanham Act and any other Intellectual Property in any jurisdiction where the grant of a Lien thereon would cause the invalidation or abandonment of such Intellectual Property under applicable law, (i) any asset if, to the extent and for so long as the grant of a Lien thereon to secure the Secured Obligations is prohibited by any Requirements of Law, rule or regulation, contractual obligation existing on the Effective Date (or, if later, the date of acquisition of such asset, or the date a Person that owns such assets becomes a Loan Guarantor, so long as any such prohibition is not created in contemplation of such acquisition or of such Person becoming a Loan Guarantor) or any permitted agreement with any Governmental Authority binding on such asset (in each case, other than to the extent that any such prohibition would be rendered ineffective pursuant to the UCC or any other applicable Requirements of Law) or</w:t>
      </w:r>
    </w:p>
    <w:p>
      <w:pPr>
        <w:spacing w:after="0" w:line="2" w:lineRule="exact"/>
        <w:rPr>
          <w:sz w:val="20"/>
          <w:szCs w:val="20"/>
          <w:color w:val="auto"/>
        </w:rPr>
      </w:pPr>
    </w:p>
    <w:p>
      <w:pPr>
        <w:jc w:val="both"/>
        <w:ind w:firstLine="8"/>
        <w:spacing w:after="0" w:line="267" w:lineRule="auto"/>
        <w:tabs>
          <w:tab w:leader="none" w:pos="273" w:val="left"/>
        </w:tabs>
        <w:numPr>
          <w:ilvl w:val="0"/>
          <w:numId w:val="27"/>
        </w:numPr>
        <w:rPr>
          <w:rFonts w:ascii="Arial" w:cs="Arial" w:eastAsia="Arial" w:hAnsi="Arial"/>
          <w:sz w:val="17"/>
          <w:szCs w:val="17"/>
          <w:color w:val="auto"/>
        </w:rPr>
      </w:pPr>
      <w:r>
        <w:rPr>
          <w:rFonts w:ascii="Arial" w:cs="Arial" w:eastAsia="Arial" w:hAnsi="Arial"/>
          <w:sz w:val="17"/>
          <w:szCs w:val="17"/>
          <w:color w:val="auto"/>
        </w:rPr>
        <w:t>would require the consent, approval, license or authorization from any Governmental Authority or regulatory authority, unless such consent, approval, license or authorization has been received (other than to the extent that any such requirement would be rendered ineffective pursuant to the UCC or any other applicable Requirements of Law) (j) margin stock (within the meaning of Regulation U of the Board of Governors, as in effect from time to time) and pledges and security interests prohibited by applicable law, rule or regulation or agreements with any Governmental Authority, (k) Securitization Assets, (l) any Deposit Account (as defined in the First Lien Collateral Agreement), Securities Account (as defined in the Collateral Agreement) or any other account that is (i) used as a pension fund, escrow (including, without limitation, any escrow accounts for the benefit of customers), trust, or similar account, in each case, for benefit of employees, whether former, current or future, or (ii) segregated and held or received for the benefit of third parties, (m) assets of Holdings, the Borrower or its (direct or indirect) subsidiaries the pledge of which would result in an investment in “United States property” (within the meaning of section 956 of the Code (or any similar law or regulation in any applicable jurisdiction)) or would otherwise result in a material adverse tax consequence to the Borrower, Holdings, the relevant Guarantor and/or its Affiliates as reasonably determined by the Borrower and (n) any assets with respect to which, in the reasonable judgment of the First Lien Administrative Agent and the Borrower (as agreed to in writing), the cost, burden, difficulty or other consequences (including material adverse tax consequences) of pledging such assets or perfecting a security interest therein shall be excessive in view of the benefits to be obtained by the Lenders therefrom.</w:t>
      </w:r>
    </w:p>
    <w:p>
      <w:pPr>
        <w:spacing w:after="0" w:line="183"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Equity Interests</w:t>
      </w:r>
      <w:r>
        <w:rPr>
          <w:rFonts w:ascii="Arial" w:cs="Arial" w:eastAsia="Arial" w:hAnsi="Arial"/>
          <w:sz w:val="16"/>
          <w:szCs w:val="16"/>
          <w:color w:val="auto"/>
        </w:rPr>
        <w:t>” means Equity Interests in any (a) Unrestricted Subsidiary, (b) Immaterial Subsidiary, (c) pledges of more than 65% of the voting capital stock of Section 956 Excluded Subsidiaries (d) any Equity Interests to the extent the pledge thereof would be prohibited or limited by any applicable Requirement of Law existing on the date hereof or on the date such Equity Interests are acquired by the Borrower or any other Grantor (as defined in the First Lien Collateral Agreement) or on the date the issuer of such Equity Interests is created other than to the extent that any such prohibition would be rendered ineffective pursuant to the applicable anti-assignment provisions in the Uniform Commercial Code of any applicable jurisdiction, (e) Subsidiary (other than any Loan Guarantor) to the extent the pledge thereof to the First Lien Administrative Agent is not permitted by the terms of such Subsidiary’s organizational (except in the case of any Wholly Owned Subsidiary of Holdings) or joint venture documents, in each case, after giving effect to the applicable anti-assignment provisions of the Uniform Commercial Code and (f) not-for-profit Subsidiary, captive insurance company or special purpose securitization vehicle (or similar entity), including any Securitization Subsidiary.</w:t>
      </w:r>
    </w:p>
    <w:p>
      <w:pPr>
        <w:spacing w:after="0" w:line="16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w:t>
      </w:r>
      <w:r>
        <w:rPr>
          <w:rFonts w:ascii="Arial" w:cs="Arial" w:eastAsia="Arial" w:hAnsi="Arial"/>
          <w:sz w:val="17"/>
          <w:szCs w:val="17"/>
          <w:color w:val="auto"/>
        </w:rPr>
        <w:t>” means (a) any Subsidiary that is not a Wholly Owned Subsidiary of Holdings, (b) each Subsidiary listed on Schedule 1.01, (c) any Subsidiary that is prohibited by applicable law, rule or regulation or contractual obligation (and which contractual obligation was not entered into in contemplation of such Subsidiary becoming an Excluded Subsidiary) existing on the Effective Date or, if later, the date such Subsidiary first becomes a Restricted Subsidiary, from guaranteeing the Secured Obligations or which would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21" w:right="339" w:bottom="1440" w:gutter="0" w:footer="0" w:header="0"/>
        </w:sectPr>
      </w:pPr>
    </w:p>
    <w:bookmarkStart w:id="34" w:name="page35"/>
    <w:bookmarkEnd w:id="34"/>
    <w:p>
      <w:pPr>
        <w:jc w:val="both"/>
        <w:spacing w:after="0" w:line="285" w:lineRule="auto"/>
        <w:rPr>
          <w:sz w:val="20"/>
          <w:szCs w:val="20"/>
          <w:color w:val="auto"/>
        </w:rPr>
      </w:pPr>
      <w:r>
        <w:rPr>
          <w:rFonts w:ascii="Arial" w:cs="Arial" w:eastAsia="Arial" w:hAnsi="Arial"/>
          <w:sz w:val="16"/>
          <w:szCs w:val="16"/>
          <w:color w:val="auto"/>
        </w:rPr>
        <w:t xml:space="preserve">any governmental or regulatory consent, approval, license or authorization to do so, unless such consent, approval, license or authorization has been obtained or such prohibition has been removed, (d) any Immaterial Subsidiary, (e) any direct or indirect Subsidiary with respect to which, in the reasonable judgment of the First Lien Administrative Agent and the Borrower (as agreed in writing), the cost or other consequences (including any material adverse tax consequences) of providing a Guarantee under the First Lien Guarantee Agreement shall be excessive in view of the benefits to be obtained by the Lenders therefrom, (f) any Subsidiary that is (or, if it were a Loan Party, would be) an “investment company” under the Investment Company Act of 1940, as amended, (g) any not-for profit Subsidiaries, captive insurance companies or other special purpose subsidiaries, (h) any Subsidiary that is organized under the laws of a jurisdiction other than any Covered Jurisdiction, (i) any Section 956 Excluded Subsidiary, (j) any special purpose securitization vehicle (or similar entity), including any Securitization Subsidiary, (k) each Unrestricted Subsidiary and (l) any Subsidiary (other than the Subsidiary Loan Parties on the Effective Date) for which the providing of a Guarantee could reasonably be expected to result in any violation or breach of, or conflict with, fiduciary duties of such Subsidiary’s officers, directors or managers and (m) any Restricted Subsidiary acquired pursuant to a Permitted Acquisition (or other Investment not prohibited by this Agreement) financed with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hereof as assumed Indebtedness and any Restricted Subsidiary thereof that Guarantees such Indebtedness, in each case to the extent such Indebtedness prohibits such Subsidiary from becoming a Loan Guarantor (so long as such prohibition did not arise in connection with such Permitted Acquisition (or such other Investment not prohibited by this Agreement) or such assumption of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Immaterial Subsidiary that is a signatory to any First Lien Collateral Agreement or the First Lien Guarantee Agreement shall be deemed not to be an Excluded Subsidiary for purposes of this Agreement and the other First Lien Loan Documents unless the Borrower has otherwise notified the First Lien Administrative Agent;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Borrower may at any time and in its sole discretion, upon notice to the First Lien Administrative Agent, deem that any Restricted Subsidiary shall not be an Excluded Subsidiary for purposes of this Agreement and the other First Lien Loan Documents.</w:t>
      </w:r>
    </w:p>
    <w:p>
      <w:pPr>
        <w:spacing w:after="0" w:line="39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means, with respect to any Loan Guarantor at any time, any Secured Swap Obligation under any agreement, contract or transaction that constitutes a “swap” within the meaning of Section 1a(47) of the Commodity Exchange Act, if, and to the extent that, all or a portion of the guarantee of such Loan Guarantor of, or the grant by such Loan Guarantor of a security interest to secure, such Secured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“eligible contract participant,” as defined in the Commodity Exchange Act (determined after giving effect to any “Keepwell”, support or other agreement for the benefit of such Loan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w:t>
      </w:r>
    </w:p>
    <w:p>
      <w:pPr>
        <w:spacing w:after="0" w:line="16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with respect to the First Lien Administrative Agent, any Lender, any Issuing Bank or any other recipient of any payment to be made by or on account of any obligation of any Loan Party hereunder or under any other First Lien Loan Document, (a) 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any political subdivision thereof), or (ii) as a result of any other present or former connection between such recipient and the jurisdiction imposing such Tax (or any political subdivision thereof) (other than a connection arising solely from such recipient having executed, delivered, become a party to, performed its obligations or received payments under, received or perfected a security interest under or enforced any First Lien Loan Documents or engaged in any other transaction pursuant to any First Lien Loan Documents or sold or assigned an interest in any First Lien Loan Documents) (such taxes in clause (a)(ii), “Other Connection Taxes”), (b) any branch profits tax imposed under Section 884(a) of the Code, or any similar Tax, imposed by any jurisdiction described in clause (a) above, (c) any withholding Tax imposed pursuant to FATCA, (d) any withholding Tax that is attributable to a Lender’s failure to comply with Section 2.17(f) and (e) except in the case of an assignee pursuant to a request by the Borrower under Section 2.19 hereto, any U.S. federal withholding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21" w:right="339" w:bottom="1440" w:gutter="0" w:footer="0" w:header="0"/>
        </w:sectPr>
      </w:pPr>
    </w:p>
    <w:bookmarkStart w:id="35" w:name="page36"/>
    <w:bookmarkEnd w:id="35"/>
    <w:p>
      <w:pPr>
        <w:jc w:val="both"/>
        <w:spacing w:after="0" w:line="286" w:lineRule="auto"/>
        <w:rPr>
          <w:sz w:val="20"/>
          <w:szCs w:val="20"/>
          <w:color w:val="auto"/>
        </w:rPr>
      </w:pPr>
      <w:r>
        <w:rPr>
          <w:rFonts w:ascii="Arial" w:cs="Arial" w:eastAsia="Arial" w:hAnsi="Arial"/>
          <w:sz w:val="17"/>
          <w:szCs w:val="17"/>
          <w:color w:val="auto"/>
        </w:rPr>
        <w:t>imposed on amounts payable to a Lender pursuant to a Requirement of Law in effect at the time such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Section 2.17(a).</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means each of the letters of credit described by customer, letter of credit number, outstanding amount, and expiration date on Schedule 2.05 hereto.</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asset(which determination shall be conclusive), it being agreed that with respect to real property, in no event will any Loan Party be required to obtain independent appraisals or other third party valuations to establish such Fair Market Value unless required by FIRREA.</w:t>
      </w:r>
    </w:p>
    <w:p>
      <w:pPr>
        <w:spacing w:after="0" w:line="188"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thereto and not materially more onerous to comply with), any current or future Treasury regulations thereunder or other official administrative interpretations thereof, any agreements entered into pursuant to current Section 1471(b)(1) of the Code as of the date of this Agreement (or any amended or successor version described above) and any fiscal or regulatory legislation, rules or practices adopted pursuant to any intergovernmental agreement, treaty or convention among Governmental Authorities and implementing such Sections of the Code.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FCA</w:t>
      </w:r>
      <w:r>
        <w:rPr>
          <w:rFonts w:ascii="Arial" w:cs="Arial" w:eastAsia="Arial" w:hAnsi="Arial"/>
          <w:sz w:val="18"/>
          <w:szCs w:val="18"/>
          <w:color w:val="auto"/>
        </w:rPr>
        <w:t>” has the meaning specified in Section 2.14(a).</w:t>
      </w:r>
    </w:p>
    <w:p>
      <w:pPr>
        <w:spacing w:after="0" w:line="225"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means, for any day, the weighted average of the rates on overnight Federal funds transactions with members of the Federal Reserve System, as published on the next succeeding Business Day by the Federal Reserve Bank of New York.</w:t>
      </w:r>
    </w:p>
    <w:p>
      <w:pPr>
        <w:spacing w:after="0" w:line="14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corporate controller of Holdings or the Borrower,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Performance Covenant</w:t>
      </w:r>
      <w:r>
        <w:rPr>
          <w:rFonts w:ascii="Arial" w:cs="Arial" w:eastAsia="Arial" w:hAnsi="Arial"/>
          <w:sz w:val="18"/>
          <w:szCs w:val="18"/>
          <w:color w:val="auto"/>
        </w:rPr>
        <w:t>” means the covenant set forth in Section 6.11.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FIRREA</w:t>
      </w:r>
      <w:r>
        <w:rPr>
          <w:rFonts w:ascii="Arial" w:cs="Arial" w:eastAsia="Arial" w:hAnsi="Arial"/>
          <w:sz w:val="18"/>
          <w:szCs w:val="18"/>
          <w:color w:val="auto"/>
        </w:rPr>
        <w:t>” means the Financial Institutions Reform, Recovery and Enforcement Act of 1989, as amended.</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Administrative Agent</w:t>
      </w:r>
      <w:r>
        <w:rPr>
          <w:rFonts w:ascii="Arial" w:cs="Arial" w:eastAsia="Arial" w:hAnsi="Arial"/>
          <w:sz w:val="18"/>
          <w:szCs w:val="18"/>
          <w:color w:val="auto"/>
        </w:rPr>
        <w:t>” means Goldman Sachs Bank USA, in its capacity as first lien administrative agent hereunder and under the other First Lien Loan Documents, and its successors in such capacity as provided in Article VIII.</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Collateral Agent</w:t>
      </w:r>
      <w:r>
        <w:rPr>
          <w:rFonts w:ascii="Arial" w:cs="Arial" w:eastAsia="Arial" w:hAnsi="Arial"/>
          <w:sz w:val="16"/>
          <w:szCs w:val="16"/>
          <w:color w:val="auto"/>
        </w:rPr>
        <w:t>” has the meaning given to such term in Section 8.01(b) and its successors in such capacity as provided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VIII.</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Collateral Agreement</w:t>
      </w:r>
      <w:r>
        <w:rPr>
          <w:rFonts w:ascii="Arial" w:cs="Arial" w:eastAsia="Arial" w:hAnsi="Arial"/>
          <w:sz w:val="18"/>
          <w:szCs w:val="18"/>
          <w:color w:val="auto"/>
        </w:rPr>
        <w:t>” means the First Lien Collateral Agreement among the Loan Parties party thereto and the First Lien Collateral Agent, substantially in the form of Exhibit D.</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Financing Transactions</w:t>
      </w:r>
      <w:r>
        <w:rPr>
          <w:rFonts w:ascii="Arial" w:cs="Arial" w:eastAsia="Arial" w:hAnsi="Arial"/>
          <w:sz w:val="18"/>
          <w:szCs w:val="18"/>
          <w:color w:val="auto"/>
        </w:rPr>
        <w:t>” means (a) the execution, delivery and performance by each Loan Party of the First Lien Loan Documents to which it is to be a party, (b) the borrowing of Loans hereunder and the use of the proceeds thereof and (c) the issuance, amendment or extension of Letters of Credit hereunder and the use of proceeds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21" w:right="339" w:bottom="1440" w:gutter="0" w:footer="0" w:header="0"/>
        </w:sectPr>
      </w:pPr>
    </w:p>
    <w:bookmarkStart w:id="36" w:name="page37"/>
    <w:bookmarkEnd w:id="36"/>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Guarantee Agreement</w:t>
      </w:r>
      <w:r>
        <w:rPr>
          <w:rFonts w:ascii="Arial" w:cs="Arial" w:eastAsia="Arial" w:hAnsi="Arial"/>
          <w:sz w:val="18"/>
          <w:szCs w:val="18"/>
          <w:color w:val="auto"/>
        </w:rPr>
        <w:t>” means the First Lien Guarantee Agreement among the Loan Parties and the First Lien Collateral Agent, substantially in the form of Exhibit B.</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Facilities</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Term Facility</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Term Increase</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Incremental Term Loan</w:t>
      </w:r>
      <w:r>
        <w:rPr>
          <w:rFonts w:ascii="Arial" w:cs="Arial" w:eastAsia="Arial" w:hAnsi="Arial"/>
          <w:sz w:val="18"/>
          <w:szCs w:val="18"/>
          <w:color w:val="auto"/>
        </w:rPr>
        <w:t>” means any Term Loan provided under any First Lien Incremental Facility.</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Loan Document Obligations</w:t>
      </w:r>
      <w:r>
        <w:rPr>
          <w:rFonts w:ascii="Arial" w:cs="Arial" w:eastAsia="Arial" w:hAnsi="Arial"/>
          <w:sz w:val="17"/>
          <w:szCs w:val="17"/>
          <w:color w:val="auto"/>
        </w:rPr>
        <w:t>” means (a) the due and punctual payment by the Borrower of (i) 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of the Borrower under or pursuant to this Agreement and each of the other First Lien Loan Documents, including obligations to pay fees, expenses, reimbursement obligations and indemnification obligations and obligations to provide cash collateral, whether primary, secondary, direct, contingent, fixed or otherwise (including interest and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each of the First Lien Loan Documents and (c) the due and punctual payment and performance of all the obligations of each other Loan Party under or pursuant to this Agreement and each of the other First Lien Loan Documents (including interest and monetary obligations incurred during the pendency of any bankruptcy, insolvency, receivership or other similar proceeding, regardless of whether allowed or allowable in such proceeding).</w:t>
      </w:r>
    </w:p>
    <w:p>
      <w:pPr>
        <w:spacing w:after="0" w:line="17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Loan Documents</w:t>
      </w:r>
      <w:r>
        <w:rPr>
          <w:rFonts w:ascii="Arial" w:cs="Arial" w:eastAsia="Arial" w:hAnsi="Arial"/>
          <w:sz w:val="18"/>
          <w:szCs w:val="18"/>
          <w:color w:val="auto"/>
        </w:rPr>
        <w:t>” means this Agreement, any Refinancing Amendment, any Loan Modification Agreement, any Incremental Facility Amendment, the First Lien Guarantee Agreement, the First Lien Collateral Agreement, the First/Second Lien Intercreditor Agreement, the other Security Documents, any Customary Intercreditor Agreement and any Note delivered pursuant to Section 2.09(e).</w:t>
      </w:r>
    </w:p>
    <w:p>
      <w:pPr>
        <w:spacing w:after="0" w:line="18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Pari Passu Intercreditor Agreement</w:t>
      </w:r>
      <w:r>
        <w:rPr>
          <w:rFonts w:ascii="Arial" w:cs="Arial" w:eastAsia="Arial" w:hAnsi="Arial"/>
          <w:sz w:val="16"/>
          <w:szCs w:val="16"/>
          <w:color w:val="auto"/>
        </w:rPr>
        <w:t xml:space="preserve">” means the Pari Passu Intercreditor Agreement substantially in the form of Exhibit E-1 among the First Lien Administrative Agent and one or more Senior Representatives for holders of Indebtedness permitted by this Agreement to be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with such modifications thereto as the First Lien Administrative Agent and the Borrower may reasonably agree.</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First/Second Lien Intercreditor Agreement</w:t>
      </w:r>
      <w:r>
        <w:rPr>
          <w:rFonts w:ascii="Arial" w:cs="Arial" w:eastAsia="Arial" w:hAnsi="Arial"/>
          <w:sz w:val="18"/>
          <w:szCs w:val="18"/>
          <w:color w:val="auto"/>
        </w:rPr>
        <w:t>” means the First/Second Lien Intercreditor Agreement substantially in the form of Exhibit E-2 among the First Lien Administrative Agent and one or more Senior Representatives for holders of Indebtedness permitted by this Agreement to be secured by the Collateral.</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Amounts</w:t>
      </w:r>
      <w:r>
        <w:rPr>
          <w:rFonts w:ascii="Arial" w:cs="Arial" w:eastAsia="Arial" w:hAnsi="Arial"/>
          <w:sz w:val="18"/>
          <w:szCs w:val="18"/>
          <w:color w:val="auto"/>
        </w:rPr>
        <w:t>” has the meaning assigned to such term in 1.07.(b).</w:t>
      </w:r>
    </w:p>
    <w:p>
      <w:pPr>
        <w:spacing w:after="0" w:line="185"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18"/>
          <w:szCs w:val="18"/>
          <w:color w:val="auto"/>
        </w:rPr>
        <w:t>“Floating Charge Document” means the English law governed floating charge granted by Holdings in favor of the First Lien Collateral Agent substantially in the form of Exhibit G.</w:t>
      </w:r>
    </w:p>
    <w:p>
      <w:pPr>
        <w:spacing w:after="0" w:line="16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Laws</w:t>
      </w:r>
      <w:r>
        <w:rPr>
          <w:rFonts w:ascii="Arial" w:cs="Arial" w:eastAsia="Arial" w:hAnsi="Arial"/>
          <w:sz w:val="18"/>
          <w:szCs w:val="18"/>
          <w:color w:val="auto"/>
        </w:rPr>
        <w:t>” means, collectively, (i) the National Flood Insurance Act of 1968 as now or hereafter in effect or any successor statute thereto, (ii) the Flood Disaster Protection Act of 1973 as now or hereafter in effect or any successor statute thereto, (iii) the National Flood Insurance Reform Act of 1994 as now or hereafter in effect or any successor statute thereto, (iv) the Flood Insurance Reform Act of 2004 as now or 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21" w:right="339" w:bottom="1440" w:gutter="0" w:footer="0" w:header="0"/>
        </w:sectPr>
      </w:pPr>
    </w:p>
    <w:bookmarkStart w:id="37" w:name="page38"/>
    <w:bookmarkEnd w:id="37"/>
    <w:p>
      <w:pPr>
        <w:jc w:val="both"/>
        <w:ind w:right="20"/>
        <w:spacing w:after="0" w:line="277" w:lineRule="auto"/>
        <w:rPr>
          <w:sz w:val="20"/>
          <w:szCs w:val="20"/>
          <w:color w:val="auto"/>
        </w:rPr>
      </w:pPr>
      <w:r>
        <w:rPr>
          <w:rFonts w:ascii="Arial" w:cs="Arial" w:eastAsia="Arial" w:hAnsi="Arial"/>
          <w:sz w:val="18"/>
          <w:szCs w:val="18"/>
          <w:color w:val="auto"/>
        </w:rPr>
        <w:t>in effect or any successor statute thereto and (v) the Biggert-Waters Flood Insurance Reform Act of 2012 as now or hereafter in effect or any successor statute thereto.</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LIBOR or Daily Simple RFR,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Lender that is not a United States person (as defined in Section 7701(a)(30) of the Code).</w:t>
      </w:r>
    </w:p>
    <w:p>
      <w:pPr>
        <w:spacing w:after="0" w:line="225"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 Intercreditor Agreements</w:t>
      </w:r>
      <w:r>
        <w:rPr>
          <w:rFonts w:ascii="Arial" w:cs="Arial" w:eastAsia="Arial" w:hAnsi="Arial"/>
          <w:sz w:val="16"/>
          <w:szCs w:val="16"/>
          <w:color w:val="auto"/>
        </w:rPr>
        <w:t>” means (a) an intercreditor agreement substantially in the form of the First Lien Pari Passu Intercreditor Agreement, and/or (b) an intercreditor agreement substantially in the form of the First/Second Lien Intercreditor Agreement, as applicable.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U.S.</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Debt</w:t>
      </w:r>
      <w:r>
        <w:rPr>
          <w:rFonts w:ascii="Arial" w:cs="Arial" w:eastAsia="Arial" w:hAnsi="Arial"/>
          <w:sz w:val="18"/>
          <w:szCs w:val="18"/>
          <w:color w:val="auto"/>
        </w:rPr>
        <w:t>” means all Indebtedness of Holdings and its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8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the United States of America,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notifies the First Lien Administrative Agent that the Borrower requests an amendment to any provision hereof to eliminate the effect of any change occurring after the Effective Date in GAAP or in the application thereof on the operation of such provision (or if the First Lien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 Lease Obligations shall be determined in accordance with the definition of Capital Lease Obligations.</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Goldman Sachs</w:t>
      </w:r>
      <w:r>
        <w:rPr>
          <w:rFonts w:ascii="Arial" w:cs="Arial" w:eastAsia="Arial" w:hAnsi="Arial"/>
          <w:sz w:val="18"/>
          <w:szCs w:val="18"/>
          <w:color w:val="auto"/>
        </w:rPr>
        <w:t>” has the meaning given to such term in the preliminary statements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GBP CBR</w:t>
      </w:r>
      <w:r>
        <w:rPr>
          <w:rFonts w:ascii="Arial" w:cs="Arial" w:eastAsia="Arial" w:hAnsi="Arial"/>
          <w:sz w:val="18"/>
          <w:szCs w:val="18"/>
          <w:color w:val="auto"/>
        </w:rPr>
        <w:t>” has the meaning assigned to such term in the definition of “Central Bank Rate.”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means all authorizations, consents, approvals, permits, licenses and exemptions of, registrations and filings with, and reports to, Governmental Authorities.</w:t>
      </w:r>
    </w:p>
    <w:p>
      <w:pPr>
        <w:spacing w:after="0" w:line="170" w:lineRule="exact"/>
        <w:rPr>
          <w:sz w:val="20"/>
          <w:szCs w:val="20"/>
          <w:color w:val="auto"/>
        </w:rPr>
      </w:pPr>
    </w:p>
    <w:p>
      <w:pPr>
        <w:jc w:val="both"/>
        <w:ind w:right="2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8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and including any obligation of the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21" w:right="339" w:bottom="1440" w:gutter="0" w:footer="0" w:header="0"/>
        </w:sectPr>
      </w:pPr>
    </w:p>
    <w:bookmarkStart w:id="38" w:name="page39"/>
    <w:bookmarkEnd w:id="38"/>
    <w:p>
      <w:pPr>
        <w:jc w:val="both"/>
        <w:spacing w:after="0" w:line="288" w:lineRule="auto"/>
        <w:rPr>
          <w:sz w:val="20"/>
          <w:szCs w:val="20"/>
          <w:color w:val="auto"/>
        </w:rPr>
      </w:pPr>
      <w:r>
        <w:rPr>
          <w:rFonts w:ascii="Arial" w:cs="Arial" w:eastAsia="Arial" w:hAnsi="Arial"/>
          <w:sz w:val="16"/>
          <w:szCs w:val="16"/>
          <w:color w:val="auto"/>
        </w:rPr>
        <w:t xml:space="preserve">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6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hazardous or toxic substances, wastes, chemicals, pollutants, contaminants of any nature and in any form regulated pursuant to any Environmental Law.</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given to such term in the preliminary statements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IBA</w:t>
      </w:r>
      <w:r>
        <w:rPr>
          <w:rFonts w:ascii="Arial" w:cs="Arial" w:eastAsia="Arial" w:hAnsi="Arial"/>
          <w:sz w:val="18"/>
          <w:szCs w:val="18"/>
          <w:color w:val="auto"/>
        </w:rPr>
        <w:t>” has the meaning specified in Section 2.14(a).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ICE LIBOR</w:t>
      </w:r>
      <w:r>
        <w:rPr>
          <w:rFonts w:ascii="Arial" w:cs="Arial" w:eastAsia="Arial" w:hAnsi="Arial"/>
          <w:sz w:val="18"/>
          <w:szCs w:val="18"/>
          <w:color w:val="auto"/>
        </w:rPr>
        <w:t>” has the meaning assigned to such term in the definition of “Alternate Base Rate.”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any Subsidiary other than a Material Subsidiary.</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Cap</w:t>
      </w:r>
      <w:r>
        <w:rPr>
          <w:rFonts w:ascii="Arial" w:cs="Arial" w:eastAsia="Arial" w:hAnsi="Arial"/>
          <w:sz w:val="16"/>
          <w:szCs w:val="16"/>
          <w:color w:val="auto"/>
        </w:rPr>
        <w:t xml:space="preserve">” means, as of any date of determination, the sum of (I)(a) the greater of (i) $176,000,000 and (ii) 100% of Consolidated EBITDA for the most recently ended Test Period as of such date, calculated on a Pro Forma Basis;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sum of (i) the aggregate principal amount of all First Lien Term Loans, First Lien Incremental Equivalent Debt and/or any other Indebtedness secured by the Collateral on a pari passu basis with, or senior to, the Secured Obligations voluntarily prepaid (including purchases and redemptions of the Loans, First Lien Incremental Equivalent Debt and/or any other Indebtedness secured by the Collateral on a pari passu basis with, or senior to, the Secured Obligations by Holdings and its Subsidiaries (to the extent retired) at or below par, in which case the amount of voluntary prepayments of Loans shall be deemed to be the amount paid in cash, and with respect to any reduction in the outstanding amount of any loan resulting from the application of any “yank-a-bank” provisions, the amount paid in cash) and (ii) all reductions of Revolving Commitments (and, in the case of any revolving loans, a corresponding commitment reduction), in each case prior to such date (other than, in each case, prepayments, repurchases and commitment reductions with the proceeds of the incurrence of Credit Agreement Refinancing Indebtedness or other long-term Indebtedness),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amount of all First Lien Incremental Facilities and all First Lien Incremental Equivalent Debt incurred in reliance on the foregoing clauses (a) and/or (b)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 in the case of any First Lien Incremental Facilities or First Lien Incremental Equivalent Debt secured by the Collateral on a pari passu basis with the Revolving Facility, the maximum aggregate principal amount that can be incurred without causing the Senior Secured First Lien Net Leverage Ratio, after giving effect to the incurrence of any Incremental Facility or Incremental Equivalent Debt and the use of proceeds thereof, on a Pro Forma Basis, to exceed 3.50 to 1.00 for the most recently ended Test Period; (b) in the case of any Incremental Facilities or Incremental Equivalent Debt secured by the Collateral on a junior basis with the Revolving Facility, the maximum aggregate principal amount that can be incurred without causing the Senior Secured Net Leverage Ratio to exceed 4.50 to 1.00, on a Pro Forma Basis for the most recently ended Test Period; and (c) in the case of any Incremental Facilities or Incremental Equivalent Debt that is unsecured, the Interest Coverage Ratio, after giving effect to the incurrence of such unsecured Incremental Facility or Incremental Equivalent Debt and the use of proceeds thereof, shall not, on a Pro Forma Basis, exceed 2.00 to 1.00 for the most recently ended Test Period. Any ratio calculated for purposes of determining the “Incremental Cap” shall be calculated on a Pro Forma Basis after giving effect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21" w:right="339" w:bottom="1440" w:gutter="0" w:footer="0" w:header="0"/>
        </w:sectPr>
      </w:pPr>
    </w:p>
    <w:bookmarkStart w:id="39" w:name="page40"/>
    <w:bookmarkEnd w:id="39"/>
    <w:p>
      <w:pPr>
        <w:jc w:val="both"/>
        <w:spacing w:after="0" w:line="269" w:lineRule="auto"/>
        <w:rPr>
          <w:sz w:val="20"/>
          <w:szCs w:val="20"/>
          <w:color w:val="auto"/>
        </w:rPr>
      </w:pPr>
      <w:r>
        <w:rPr>
          <w:rFonts w:ascii="Arial" w:cs="Arial" w:eastAsia="Arial" w:hAnsi="Arial"/>
          <w:sz w:val="17"/>
          <w:szCs w:val="17"/>
          <w:color w:val="auto"/>
        </w:rPr>
        <w:t>incurrence of any Incremental Facility or Incremental Equivalent Debt and the use of proceeds thereof (assuming that the full amount of any Incremental Revolving Commitment Increase and Additional/Replacement Revolving Commitments being established at such time is fully drawn and deducting in calculating the numerator of any leverage ratio the cash proceeds thereof, but without giving effect to any simultaneous incurrence of any Incremental Facility or Incremental Equivalent Debt made pursuant to clause (I) above) for the most recent Test Period ended and subject to Section 1.06 to the extent applicable. Loans may be incurred under both clauses (I) and (II), and proceeds from any such incurrence may be utilized in a single transaction by first calculating the incurrence under clause (II) above and then calculating the incurrence under clause (I) above (if any) (and vice versa) (and if both clauses (I) and (II) are available and the Borrower does not make an election, the Borrower will be deemed to have elected clause (II)); provided that any such Indebtedness originally incurred in reliance on clause (I) above shall cease to be deemed outstanding under clause (I) and shall instead be deemed to be outstanding pursuant to clause (II) above from and after the first date on which the Borrower could have incurred the aggregate principal amount of such Indebtedness in reliance on clause (II) above.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has the meaning assigned to such term in Section 6.01(a)(xx).</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has the meaning assigned to such term in Section 2.20(d).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 Increase</w:t>
      </w:r>
      <w:r>
        <w:rPr>
          <w:rFonts w:ascii="Arial" w:cs="Arial" w:eastAsia="Arial" w:hAnsi="Arial"/>
          <w:sz w:val="18"/>
          <w:szCs w:val="18"/>
          <w:color w:val="auto"/>
        </w:rPr>
        <w:t>” has the meaning assigned to such term in Section 2.20(a).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Incurrence Based Amounts</w:t>
      </w:r>
      <w:r>
        <w:rPr>
          <w:rFonts w:ascii="Arial" w:cs="Arial" w:eastAsia="Arial" w:hAnsi="Arial"/>
          <w:sz w:val="18"/>
          <w:szCs w:val="18"/>
          <w:color w:val="auto"/>
        </w:rPr>
        <w:t>” has the meaning assigned to such term in Section 1.07(b).</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(x) trade accounts payable in the ordinary course of business, (y) any earn-out obligation until such obligation becomes a liability on the balance sheet of such Person in accordance with GAAP and if not paid after being due and payable and (z) taxes and other accrued expenses accrued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“Indebtedness” shall not include (i) deferred or prepaid revenue, (ii) purchase price holdbacks in respect of a portion of the purchase price of an asset to satisfy warranty, indemnity or other unperformed obligations of the seller, (iii) any obligations attributable to the exercise of appraisal rights and the settlement of any claims or actions (whether actual, contingent or potential) with respect thereto, (iv) Indebtedness of any Person that is a direct or indirect parent of Holdings appearing on the balance sheet of Holdings or the Borrower, or solely by reason of push down accounting under GAAP, (v) for the avoidance of doubt, any Qualified Equity Interests issued by Holdings or the Borrower and (vi) any earn-out, take-or-pay or similar obligation to the extent such obligation is not shown as a liability on the balance sheet of such Person in accordance with GAAP and is not paid after becoming due and payable.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Holdings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21" w:right="339" w:bottom="1440" w:gutter="0" w:footer="0" w:header="0"/>
        </w:sectPr>
      </w:pPr>
    </w:p>
    <w:bookmarkStart w:id="40" w:name="page41"/>
    <w:bookmarkEnd w:id="40"/>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and Other Taxes, in each case, imposed on or with respect to any payment made by or on account of any obligation of any Loan Party under any First Lien Loan Document.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9.03(b).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assigned to such term in Section 9.12(a).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assigned to such term in the Collateral Agreement.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means, collectively, the First Lien Trademark Security Agreement, the First Lien Patent Security Agreement and the First Lien Copyright Security Agreement, in each case which has the meaning assigned to such term in the First Lien Collateral Agreement.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means the First Lien Pari Passu Intercreditor Agreement and the First/Second Lien Intercreditor Agreement.</w:t>
      </w:r>
    </w:p>
    <w:p>
      <w:pPr>
        <w:spacing w:after="0" w:line="248"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Coverage Ratio</w:t>
      </w:r>
      <w:r>
        <w:rPr>
          <w:rFonts w:ascii="Arial" w:cs="Arial" w:eastAsia="Arial" w:hAnsi="Arial"/>
          <w:sz w:val="17"/>
          <w:szCs w:val="17"/>
          <w:color w:val="auto"/>
        </w:rPr>
        <w:t>” means, as of any date of determination, the ratio, on a Pro Forma Basis, of (a) Consolidated EBITDA for the most recently ended Test Period as of such date to (b) Consolidated Interest Expense for the most recently ended Test Period as of such date.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Election Request</w:t>
      </w:r>
      <w:r>
        <w:rPr>
          <w:rFonts w:ascii="Arial" w:cs="Arial" w:eastAsia="Arial" w:hAnsi="Arial"/>
          <w:sz w:val="17"/>
          <w:szCs w:val="17"/>
          <w:color w:val="auto"/>
        </w:rPr>
        <w:t>” means a request by the Borrower to convert or continue a Revolving Borrowing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2.07.</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(including a Swingline Loan), the last Business Day of each March, June, September and December and (b) with respect to any Eurodollar Loan or RFR Loan, the last Business Day of the Interest Period (or the last RFR Business Day, in the case of an RFR Loan) applicable to the Borrowing of which such Loan is a part and, in the case of a Eurodollar Borrowing or RFR Borrowing with an Interest Period of more than three months’ duration, each day prior to the last day of such Interest Period that occurs at intervals of three months’ duration after the first day of such Interest Period.</w:t>
      </w:r>
    </w:p>
    <w:p>
      <w:pPr>
        <w:spacing w:after="0" w:line="18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any Eurodollar Borrowing or RFR Borrowing, the period commencing on the date such Borrowing is disbursed or converted to or continued as a Eurodollar Borrowing or RFR Borrowing and ending on the date that is one or three months thereafter as selected by the Borrower in its Borrowing Request (or, if consented to by each Lender participating therein, twelve months or such shorter period as the Borrower may elect);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at the end of such Interest Period and (c) no Interest Period shall extend beyond the Revolving Maturity Date. For purposes hereof, the date of a Borrowing initially shall be the date on which such Borrowing is made and thereafter shall be the effective date of the most recent conversion or continuation of such Borrowing.</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Rate</w:t>
      </w:r>
      <w:r>
        <w:rPr>
          <w:rFonts w:ascii="Arial" w:cs="Arial" w:eastAsia="Arial" w:hAnsi="Arial"/>
          <w:sz w:val="17"/>
          <w:szCs w:val="17"/>
          <w:color w:val="auto"/>
        </w:rPr>
        <w:t>” means (a) in relation to the “LIBO Rate” for any Loan, the rate which results from interpolating on a linear basis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between: (i) the rate appearing on Reuters Screen LIBOR01 Page (or on any successor or substitute page of such service) for the longest period (for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rate is available) which is less than the Interest Period and (ii) the rate appearing on Reuters Screen LIBOR01 Page (or on any successor or substitute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page of such service) for the shortest period (for which that rate is available) which exceeds the Interest Period, each as of approximately 11:00 A.M.,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London, England time, two (2) Business Days prior to the commencement of such Interest Period or (b) in relation to “EURIBOR” for any Loan, the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results from interpolating on a linear basis between: (i) the rate appearing on Reuters Page EURIBOR01 (or on any successor or substitute page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service) for the longest period (for which that rate is available) which is less than the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21"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Period and (ii) the rate appearing on Reuters Page EURIBOR01 (or on any successor or substitute page of such service) for the shortest period (for which that rate is available) which exceeds the Interest Period, each as of approximately 11:00 A.M., London, England time, two (2) Business Days prior to the commencement of such Interest Period.</w:t>
      </w:r>
    </w:p>
    <w:p>
      <w:pPr>
        <w:spacing w:after="0" w:line="184"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Holdings and its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(a) any Investment in the form of a loan or an advance shall be the principal amount thereof outstanding on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cash payments actually received by such investor representing interest in respect of such Investment (to the extent any such payment to be deducted does not exceed the remaining principal amount of such Investment and without duplication of amounts increasing the Available Amount),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and without duplication of amounts increasing the Available Amount), but without any other adjustment for increases or decreases in value of, or write-ups, write-downs or write-offs with respect to, such Investment after the date of such Investment, and (d) 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 the cost of all additions thereto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and without duplication of amounts increasing the Available Amount),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pending the final determination of the amounts to be so allocated in accordance with GAAP, such allocation shall be as reasonably determined by a Financial Officer.</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each of (a) Goldman Sachs Bank USA, (b) Barclays Bank PLC, (c) UBS AG, Stamford Branch and (d) each Revolving Lender that shall have become an Issuing Bank hereunder as provided in Section 2.05(k) (other than any Person that shall have ceased to be an Issuing Bank as provided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21" w:right="3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color w:val="auto"/>
        </w:rPr>
        <w:t>2.05(l)),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w:t>
      </w:r>
      <w:r>
        <w:rPr>
          <w:rFonts w:ascii="Arial" w:cs="Arial" w:eastAsia="Arial" w:hAnsi="Arial"/>
          <w:sz w:val="18"/>
          <w:szCs w:val="18"/>
          <w:color w:val="auto"/>
        </w:rPr>
        <w:t>” means each of Goldman Sachs Bank USA, Barclays Bank PLC and UBS Securities LLC, each in their capacity as joint lead arranger and joint bookrunner, and any permitted successors and assigns of the foregoing.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in Section 9.17.</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Financing</w:t>
      </w:r>
      <w:r>
        <w:rPr>
          <w:rFonts w:ascii="Arial" w:cs="Arial" w:eastAsia="Arial" w:hAnsi="Arial"/>
          <w:sz w:val="18"/>
          <w:szCs w:val="18"/>
          <w:color w:val="auto"/>
        </w:rPr>
        <w:t>” means (a) any Indebtedness for borrowed money (other than (i) any permitted intercompany Indebtedness owing to Holdings, the Borrower or any Restricted Subsidiary or any Permitted Unsecured Refinancing Debt or (ii) any Indebtedness in an aggregate principal amount not exceeding $15,000,000) that is subordinated in right of payment to the First Lien Loan Document Obligations, and (b) any Permitted Refinancing in respect of the foregoing.</w:t>
      </w:r>
    </w:p>
    <w:p>
      <w:pPr>
        <w:spacing w:after="0" w:line="187"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Latest Maturity Date</w:t>
      </w:r>
      <w:r>
        <w:rPr>
          <w:rFonts w:ascii="Arial" w:cs="Arial" w:eastAsia="Arial" w:hAnsi="Arial"/>
          <w:sz w:val="16"/>
          <w:szCs w:val="16"/>
          <w:color w:val="auto"/>
        </w:rPr>
        <w:t>” means, at any date of determination, the latest maturity or expiration date applicable to any Loan or Commitment hereunder at such time, including the latest maturity or expiration date of any Other First Lien Term Loan, any Other First Lien Term Commitment, any Other Revolving Loan or any Other Revolving Commitment, in each case as extended in accordance with this Agreement from time to time.</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an honoring of a drawing by an Issuing Bank pursuant to a Letter of Credit.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Exposure</w:t>
      </w:r>
      <w:r>
        <w:rPr>
          <w:rFonts w:ascii="Arial" w:cs="Arial" w:eastAsia="Arial" w:hAnsi="Arial"/>
          <w:sz w:val="17"/>
          <w:szCs w:val="17"/>
          <w:color w:val="auto"/>
        </w:rPr>
        <w:t xml:space="preserve">” means, at any time, the sum of (a) the aggregate amount of all Letters of Credit that remains available for drawing at such time and (b) the aggregate amount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Revaluation Date</w:t>
      </w:r>
      <w:r>
        <w:rPr>
          <w:rFonts w:ascii="Arial" w:cs="Arial" w:eastAsia="Arial" w:hAnsi="Arial"/>
          <w:sz w:val="18"/>
          <w:szCs w:val="18"/>
          <w:color w:val="auto"/>
        </w:rPr>
        <w:t>” means (a) the date of delivery of each request for Revolving Borrowings, (b) the date of issuance, extension or renewal of any Letter of Credit denominated in an Alternative Currency, in each case at the discretion of the First Lien Administrative Agent and/or any Issuing Bank, (c) the date of conversion or continuation of any Revolving Borrowing denominated in an Alternative Currency pursuant to Section 2.02 or (d) such additional dates as the First Lien Administrative Agent may reasonably specify.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Election</w:t>
      </w:r>
      <w:r>
        <w:rPr>
          <w:rFonts w:ascii="Arial" w:cs="Arial" w:eastAsia="Arial" w:hAnsi="Arial"/>
          <w:sz w:val="18"/>
          <w:szCs w:val="18"/>
          <w:color w:val="auto"/>
        </w:rPr>
        <w:t>” has the meaning assigned to such term in Section 1.06.</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LCT Test Date</w:t>
      </w:r>
      <w:r>
        <w:rPr>
          <w:rFonts w:ascii="Arial" w:cs="Arial" w:eastAsia="Arial" w:hAnsi="Arial"/>
          <w:sz w:val="18"/>
          <w:szCs w:val="18"/>
          <w:color w:val="auto"/>
        </w:rPr>
        <w:t>” has the meaning assigned to such term in Section 1.06.</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Persons listed on Schedule 2.01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the Swingline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21" w:right="339" w:bottom="1440" w:gutter="0" w:footer="0" w:header="0"/>
        </w:sectPr>
      </w:pPr>
    </w:p>
    <w:bookmarkStart w:id="43" w:name="page44"/>
    <w:bookmarkEnd w:id="43"/>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or bank guarantee by an Issuing Bank issued pursuant to this Agreement or deemed outstanding under this Agreement other than any such letter of credit or bank guarantee that shall have ceased to be a “Letter of Credit” outstanding hereunder pursuant to Section 9.05.</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has the meaning assigned to such term in Section 2.05(b).</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the lesser of (a) $25,000,000 and (b) the Revolving Commitment. The Letter of Credit Sublimit is part of and not in addition to the aggregate Revolving Commitments.</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Rate</w:t>
      </w:r>
      <w:r>
        <w:rPr>
          <w:rFonts w:ascii="Arial" w:cs="Arial" w:eastAsia="Arial" w:hAnsi="Arial"/>
          <w:sz w:val="17"/>
          <w:szCs w:val="17"/>
          <w:color w:val="auto"/>
        </w:rPr>
        <w:t>” means, for any Interest Period with respect to a Eurodollar Borrowing denominated in Dollars or any Alternative Currency (other than Canadian Dollars and Euros), the rate per annum equal to (i) the ICE Benchmark Administration LIBOR Rate or the successor thereto if the ICE Benchmark Administration (“</w:t>
      </w:r>
      <w:r>
        <w:rPr>
          <w:rFonts w:ascii="Arial" w:cs="Arial" w:eastAsia="Arial" w:hAnsi="Arial"/>
          <w:sz w:val="17"/>
          <w:szCs w:val="17"/>
          <w:u w:val="single" w:color="auto"/>
          <w:color w:val="auto"/>
        </w:rPr>
        <w:t>LIBOR</w:t>
      </w:r>
      <w:r>
        <w:rPr>
          <w:rFonts w:ascii="Arial" w:cs="Arial" w:eastAsia="Arial" w:hAnsi="Arial"/>
          <w:sz w:val="17"/>
          <w:szCs w:val="17"/>
          <w:color w:val="auto"/>
        </w:rPr>
        <w:t>”) is no longer making a LIBOR rate available, as published by Reuters (or such other commercially available source providing quotations of ICE LIBOR as may be designated by the First Lien Administrative Agent from time to time) at approximately 11:00 a.m., London time, two (2) London Banking Days prior to the commencement of such Interest Period, for deposits in the relevant currency (for delivery on the first day of such Interest Period) with a term equivalent to such Interest Period or (ii) if such published rate is not available at such time for any reason, then the “LIBO Rate” for such Interest Period shall be the Interpolated Rate.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specified in the definition of LIBO Rate.</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6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Transaction</w:t>
      </w:r>
      <w:r>
        <w:rPr>
          <w:rFonts w:ascii="Arial" w:cs="Arial" w:eastAsia="Arial" w:hAnsi="Arial"/>
          <w:sz w:val="18"/>
          <w:szCs w:val="18"/>
          <w:color w:val="auto"/>
        </w:rPr>
        <w:t>” means (a) any Permitted Acquisition (including by way of merger or amalgamation), Investment or irrevocably declared Restricted Payment by the Borrower or any Restricted Subsidiary permitted pursuant to this Agreement whose consummation is not conditioned upon the availability of, or on obtaining, third party financing (or, if such a condition does exist, the Borrower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Guarantors</w:t>
      </w:r>
      <w:r>
        <w:rPr>
          <w:rFonts w:ascii="Arial" w:cs="Arial" w:eastAsia="Arial" w:hAnsi="Arial"/>
          <w:sz w:val="18"/>
          <w:szCs w:val="18"/>
          <w:color w:val="auto"/>
        </w:rPr>
        <w:t>” means Holdings and the Subsidiary Loan Parties.</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Modification Agreement</w:t>
      </w:r>
      <w:r>
        <w:rPr>
          <w:rFonts w:ascii="Arial" w:cs="Arial" w:eastAsia="Arial" w:hAnsi="Arial"/>
          <w:sz w:val="17"/>
          <w:szCs w:val="17"/>
          <w:color w:val="auto"/>
        </w:rPr>
        <w:t>” means a Loan Modification Agreement, in form reasonably satisfactory to the First Lien Administrative Agent, among the Borrower, the First Lien Administrative Agent and one or more Accepting Lenders, effecting one or more Permitted Amendments and such other amendments hereto and to the other First Lien Loan Documents as are contemplated by Section 2.24.</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has the meaning specified in Section 2.24(a).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Holdings, the Borrower and the Subsidiary Loan Parties.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in Interest</w:t>
      </w:r>
      <w:r>
        <w:rPr>
          <w:rFonts w:ascii="Arial" w:cs="Arial" w:eastAsia="Arial" w:hAnsi="Arial"/>
          <w:sz w:val="18"/>
          <w:szCs w:val="18"/>
          <w:color w:val="auto"/>
        </w:rPr>
        <w:t>”, when used in reference to Lenders of any Class, means, at any time, Lenders having Revolving Exposures and unused Revolving Commitments representing more than 50% of the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21" w:right="339" w:bottom="1440" w:gutter="0" w:footer="0" w:header="0"/>
        </w:sectPr>
      </w:pPr>
    </w:p>
    <w:bookmarkStart w:id="44" w:name="page45"/>
    <w:bookmarkEnd w:id="44"/>
    <w:p>
      <w:pPr>
        <w:jc w:val="both"/>
        <w:spacing w:after="0" w:line="263" w:lineRule="auto"/>
        <w:rPr>
          <w:sz w:val="20"/>
          <w:szCs w:val="20"/>
          <w:color w:val="auto"/>
        </w:rPr>
      </w:pPr>
      <w:r>
        <w:rPr>
          <w:rFonts w:ascii="Arial" w:cs="Arial" w:eastAsia="Arial" w:hAnsi="Arial"/>
          <w:sz w:val="18"/>
          <w:szCs w:val="18"/>
          <w:color w:val="auto"/>
        </w:rPr>
        <w:t xml:space="preserve">of the aggregate Revolving Exposures and the unused aggregate Revolving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whenever there are one or more Defaulting Lenders, the total outstanding Revolving Exposures of, and the unused Revolving Commitments of, each Defaulting Lender shall be excluded for purposes of making a determination of the Majority in Interest.</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Capitalization</w:t>
      </w:r>
      <w:r>
        <w:rPr>
          <w:rFonts w:ascii="Arial" w:cs="Arial" w:eastAsia="Arial" w:hAnsi="Arial"/>
          <w:sz w:val="18"/>
          <w:szCs w:val="18"/>
          <w:color w:val="auto"/>
        </w:rPr>
        <w:t>” means, at any date of determination, the amount, determined by the Borrower in good faith, equal to (a) the total number of issued and outstanding shares of common Equity Interests of the Holdings multiplied by (b) the arithmetic mean of the closing prices per share of such common Equity Interests on the principal securities exchange on which such common Equity Interests is traded for the 30 consecutive trading days immediately preceding such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Agreement</w:t>
      </w:r>
      <w:r>
        <w:rPr>
          <w:rFonts w:ascii="Arial" w:cs="Arial" w:eastAsia="Arial" w:hAnsi="Arial"/>
          <w:sz w:val="18"/>
          <w:szCs w:val="18"/>
          <w:color w:val="auto"/>
        </w:rPr>
        <w:t>” has the meaning assigned to such term in the definition of “Swap Agreement.”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circumstance or condition affecting the business, financial condition, or results of operations of Holdings, the Borrower and their respective Subsidiaries, taken as a whole, that would reasonably be expected to have a materially adverse effect on (a) the ability of the Borrower and the other Loan Parties, taken as a whole, to perform their payment obligations under the First Lien Loan Documents or (b) the rights and remedies of the First Lien Administrative Agent, the First Lien Collateral Agent, the Issuing Banks and the Lenders under the First Lien Loan Documents.</w:t>
      </w:r>
    </w:p>
    <w:p>
      <w:pPr>
        <w:spacing w:after="0" w:line="18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means Indebtedness for borrowed money (other than the First Lien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its Restricted Subsidiaries in an aggregate principal amount exceeding $25,000,000. For purposes of determining Material Indebtedness, the “principal amount” of the obligations in respect of any Swap Agreement at any time shall be the maximum aggregate amount (giving effect to any netting agreements) that the Borrower or such Restricted Subsidiary would be required to pay if such Swap Agreement were terminated at such time.</w:t>
      </w:r>
    </w:p>
    <w:p>
      <w:pPr>
        <w:spacing w:after="0" w:line="178"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Non-Public Information</w:t>
      </w:r>
      <w:r>
        <w:rPr>
          <w:rFonts w:ascii="Arial" w:cs="Arial" w:eastAsia="Arial" w:hAnsi="Arial"/>
          <w:sz w:val="17"/>
          <w:szCs w:val="17"/>
          <w:color w:val="auto"/>
        </w:rPr>
        <w:t>” means (a) if Holdings is a public reporting company, material non-public information with respect to Holdings, the Borrower or its Subsidiaries, or the respective securities of any of the foregoing, and (b) if Holdings is not a public reporting company, information that is (i) of a type that would not be publicly available if Holdings was a public reporting company or (ii) material with respect to Holdings or its Subsidiaries or any of their respective securities for purposes of United States Federal and state and applicable foreign securities laws.</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means (i) to the extent a reasonably recent appraisal or other third-party valuation is available for the relevant real property, any real property with a Fair Market Value, on the basis of such appraisal, greater than or equal to $15,000,000, and (ii) if no such appraisal or other third-party valuation is available, any real property in respect of which the lower of (i) the book value and (ii) the Fair Market Value, as reasonably determined by the Borrower in good faith, is greater than or equal to $15,000,000; provided that none of the real property owned by Holdings or its Subsidiaries on the Effective Date shall be deemed a Material Real Property.</w:t>
      </w:r>
    </w:p>
    <w:p>
      <w:pPr>
        <w:spacing w:after="0" w:line="188"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xml:space="preserve">” means each Wholly Owned Restricted Subsidiary that, as of the last day of the fiscal quarter of Holdings’ most recently ended, had net revenues or total assets for such quarter in excess of 2.5% of the consolidated net revenues or total assets, as applicable, of Holdings and its Restricted Subsidiaries for such quarter;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Immaterial Subsidiaries that are not Excluded Subsidiaries (other than Excluded Subsidiaries solely pursuant to clause (d) of the definition thereof), taken together, had as of the last day of the fiscal quarter of Holdings’ most recently ended net revenues or total assets in excess of 10.0 % of the consolidated revenues or total assets, as applicable, of Holdings and its Restricted Subsidiaries for such quarter, the Borrower shall designate in writing one or more Immaterial Subsidiaries to be a Material Subsidiary as may be necessary such that the foregoing 10.0% limit shall not be exceeded, and any such Subsidiary shall thereafter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21" w:right="339" w:bottom="1440" w:gutter="0" w:footer="0" w:header="0"/>
        </w:sectPr>
      </w:pPr>
    </w:p>
    <w:bookmarkStart w:id="45" w:name="page46"/>
    <w:bookmarkEnd w:id="45"/>
    <w:p>
      <w:pPr>
        <w:jc w:val="both"/>
        <w:spacing w:after="0" w:line="286" w:lineRule="auto"/>
        <w:rPr>
          <w:sz w:val="20"/>
          <w:szCs w:val="20"/>
          <w:color w:val="auto"/>
        </w:rPr>
      </w:pPr>
      <w:r>
        <w:rPr>
          <w:rFonts w:ascii="Arial" w:cs="Arial" w:eastAsia="Arial" w:hAnsi="Arial"/>
          <w:sz w:val="17"/>
          <w:szCs w:val="17"/>
          <w:color w:val="auto"/>
        </w:rPr>
        <w:t xml:space="preserve">deemed to be an Material Subsidiary hereunder;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the Borrower may re-designate Material Subsidiaries as Immaterial Subsidiaries so long as the Borrower is in compliance with the foregoing and (b) for purposes of Sections 7.01(h) and (i), the calculation shall be based on all Immaterial Subsidiaries (without regarding to whether or not such Immaterial Subsidiaries are characterized as Excluded Subsidiaries).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9.16.</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a mortgage, charge, deed of trust, assignment of leases and rents or other security document granting a Lien on any Mortgaged Property in favor of the First Lien Collateral Agent for the benefit of the Secured Parties to secure the Secured Obligations, as the same may be amended, amended and restated, supplemented or otherwise modified from time to time. Each Mortgage shall be in form and substance reasonably satisfactory to the First Lien Administrative Agent and the Borrower.</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means each parcel of Material Real Property with respect to which a Mortgage is granted pursuant to the Collateral and Guarantee Requirement, Section 5.11, Section 5.12 or Section 5.14 (if 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xml:space="preserve">”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without duplication, the sum of (i) all fees and out-of-pocket expenses paid by Holdings, the Borrower and any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the Borrower and its Restricted Subsidiaries as a result of such event to repay Indebtedness (other than the Loans)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the Borrower or its Restricted Subsidiaries as a result thereof and (z) the amount of any liabilities directly associated with such asset and retained by Holdings, the Borrower or any Restricted Subsidiary and (iii) the amount of all taxes paid (or reasonably estimated to be payable), the amount of dividends and other restricted payments that Holdings, the Borrower and/or its Restricted Subsidiaries may make pursuant to Section 6.07(a)(vii)</w:t>
      </w:r>
    </w:p>
    <w:p>
      <w:pPr>
        <w:jc w:val="both"/>
        <w:ind w:firstLine="8"/>
        <w:spacing w:after="0" w:line="253" w:lineRule="auto"/>
        <w:tabs>
          <w:tab w:leader="none" w:pos="327"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or (B) as a result of such event, and the amount of any reserves established by Holdings, the Borrower and its Restricted Subsidiaries to fund contingent liabilities reasonably estimated to be payable, that are directly attributable to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reduction at any time in the amount of any such reserves (other than as a result of payments made in respect thereof) shall be deemed to constitute the receipt by the Borrower at such time of Net Proceeds in the amount of such reduction.</w:t>
      </w:r>
    </w:p>
    <w:p>
      <w:pPr>
        <w:spacing w:after="0" w:line="19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Project</w:t>
      </w:r>
      <w:r>
        <w:rPr>
          <w:rFonts w:ascii="Arial" w:cs="Arial" w:eastAsia="Arial" w:hAnsi="Arial"/>
          <w:sz w:val="18"/>
          <w:szCs w:val="18"/>
          <w:color w:val="auto"/>
        </w:rPr>
        <w:t>” means (a) each facility which is either a new facility, branch or office or an expansion, relocation, remodeling or substantial modernization of an existing facility, branch or office owned by the Borrower or its Subsidiaries which in fact commences operations and (b) each creation (in one or a series of related transactions) of a business unit to the extent such business unit commences operations or each expansion (in one or a series of related transactions) of business into a new market.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Non-Accepting Lender</w:t>
      </w:r>
      <w:r>
        <w:rPr>
          <w:rFonts w:ascii="Arial" w:cs="Arial" w:eastAsia="Arial" w:hAnsi="Arial"/>
          <w:sz w:val="18"/>
          <w:szCs w:val="18"/>
          <w:color w:val="auto"/>
        </w:rPr>
        <w:t>” has the meaning assigned to such term in Section 2.24(c).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21" w:right="339" w:bottom="1440" w:gutter="0" w:footer="0" w:header="0"/>
        </w:sectPr>
      </w:pPr>
    </w:p>
    <w:bookmarkStart w:id="46" w:name="page47"/>
    <w:bookmarkEnd w:id="46"/>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Charges</w:t>
      </w:r>
      <w:r>
        <w:rPr>
          <w:rFonts w:ascii="Arial" w:cs="Arial" w:eastAsia="Arial" w:hAnsi="Arial"/>
          <w:sz w:val="18"/>
          <w:szCs w:val="18"/>
          <w:color w:val="auto"/>
        </w:rPr>
        <w:t>” means (a) any impairment charge or asset write-off or write-down related to intangible assets (including goodwill), long-lived assets, and Investments in debt and equity securities pursuant to GAAP, (b) all losses from Investments recorded using the equity method, (c) all Non-Cash Compensation Expenses, (d) the non-cash impact of acquisition method accounting, (e) depreciation and amortization (including, without limitation, as they relate to acquisition accounting, amortization of deferred financing fees or costs, Capitalized Software Expenditures and amortization of unrecognized prior service costs and actuarial gains and losses related to pension and other post-employment benefits) and (f) other non-cash charges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1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Non-Cash Compensation Expense</w:t>
      </w:r>
      <w:r>
        <w:rPr>
          <w:rFonts w:ascii="Arial" w:cs="Arial" w:eastAsia="Arial" w:hAnsi="Arial"/>
          <w:sz w:val="18"/>
          <w:szCs w:val="18"/>
          <w:color w:val="auto"/>
        </w:rPr>
        <w:t>” means any non-cash expenses and costs that result from the issuance of stock-based awards, partnership interest-based awards and similar incentive based compensation awards or arrangements.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Non-Wholly Owned Subsidiary</w:t>
      </w:r>
      <w:r>
        <w:rPr>
          <w:rFonts w:ascii="Arial" w:cs="Arial" w:eastAsia="Arial" w:hAnsi="Arial"/>
          <w:sz w:val="18"/>
          <w:szCs w:val="18"/>
          <w:color w:val="auto"/>
        </w:rPr>
        <w:t>” of any Person means any subsidiary of such Person other than a Wholly Owned Subsidiary.</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 Otherwise Applied</w:t>
      </w:r>
      <w:r>
        <w:rPr>
          <w:rFonts w:ascii="Arial" w:cs="Arial" w:eastAsia="Arial" w:hAnsi="Arial"/>
          <w:sz w:val="18"/>
          <w:szCs w:val="18"/>
          <w:color w:val="auto"/>
        </w:rPr>
        <w:t>” means, with reference to the Available Amount that such amount was not previously applied pursuant to Sections 6.04(m), 6.07(a)(viii) and 6.07(b)(iv).</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promissory note of the Borrower, in substantially the form of Exhibit O, payable to a Lender in a principal amount equal to the principal amount of the Revolving Commitment or Term Loans, as applicable, of such Lender.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U.S. Department of the Treasury.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any Person, the charter, articles or certificate of organization or incorporation and bylaws or other organizational or governing documents of such Person.</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First Lien Term Commitments</w:t>
      </w:r>
      <w:r>
        <w:rPr>
          <w:rFonts w:ascii="Arial" w:cs="Arial" w:eastAsia="Arial" w:hAnsi="Arial"/>
          <w:sz w:val="18"/>
          <w:szCs w:val="18"/>
          <w:color w:val="auto"/>
        </w:rPr>
        <w:t>” means one or more Classes of term loan commitments hereunder that result from a Refinancing Amendment or a Loan Modification Agreement.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First Lien Term Loans</w:t>
      </w:r>
      <w:r>
        <w:rPr>
          <w:rFonts w:ascii="Arial" w:cs="Arial" w:eastAsia="Arial" w:hAnsi="Arial"/>
          <w:sz w:val="18"/>
          <w:szCs w:val="18"/>
          <w:color w:val="auto"/>
        </w:rPr>
        <w:t>” means one or more Classes of Term Loans that result from a Refinancing Amendment or a Loan Modification Agreement.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Commitments</w:t>
      </w:r>
      <w:r>
        <w:rPr>
          <w:rFonts w:ascii="Arial" w:cs="Arial" w:eastAsia="Arial" w:hAnsi="Arial"/>
          <w:sz w:val="18"/>
          <w:szCs w:val="18"/>
          <w:color w:val="auto"/>
        </w:rPr>
        <w:t>” means one or more Classes of Revolving Commitments hereunder or extended Revolving Commitments that result from a Refinancing Amendment or a Loan Modification Agreement.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Revolving Loans</w:t>
      </w:r>
      <w:r>
        <w:rPr>
          <w:rFonts w:ascii="Arial" w:cs="Arial" w:eastAsia="Arial" w:hAnsi="Arial"/>
          <w:sz w:val="18"/>
          <w:szCs w:val="18"/>
          <w:color w:val="auto"/>
        </w:rPr>
        <w:t>” means one or more classes of Revolving Loans made pursuant to any Other Revolving Commitment or a Loan Modification Agreement.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and all present or future recording, stamp, documentary, excise, transfer, or similar Taxes, charges or levies arising from any payment made under any First Lien Loan Document or from the execution, delivery or enforcement of, or otherwise with respect to, any First Lien Loan Document except any such Taxes that are Other Connection Taxes imposed with respect to an assignment (except in the case of an assignment pursuant to a request by the Borrower under Section 2.19).</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9.04(c)(ii).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21" w:right="339" w:bottom="1440" w:gutter="0" w:footer="0" w:header="0"/>
        </w:sectPr>
      </w:pPr>
    </w:p>
    <w:bookmarkStart w:id="47" w:name="page48"/>
    <w:bookmarkEnd w:id="4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w:t>
      </w:r>
      <w:r>
        <w:rPr>
          <w:rFonts w:ascii="Arial" w:cs="Arial" w:eastAsia="Arial" w:hAnsi="Arial"/>
          <w:sz w:val="18"/>
          <w:szCs w:val="18"/>
          <w:color w:val="auto"/>
        </w:rPr>
        <w:t>” has the meaning assigned to such term in the First Lien Collateral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Uniting and Strengthening America by Providing Appropriate Tools Required to Intercept and Obstruct Terrorism Act of 2001, Pub. L. 107-56, signed into law October 26, 2001, as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has the meaning specified in Section 9.22(a).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has the meaning specified in Section 9.22(b).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means a certificate substantially in the form of Exhibit C.</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the purchase or other acquisition, by merger, amalgamation, consolidation or otherwise, by Holdings or any Subsidiary of any Equity Interests in, or all or substantially all the assets of (or all or substantially all the assets constituting a business unit, division, product line or line of business of), any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any purchase or other acquisition of Equity Interests in a Person, (i) such Person, upon the consummation of such purchase or acquisition, will be a Subsidiary (including as a result of a merger, amalgamation or consolidation between any Subsidiary and such Person), or (ii) such Person is merged or amalgamated into or consolidated with a Subsidiary and such Subsidiary is the surviving entity of such merger, amalgamation or consolidation, (b) the business of such Person, or such assets, as the case may be, constitute a business permitted by Section 5.17, (c) with respect to each such purchase or other acquisition, all actions required to be taken with respect to such newly created or acquired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after the consummation of the Permitted Acquisition shall have been made that are reasonably satisfactory to the First Lien Administrative Agent) (unless such newly created or acquired Subsidiary is designated as an Unrestricted Subsidiary pursuant to Section 5.13 or is otherwise an Excluded Subsidiary) and (d) subject to Section 1.06, after giving Pro Forma Effect to any such purchase or other acquisition, no Event of Default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21" w:right="339" w:bottom="1440" w:gutter="0" w:footer="0" w:header="0"/>
        </w:sectPr>
      </w:pPr>
    </w:p>
    <w:bookmarkStart w:id="48" w:name="page49"/>
    <w:bookmarkEnd w:id="48"/>
    <w:p>
      <w:pPr>
        <w:jc w:val="both"/>
        <w:ind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Amendment</w:t>
      </w:r>
      <w:r>
        <w:rPr>
          <w:rFonts w:ascii="Arial" w:cs="Arial" w:eastAsia="Arial" w:hAnsi="Arial"/>
          <w:sz w:val="17"/>
          <w:szCs w:val="17"/>
          <w:color w:val="auto"/>
        </w:rPr>
        <w:t>” means an amendment to this Agreement and, if applicable the other First Lien Loan Documents, effected in connection with a Loan Modification Offer pursuant to Section 2.24,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First Lien Administrative Agent or any of the Lenders if such covenant, event of default, guarantee or other provision is either (i) also added or modified for the benefit of any corresponding Loans remaining outstanding after the issuance or incurrence of such Loans and/or Commitments, (ii) with respect to any “springing” financial maintenance covenant or other covenant that is (x) more restrictive on Holdings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the time of such Loan Modification Offer).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jc w:val="both"/>
        <w:ind w:left="660" w:firstLine="644"/>
        <w:spacing w:after="0" w:line="257" w:lineRule="auto"/>
        <w:tabs>
          <w:tab w:leader="none" w:pos="17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that are (i) not overdue for a period of the greater of (x) 30 days and (y) any applicable grace period related thereto or otherwise not at such time required to be paid pursuant to Section 5.05 or (ii) being contested in good faith and by appropriate proceedings diligently conducted, if adequate reserves with respect thereto are maintained on the books of the applicable Person in accordance with GAAP (or other applicable accounting principles) or failure to do so could not reasonably result in a Material Adverse Effect;</w:t>
      </w:r>
    </w:p>
    <w:p>
      <w:pPr>
        <w:spacing w:after="0" w:line="187" w:lineRule="exact"/>
        <w:rPr>
          <w:rFonts w:ascii="Arial" w:cs="Arial" w:eastAsia="Arial" w:hAnsi="Arial"/>
          <w:sz w:val="18"/>
          <w:szCs w:val="18"/>
          <w:color w:val="auto"/>
        </w:rPr>
      </w:pPr>
    </w:p>
    <w:p>
      <w:pPr>
        <w:jc w:val="both"/>
        <w:ind w:left="660" w:firstLine="644"/>
        <w:spacing w:after="0" w:line="255" w:lineRule="auto"/>
        <w:tabs>
          <w:tab w:leader="none" w:pos="17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with respect to outstanding motor vehicle fines and Liens arising or imposed by law, such as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spacing w:after="0" w:line="192" w:lineRule="exact"/>
        <w:rPr>
          <w:rFonts w:ascii="Arial" w:cs="Arial" w:eastAsia="Arial" w:hAnsi="Arial"/>
          <w:sz w:val="18"/>
          <w:szCs w:val="18"/>
          <w:color w:val="auto"/>
        </w:rPr>
      </w:pPr>
    </w:p>
    <w:p>
      <w:pPr>
        <w:jc w:val="both"/>
        <w:ind w:left="660" w:firstLine="644"/>
        <w:spacing w:after="0" w:line="275" w:lineRule="auto"/>
        <w:tabs>
          <w:tab w:leader="none" w:pos="1739"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Liens incurred or deposits made in the ordinary course of business (i) in connection with workers’ compensation, unemployment insurance, social security, retirement and other similar legislation or (ii) securing liability for reimbursement or indemnification obligations of (including obligations in respect of letters of credit or bank guarantees or similar instrument for the benefit of) insurance carriers providing property, casualty or liability insurance to Holdings, the Borrower or any Restricted Subsidiary or otherwise supporting the payment of items set forth in the foregoing clause (i), whether pursuant to statutory requirements, common law or consensual arrangements;</w:t>
      </w:r>
    </w:p>
    <w:p>
      <w:pPr>
        <w:spacing w:after="0" w:line="176" w:lineRule="exact"/>
        <w:rPr>
          <w:rFonts w:ascii="Arial" w:cs="Arial" w:eastAsia="Arial" w:hAnsi="Arial"/>
          <w:sz w:val="17"/>
          <w:szCs w:val="17"/>
          <w:color w:val="auto"/>
        </w:rPr>
      </w:pPr>
    </w:p>
    <w:p>
      <w:pPr>
        <w:jc w:val="both"/>
        <w:ind w:left="660" w:firstLine="644"/>
        <w:spacing w:after="0" w:line="275" w:lineRule="auto"/>
        <w:tabs>
          <w:tab w:leader="none" w:pos="1767"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Liens incurred or deposits made to secure the performance of bids, trade contracts, governmental contracts and leases, statutory obligations, surety, stay, customs and appeal bonds, return-of-money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whether pursuant to statutory requirements, common law or consensual arrangements;</w:t>
      </w:r>
    </w:p>
    <w:p>
      <w:pPr>
        <w:spacing w:after="0" w:line="176" w:lineRule="exact"/>
        <w:rPr>
          <w:rFonts w:ascii="Arial" w:cs="Arial" w:eastAsia="Arial" w:hAnsi="Arial"/>
          <w:sz w:val="17"/>
          <w:szCs w:val="17"/>
          <w:color w:val="auto"/>
        </w:rPr>
      </w:pPr>
    </w:p>
    <w:p>
      <w:pPr>
        <w:ind w:left="660" w:firstLine="644"/>
        <w:spacing w:after="0" w:line="277" w:lineRule="auto"/>
        <w:tabs>
          <w:tab w:leader="none" w:pos="18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minor survey exceptions, minor encumbrances, covenants, conditions, easements, rights-of-way, restrictions, encroachments, protrusions, by-law, regulation or zoning restrictions, reservations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21" w:right="3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8"/>
          <w:szCs w:val="18"/>
          <w:color w:val="auto"/>
        </w:rPr>
        <w:t>or rights of others for sewers, electric lines, telegraph and telephone lines and other similar purposes and other similar encumbrances and minor title defects or irregularities affecting real property, that, in the aggregate, do not materially interfere with the ordinary conduct of the business of Holdings and its Restricted Subsidiaries, taken as a whole, or which are set forth in the title insurance policy delivered with respect to the Mortgaged Property and are “insured over” in such insurance policy;</w:t>
      </w:r>
    </w:p>
    <w:p>
      <w:pPr>
        <w:spacing w:after="0" w:line="187" w:lineRule="exact"/>
        <w:rPr>
          <w:sz w:val="20"/>
          <w:szCs w:val="20"/>
          <w:color w:val="auto"/>
        </w:rPr>
      </w:pPr>
    </w:p>
    <w:p>
      <w:pPr>
        <w:ind w:left="1000" w:hanging="35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securing, or otherwise arising from, judgments not constituting an Event of Default under Section 7.01(j);</w:t>
      </w:r>
    </w:p>
    <w:p>
      <w:pPr>
        <w:spacing w:after="0" w:line="225" w:lineRule="exact"/>
        <w:rPr>
          <w:rFonts w:ascii="Arial" w:cs="Arial" w:eastAsia="Arial" w:hAnsi="Arial"/>
          <w:sz w:val="18"/>
          <w:szCs w:val="18"/>
          <w:color w:val="auto"/>
        </w:rPr>
      </w:pPr>
    </w:p>
    <w:p>
      <w:pPr>
        <w:jc w:val="both"/>
        <w:ind w:firstLine="644"/>
        <w:spacing w:after="0" w:line="301" w:lineRule="auto"/>
        <w:tabs>
          <w:tab w:leader="none" w:pos="10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Liens on goods the purchase price of which is financed by a documentary letter of credit issued for the account of Holdings or any of its Subsidiaries or Liens on bills of lading, drafts or other documents of title arising by operation of law or pursuant to the standard terms of agreements relating to letters of credit, bank guarantees and other similar instruments;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 secures only the obligations of Holdings, the Borrower or such Subsidiaries in respect of such letter of credit to the extent such obligations are permitted by Section 6.01;</w:t>
      </w:r>
    </w:p>
    <w:p>
      <w:pPr>
        <w:spacing w:after="0" w:line="157" w:lineRule="exact"/>
        <w:rPr>
          <w:rFonts w:ascii="Arial" w:cs="Arial" w:eastAsia="Arial" w:hAnsi="Arial"/>
          <w:sz w:val="16"/>
          <w:szCs w:val="16"/>
          <w:color w:val="auto"/>
        </w:rPr>
      </w:pPr>
    </w:p>
    <w:p>
      <w:pPr>
        <w:ind w:firstLine="644"/>
        <w:spacing w:after="0" w:line="277" w:lineRule="auto"/>
        <w:tabs>
          <w:tab w:leader="none" w:pos="10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arising from precautionary Uniform Commercial Code financing statements or similar filings made in respect of operating leases entered into by Holdings, the Borrower or any of its Subsidiaries;</w:t>
      </w:r>
    </w:p>
    <w:p>
      <w:pPr>
        <w:spacing w:after="0" w:line="170" w:lineRule="exact"/>
        <w:rPr>
          <w:rFonts w:ascii="Arial" w:cs="Arial" w:eastAsia="Arial" w:hAnsi="Arial"/>
          <w:sz w:val="18"/>
          <w:szCs w:val="18"/>
          <w:color w:val="auto"/>
        </w:rPr>
      </w:pPr>
    </w:p>
    <w:p>
      <w:pPr>
        <w:ind w:firstLine="644"/>
        <w:spacing w:after="0" w:line="277" w:lineRule="auto"/>
        <w:tabs>
          <w:tab w:leader="none" w:pos="10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rights of recapture of unused real property (other than any Mortgaged Property) in favor of the seller of such property set forth in customary purchase agreements and related arrangements with any Governmental Authority;</w:t>
      </w:r>
    </w:p>
    <w:p>
      <w:pPr>
        <w:spacing w:after="0" w:line="170" w:lineRule="exact"/>
        <w:rPr>
          <w:rFonts w:ascii="Arial" w:cs="Arial" w:eastAsia="Arial" w:hAnsi="Arial"/>
          <w:sz w:val="18"/>
          <w:szCs w:val="18"/>
          <w:color w:val="auto"/>
        </w:rPr>
      </w:pPr>
    </w:p>
    <w:p>
      <w:pPr>
        <w:ind w:firstLine="644"/>
        <w:spacing w:after="0" w:line="277" w:lineRule="auto"/>
        <w:tabs>
          <w:tab w:leader="none" w:pos="11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in favor of deposit banks or securities intermediaries securing customary fees, expenses or charges in connection with the establishment, operation or maintenance of deposit accounts or securities accounts;</w:t>
      </w:r>
    </w:p>
    <w:p>
      <w:pPr>
        <w:spacing w:after="0" w:line="170" w:lineRule="exact"/>
        <w:rPr>
          <w:rFonts w:ascii="Arial" w:cs="Arial" w:eastAsia="Arial" w:hAnsi="Arial"/>
          <w:sz w:val="18"/>
          <w:szCs w:val="18"/>
          <w:color w:val="auto"/>
        </w:rPr>
      </w:pPr>
    </w:p>
    <w:p>
      <w:pPr>
        <w:jc w:val="both"/>
        <w:ind w:firstLine="644"/>
        <w:spacing w:after="0" w:line="311" w:lineRule="auto"/>
        <w:tabs>
          <w:tab w:leader="none" w:pos="1079"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Liens in favor of obligations in respect of performance, bid, appeal and surety bonds and performance and completion guarantees and similar obligations provided by Holdings, the Borrower or any of the Restricted Subsidiaries or obligations in respect of letters of credit, bank guarantees or similar instruments related thereto, in each case in the ordinary course of business or consistent with past practice;</w:t>
      </w:r>
    </w:p>
    <w:p>
      <w:pPr>
        <w:spacing w:after="0" w:line="148" w:lineRule="exact"/>
        <w:rPr>
          <w:rFonts w:ascii="Arial" w:cs="Arial" w:eastAsia="Arial" w:hAnsi="Arial"/>
          <w:sz w:val="16"/>
          <w:szCs w:val="16"/>
          <w:color w:val="auto"/>
        </w:rPr>
      </w:pPr>
    </w:p>
    <w:p>
      <w:pPr>
        <w:ind w:left="1000" w:hanging="356"/>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Liens arising from grants of non-exclusive licenses or sublicenses of Intellectual Property made in the ordinary course of business;</w:t>
      </w:r>
    </w:p>
    <w:p>
      <w:pPr>
        <w:spacing w:after="0" w:line="248" w:lineRule="exact"/>
        <w:rPr>
          <w:rFonts w:ascii="Arial" w:cs="Arial" w:eastAsia="Arial" w:hAnsi="Arial"/>
          <w:sz w:val="16"/>
          <w:szCs w:val="16"/>
          <w:color w:val="auto"/>
        </w:rPr>
      </w:pPr>
    </w:p>
    <w:p>
      <w:pPr>
        <w:jc w:val="both"/>
        <w:ind w:firstLine="644"/>
        <w:spacing w:after="0" w:line="286" w:lineRule="auto"/>
        <w:tabs>
          <w:tab w:leader="none" w:pos="1129" w:val="left"/>
        </w:tabs>
        <w:numPr>
          <w:ilvl w:val="0"/>
          <w:numId w:val="30"/>
        </w:numPr>
        <w:rPr>
          <w:rFonts w:ascii="Arial" w:cs="Arial" w:eastAsia="Arial" w:hAnsi="Arial"/>
          <w:sz w:val="17"/>
          <w:szCs w:val="17"/>
          <w:color w:val="auto"/>
        </w:rPr>
      </w:pPr>
      <w:r>
        <w:rPr>
          <w:rFonts w:ascii="Arial" w:cs="Arial" w:eastAsia="Arial" w:hAnsi="Arial"/>
          <w:sz w:val="17"/>
          <w:szCs w:val="17"/>
          <w:color w:val="auto"/>
        </w:rPr>
        <w:t>rights of setoff, banker’s lien, netting agreements and other Liens arising by operation of law or by of the terms of documents of banks or other financial institutions in relation to the maintenance of administration of deposit accounts, securities accounts, cash management arrangements or in connection with the issuance of letters of credit, bank guarantees or other similar instruments;</w:t>
      </w:r>
    </w:p>
    <w:p>
      <w:pPr>
        <w:spacing w:after="0" w:line="165" w:lineRule="exact"/>
        <w:rPr>
          <w:rFonts w:ascii="Arial" w:cs="Arial" w:eastAsia="Arial" w:hAnsi="Arial"/>
          <w:sz w:val="17"/>
          <w:szCs w:val="17"/>
          <w:color w:val="auto"/>
        </w:rPr>
      </w:pPr>
    </w:p>
    <w:p>
      <w:pPr>
        <w:ind w:right="20" w:firstLine="644"/>
        <w:spacing w:after="0" w:line="342" w:lineRule="auto"/>
        <w:tabs>
          <w:tab w:leader="none" w:pos="11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Liens arising from the right of distress enjoyed by landlords or Liens otherwise granted to landlords, in either case, to secure the payment of arrears of rent or performance of other tenant obligations in respect of leased properties, so long as such Liens are not exercised;</w:t>
      </w:r>
    </w:p>
    <w:p>
      <w:pPr>
        <w:spacing w:after="0" w:line="150" w:lineRule="exact"/>
        <w:rPr>
          <w:rFonts w:ascii="Arial" w:cs="Arial" w:eastAsia="Arial" w:hAnsi="Arial"/>
          <w:sz w:val="16"/>
          <w:szCs w:val="16"/>
          <w:color w:val="auto"/>
        </w:rPr>
      </w:pPr>
    </w:p>
    <w:p>
      <w:pPr>
        <w:ind w:firstLine="644"/>
        <w:spacing w:after="0" w:line="277" w:lineRule="auto"/>
        <w:tabs>
          <w:tab w:leader="none" w:pos="10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to public utilities or to any Governmental Authority when required by the utility or other authority in connection with the supply of services or utilities to Holdings, the Borrower and any Restricted Subsidiaries;</w:t>
      </w:r>
    </w:p>
    <w:p>
      <w:pPr>
        <w:spacing w:after="0" w:line="170" w:lineRule="exact"/>
        <w:rPr>
          <w:rFonts w:ascii="Arial" w:cs="Arial" w:eastAsia="Arial" w:hAnsi="Arial"/>
          <w:sz w:val="18"/>
          <w:szCs w:val="18"/>
          <w:color w:val="auto"/>
        </w:rPr>
      </w:pPr>
    </w:p>
    <w:p>
      <w:pPr>
        <w:jc w:val="both"/>
        <w:ind w:firstLine="644"/>
        <w:spacing w:after="0" w:line="259" w:lineRule="auto"/>
        <w:tabs>
          <w:tab w:leader="none" w:pos="11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servicing agreements, development agreements, site plan agreements and other agreements with any Governmental Authority pertaining to the use or development of any of the assets of the Person, provided same are complied with in all material respects and do not materially reduce the value of the assets of the Person or materially interfere with the use of such assets in the operation of the business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80"/>
          </w:cols>
          <w:pgMar w:left="980" w:top="1421" w:right="339" w:bottom="1440" w:gutter="0" w:footer="0" w:header="0"/>
        </w:sectPr>
      </w:pPr>
    </w:p>
    <w:bookmarkStart w:id="50" w:name="page51"/>
    <w:bookmarkEnd w:id="50"/>
    <w:p>
      <w:pPr>
        <w:ind w:left="1740" w:hanging="436"/>
        <w:spacing w:after="0"/>
        <w:tabs>
          <w:tab w:leader="none" w:pos="1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leases of vehicles or equipment which are entered into in the ordinary course of business;</w:t>
      </w:r>
    </w:p>
    <w:p>
      <w:pPr>
        <w:spacing w:after="0" w:line="225" w:lineRule="exact"/>
        <w:rPr>
          <w:rFonts w:ascii="Arial" w:cs="Arial" w:eastAsia="Arial" w:hAnsi="Arial"/>
          <w:sz w:val="18"/>
          <w:szCs w:val="18"/>
          <w:color w:val="auto"/>
        </w:rPr>
      </w:pPr>
    </w:p>
    <w:p>
      <w:pPr>
        <w:ind w:left="1660" w:hanging="356"/>
        <w:spacing w:after="0"/>
        <w:tabs>
          <w:tab w:leader="none" w:pos="1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securing Priority Obligations;</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706"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receipt of progress payments and advances from customers in the ordinary course of business to the extent the same creates a Lien on the related inventory and proceeds thereof;</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zoning, building or similar law or right reserved to or vested in any Governmental Authority to control or regulate the use of any real property; and</w:t>
      </w:r>
    </w:p>
    <w:p>
      <w:pPr>
        <w:spacing w:after="0" w:line="170" w:lineRule="exact"/>
        <w:rPr>
          <w:rFonts w:ascii="Arial" w:cs="Arial" w:eastAsia="Arial" w:hAnsi="Arial"/>
          <w:sz w:val="18"/>
          <w:szCs w:val="18"/>
          <w:color w:val="auto"/>
        </w:rPr>
      </w:pPr>
    </w:p>
    <w:p>
      <w:pPr>
        <w:ind w:left="660" w:firstLine="644"/>
        <w:spacing w:after="0" w:line="277" w:lineRule="auto"/>
        <w:tabs>
          <w:tab w:leader="none" w:pos="1772"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that do not (A) interfere in any material respect with the business of Holdings, the Borrower and its Restricted Subsidiaries, taken as a whole, or (B) secure any Indebtedness;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 for borrowed money other than Liens referred to in clauses (d) and (k) above securing obligations under letters of credit or bank guarantees or similar instruments related thereto and in clause (g) above, in each case to the extent any such Lien would constitute a Lien securing Indebtedness for borrowed money.</w:t>
      </w:r>
    </w:p>
    <w:p>
      <w:pPr>
        <w:spacing w:after="0" w:line="184"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First Priority Refinancing Debt</w:t>
      </w:r>
      <w:r>
        <w:rPr>
          <w:rFonts w:ascii="Arial" w:cs="Arial" w:eastAsia="Arial" w:hAnsi="Arial"/>
          <w:sz w:val="16"/>
          <w:szCs w:val="16"/>
          <w:color w:val="auto"/>
        </w:rPr>
        <w:t xml:space="preserve">” means any secured Indebtedness incurred by Holdings, the Borrower and/or any Subsidiary Loan Party (and any Guarantee thereof by Holdings) in the form of one or more series of senior secured notes or senior secured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secured by the Collateral (and no other assets which are not Collateral) on a pari passu basis (but without regard to the control of remedies) with the Secured Obligations,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and (iv) such Indebtedness is not guaranteed by an entity that is not a Loan Party and (y) a Senior Representative acting on behalf of the holders of such Indebtedness shall have become party to (1) a Customary Intercreditor Agreement providing that the Liens on the Collateral securing such obligations shall rank equal in priority to the Liens on the Collateral securing the First Lien Loan Document Obligations and (2) if applicable, the First/Second Lien Intercreditor Agreement. Permitted First Priority Refinancing Debt will include any Registered Equivalent Notes issued in exchange therefor.</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 any of the following, to the extent owned by Holdings or any Restricted Subsidiary:</w:t>
      </w:r>
    </w:p>
    <w:p>
      <w:pPr>
        <w:spacing w:after="0" w:line="225" w:lineRule="exact"/>
        <w:rPr>
          <w:sz w:val="20"/>
          <w:szCs w:val="20"/>
          <w:color w:val="auto"/>
        </w:rPr>
      </w:pPr>
    </w:p>
    <w:p>
      <w:pPr>
        <w:ind w:left="1680" w:hanging="376"/>
        <w:spacing w:after="0"/>
        <w:tabs>
          <w:tab w:leader="none" w:pos="1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Dollars, Euros, Canadian Dollars, Sterling or such other currencies held by it from time to time in the ordinary course of business;</w:t>
      </w:r>
    </w:p>
    <w:p>
      <w:pPr>
        <w:spacing w:after="0" w:line="248" w:lineRule="exact"/>
        <w:rPr>
          <w:rFonts w:ascii="Arial" w:cs="Arial" w:eastAsia="Arial" w:hAnsi="Arial"/>
          <w:sz w:val="16"/>
          <w:szCs w:val="16"/>
          <w:color w:val="auto"/>
        </w:rPr>
      </w:pPr>
    </w:p>
    <w:p>
      <w:pPr>
        <w:jc w:val="both"/>
        <w:ind w:left="660" w:firstLine="644"/>
        <w:spacing w:after="0" w:line="257" w:lineRule="auto"/>
        <w:tabs>
          <w:tab w:leader="none" w:pos="1698"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government or any agency or instrumentality of (i) the United States, (ii) the United Kingdom, (iii) Canada, (iv) Switzerland or (v) any member nation of the European Union rated A (or the equivalent thereof) or better by S&amp;P and A2 (or the equivalent thereof) or better by Moody’s, having average maturities of not more than 24 months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such country or such member nation of the European Union is pledged in support thereof;</w:t>
      </w:r>
    </w:p>
    <w:p>
      <w:pPr>
        <w:spacing w:after="0" w:line="187" w:lineRule="exact"/>
        <w:rPr>
          <w:rFonts w:ascii="Arial" w:cs="Arial" w:eastAsia="Arial" w:hAnsi="Arial"/>
          <w:sz w:val="18"/>
          <w:szCs w:val="18"/>
          <w:color w:val="auto"/>
        </w:rPr>
      </w:pPr>
    </w:p>
    <w:p>
      <w:pPr>
        <w:jc w:val="both"/>
        <w:ind w:left="660" w:firstLine="644"/>
        <w:spacing w:after="0" w:line="259" w:lineRule="auto"/>
        <w:tabs>
          <w:tab w:leader="none" w:pos="17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time deposits with, or insured certificates of deposit or bankers’ acceptances of, any commercial bank that (i) is a Lender or (ii) has combined capital and surplus of at least (x) $250,000,000 in the case of U.S. banks or (y) $100,000,000 in the case of non-U.S. banks, or the U.S. dollar equivalent (any such bank in the foregoing clauses (i) or (ii) being an “</w:t>
      </w:r>
      <w:r>
        <w:rPr>
          <w:rFonts w:ascii="Arial" w:cs="Arial" w:eastAsia="Arial" w:hAnsi="Arial"/>
          <w:sz w:val="18"/>
          <w:szCs w:val="18"/>
          <w:u w:val="single" w:color="auto"/>
          <w:color w:val="auto"/>
        </w:rPr>
        <w:t>Approved Bank</w:t>
      </w:r>
      <w:r>
        <w:rPr>
          <w:rFonts w:ascii="Arial" w:cs="Arial" w:eastAsia="Arial" w:hAnsi="Arial"/>
          <w:sz w:val="18"/>
          <w:szCs w:val="18"/>
          <w:color w:val="auto"/>
        </w:rPr>
        <w:t>”), in each case with average maturities of not more than 12 months from the date of acquisition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21" w:right="339" w:bottom="1440" w:gutter="0" w:footer="0" w:header="0"/>
        </w:sectPr>
      </w:pPr>
    </w:p>
    <w:bookmarkStart w:id="51" w:name="page52"/>
    <w:bookmarkEnd w:id="51"/>
    <w:p>
      <w:pPr>
        <w:jc w:val="both"/>
        <w:ind w:left="-460" w:firstLine="644"/>
        <w:spacing w:after="0" w:line="311" w:lineRule="auto"/>
        <w:tabs>
          <w:tab w:leader="none" w:pos="604"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148" w:lineRule="exact"/>
        <w:rPr>
          <w:rFonts w:ascii="Arial" w:cs="Arial" w:eastAsia="Arial" w:hAnsi="Arial"/>
          <w:sz w:val="16"/>
          <w:szCs w:val="16"/>
          <w:color w:val="auto"/>
        </w:rPr>
      </w:pPr>
    </w:p>
    <w:p>
      <w:pPr>
        <w:jc w:val="both"/>
        <w:ind w:left="-460" w:firstLine="644"/>
        <w:spacing w:after="0" w:line="254" w:lineRule="auto"/>
        <w:tabs>
          <w:tab w:leader="none" w:pos="5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repurchase agreements entered into by any Person with an Approved Bank, a bank or trust company (including any of the Lenders) or recognized securities dealer, in each case, having capital and surplus in excess of $250,000,000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w:t>
      </w:r>
    </w:p>
    <w:p>
      <w:pPr>
        <w:spacing w:after="0" w:line="194" w:lineRule="exact"/>
        <w:rPr>
          <w:rFonts w:ascii="Arial" w:cs="Arial" w:eastAsia="Arial" w:hAnsi="Arial"/>
          <w:sz w:val="18"/>
          <w:szCs w:val="18"/>
          <w:color w:val="auto"/>
        </w:rPr>
      </w:pPr>
    </w:p>
    <w:p>
      <w:pPr>
        <w:jc w:val="both"/>
        <w:ind w:left="-460" w:firstLine="644"/>
        <w:spacing w:after="0" w:line="263" w:lineRule="auto"/>
        <w:tabs>
          <w:tab w:leader="none" w:pos="6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marketable short-term money market and similar highly liquid funds either (i) having assets in excess of $250,000,000 or its equivalent, or (ii) having a rating of at least A-2 or P-2 from either S&amp;P or Moody’s (or, if at any time neither S&amp;P nor Moody’s shall be rating such obligations, an equivalent rating from another nationally recognized rating service);</w:t>
      </w:r>
    </w:p>
    <w:p>
      <w:pPr>
        <w:spacing w:after="0" w:line="183" w:lineRule="exact"/>
        <w:rPr>
          <w:rFonts w:ascii="Arial" w:cs="Arial" w:eastAsia="Arial" w:hAnsi="Arial"/>
          <w:sz w:val="18"/>
          <w:szCs w:val="18"/>
          <w:color w:val="auto"/>
        </w:rPr>
      </w:pPr>
    </w:p>
    <w:p>
      <w:pPr>
        <w:jc w:val="both"/>
        <w:ind w:left="-460" w:firstLine="644"/>
        <w:spacing w:after="0" w:line="259" w:lineRule="auto"/>
        <w:tabs>
          <w:tab w:leader="none" w:pos="699"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securities with average maturities of 12 months or less from the date of acquisition issued or fully guaranteed by any state, commonwealth or territory of the United States, Canada, Switzerland, the United Kingdom, a member of the European Union or by any political subdivision or taxing authority of any such state, member, commonwealth or territory having an investment grade rating from either S&amp;P or Moody’s (or the equivalent thereof);</w:t>
      </w:r>
    </w:p>
    <w:p>
      <w:pPr>
        <w:spacing w:after="0" w:line="186" w:lineRule="exact"/>
        <w:rPr>
          <w:rFonts w:ascii="Arial" w:cs="Arial" w:eastAsia="Arial" w:hAnsi="Arial"/>
          <w:sz w:val="18"/>
          <w:szCs w:val="18"/>
          <w:color w:val="auto"/>
        </w:rPr>
      </w:pPr>
    </w:p>
    <w:p>
      <w:pPr>
        <w:ind w:left="-460" w:firstLine="644"/>
        <w:spacing w:after="0" w:line="277" w:lineRule="auto"/>
        <w:tabs>
          <w:tab w:leader="none" w:pos="58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investments with average maturities of 12 months or less from the date of acquisition in mutual funds rated AAA- (or the equivalent thereof) or better by S&amp;P or Aaa3 (or the equivalent thereof) or better by Moody’s;</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6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86" w:lineRule="exact"/>
        <w:rPr>
          <w:rFonts w:ascii="Arial" w:cs="Arial" w:eastAsia="Arial" w:hAnsi="Arial"/>
          <w:sz w:val="18"/>
          <w:szCs w:val="18"/>
          <w:color w:val="auto"/>
        </w:rPr>
      </w:pPr>
    </w:p>
    <w:p>
      <w:pPr>
        <w:jc w:val="both"/>
        <w:ind w:left="-460" w:firstLine="644"/>
        <w:spacing w:after="0" w:line="279" w:lineRule="auto"/>
        <w:tabs>
          <w:tab w:leader="none" w:pos="582"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investments, classified in accordance with GAAP as current assets of Holdings, the Borrower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(a) through (i) of this definition;</w:t>
      </w:r>
    </w:p>
    <w:p>
      <w:pPr>
        <w:spacing w:after="0" w:line="171" w:lineRule="exact"/>
        <w:rPr>
          <w:rFonts w:ascii="Arial" w:cs="Arial" w:eastAsia="Arial" w:hAnsi="Arial"/>
          <w:sz w:val="17"/>
          <w:szCs w:val="17"/>
          <w:color w:val="auto"/>
        </w:rPr>
      </w:pPr>
    </w:p>
    <w:p>
      <w:pPr>
        <w:jc w:val="both"/>
        <w:ind w:left="-460" w:firstLine="644"/>
        <w:spacing w:after="0" w:line="290" w:lineRule="auto"/>
        <w:tabs>
          <w:tab w:leader="none" w:pos="6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6"/>
          <w:szCs w:val="16"/>
          <w:u w:val="single" w:color="auto"/>
          <w:color w:val="auto"/>
        </w:rPr>
        <w:t>Approved Foreign Bank</w:t>
      </w:r>
      <w:r>
        <w:rPr>
          <w:rFonts w:ascii="Arial" w:cs="Arial" w:eastAsia="Arial" w:hAnsi="Arial"/>
          <w:sz w:val="16"/>
          <w:szCs w:val="16"/>
          <w:color w:val="auto"/>
        </w:rPr>
        <w:t>”), and in each case with maturities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120"/>
          </w:cols>
          <w:pgMar w:left="1440" w:top="1421" w:right="339" w:bottom="1440" w:gutter="0" w:footer="0" w:header="0"/>
        </w:sectPr>
      </w:pPr>
    </w:p>
    <w:bookmarkStart w:id="52" w:name="page53"/>
    <w:bookmarkEnd w:id="52"/>
    <w:p>
      <w:pPr>
        <w:ind w:left="660"/>
        <w:spacing w:after="0" w:line="277" w:lineRule="auto"/>
        <w:rPr>
          <w:sz w:val="20"/>
          <w:szCs w:val="20"/>
          <w:color w:val="auto"/>
        </w:rPr>
      </w:pPr>
      <w:r>
        <w:rPr>
          <w:rFonts w:ascii="Arial" w:cs="Arial" w:eastAsia="Arial" w:hAnsi="Arial"/>
          <w:sz w:val="18"/>
          <w:szCs w:val="18"/>
          <w:color w:val="auto"/>
        </w:rPr>
        <w:t>not more than 24 months from the date of acquisition and (iii) the equivalent of demand deposit accounts which are maintained with an Approved Foreign Bank; and</w:t>
      </w:r>
    </w:p>
    <w:p>
      <w:pPr>
        <w:spacing w:after="0" w:line="170" w:lineRule="exact"/>
        <w:rPr>
          <w:sz w:val="20"/>
          <w:szCs w:val="20"/>
          <w:color w:val="auto"/>
        </w:rPr>
      </w:pPr>
    </w:p>
    <w:p>
      <w:pPr>
        <w:ind w:left="1660" w:hanging="356"/>
        <w:spacing w:after="0"/>
        <w:tabs>
          <w:tab w:leader="none" w:pos="1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investment funds investing at least 90% of their assets in securities of the types described in clauses (a) through (k) above.</w:t>
      </w:r>
    </w:p>
    <w:p>
      <w:pPr>
        <w:spacing w:after="0" w:line="237"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w:t>
      </w:r>
      <w:r>
        <w:rPr>
          <w:rFonts w:ascii="Arial" w:cs="Arial" w:eastAsia="Arial" w:hAnsi="Arial"/>
          <w:sz w:val="16"/>
          <w:szCs w:val="16"/>
          <w:color w:val="auto"/>
        </w:rPr>
        <w:t xml:space="preserve">” means, with respect to any Person, any modification, refinancing, refunding, renewal or extension of any Indebtedness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principal amount (or accreted value, if applicable) may exceed the principal amount (or accreted value, if applicable) of the Indebtedness so modified, refinanced, refunded, renewed or extended to the extent such excess amount (and the terms thereof) is otherwise permitted to be incurred under Section 6.01, (b) other than with respect to a Permitted Refinancing in respect of Indebtedness permitted pursuant to Section 6.01(a)(v), Indebtedness resulting from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(c) immediately after giving effect thereto, no Event of Default shall have occurred and be continuing, (d) if the Indebtedness being modified, refinanced, refunded, renewed or extended is subordinated in right of payment to the First Lien Loan Document Obligations, Indebtedness resulting from such modification, refinancing, refunding, renewal or extension is subordinated in right of payment to the First Lien Loan Document Obligations on terms at least as favorable to the Lenders as those contained in the documentation governing the Indebtedness being modified, refinanced, refunded, renewed or extended, (e) if the Indebtedness being modified, refinanced, refunded, renewed or extended is permitted pursuant to Section 6.01(a)(xxi) or (a)(xxii), such Indebtedness complies with the Required Additional Debt Terms, (f) the terms and conditions (including, if applicable, as to collateral but excluding as to subordination, interest rate (including whether such interest is payable in cash or in kind), rate floors, fees, discounts and redemption premium) of Indebtedness resulting from such modification, refinancing, refunding, renewal or extension are not, taken as a whole, materially less favorable to the Loan Parties or the Lenders than the terms and conditions of the Indebtedness being modified, refinanced, refunded, renewed or extended (except for covenants or other provisions applicable to periods after the Latest Maturity Date at the time such Indebtedness is incurred) (together with, at the election of the Borrower, any applicable “equity cure” provisions with respect to any financial maintenance covenant) (it being understood that, to the extent that any covenant, event of default or guarantee is added or modified for the benefit of any such Permitted Refinancing, the terms shall not be considered materially less favorable if such covenant, event of default or guarantee is either (A) also added or modified for the benefit of any corresponding Loans remaining outstanding after the issuance or incurrence of such Permitted Refinancing or (B) only applicable after the Latest Maturity Date at the time of such refinancing);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Administrative Agent at least five (5)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(5) Business Day period that it disagrees with such determination (including a reasonable description of the basis upon which it disagrees) and (ii) the primary obligor in respect of, and/or the Persons (if any) that Guarantee, the Indebtedness resulting from such modification, refinancing, refunding, renewal or extension are the primary obligor in respect of, and/or Persons (if any) that Guaranteed the Indebtedness being modified, refinanced, refunded, renewed or extended and (g) if the Indebtedness being modified, refinanced, refunded, renewed or extended is permitted pursuant to Sections 6.01(a)(vii), 6.01(a)(viii) or 6.01(a)(ix), the Indebtedness resulting from such modification, refinancing, refunding, renewal or extension is (x) unsecured if the Indebtedness being modified, refinanced, refunded, renewed or extended is unsecured or (y) not secured on a more favorable basis than the Indebtedness being modified, refinanced, refunded, renewed or extended if such Indebtedness being modified, refinanced, refunded, renewed or extended is secured. For the avoidance of doubt, it is understood and agreed that (x) notwithstanding anything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21" w:right="339" w:bottom="1440" w:gutter="0" w:footer="0" w:header="0"/>
        </w:sectPr>
      </w:pPr>
    </w:p>
    <w:bookmarkStart w:id="53" w:name="page54"/>
    <w:bookmarkEnd w:id="53"/>
    <w:p>
      <w:pPr>
        <w:jc w:val="both"/>
        <w:spacing w:after="0" w:line="272" w:lineRule="auto"/>
        <w:rPr>
          <w:sz w:val="20"/>
          <w:szCs w:val="20"/>
          <w:color w:val="auto"/>
        </w:rPr>
      </w:pPr>
      <w:r>
        <w:rPr>
          <w:rFonts w:ascii="Arial" w:cs="Arial" w:eastAsia="Arial" w:hAnsi="Arial"/>
          <w:sz w:val="17"/>
          <w:szCs w:val="17"/>
          <w:color w:val="auto"/>
        </w:rPr>
        <w:t xml:space="preserve">this Agreement to the contrary, in the case of any Indebtedness incurred to modify, refinance, refunding, extend, renew or replace Indebtedness initially incurred in reliance on and measured by reference to a percentage of Consolidated EBITDA at the time of incurrence, and such modification, refinancing, refunding, extension, renewal or replacement would cause the percentage of Consolidated EBITDA to be exceeded if calculated based on the percentage of Consolidated EBITDA on the date of such modification, refinancing, refunding, extension, renewal or replacement, such percentage of Consolidated EBITDA restriction shall not be deemed to be exceeded so long as such incurrence otherwise constitutes a “Permitted Refinancing” and (y) a Permitted Refinancing may constitute a portion of an issuance of Indebtedness in excess of the amount of such Permitted Refinancing;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excess includes successive Permitted Refinancings of the same Indebtedness.</w:t>
      </w:r>
    </w:p>
    <w:p>
      <w:pPr>
        <w:spacing w:after="0" w:line="177"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Second Priority Refinancing Debt</w:t>
      </w:r>
      <w:r>
        <w:rPr>
          <w:rFonts w:ascii="Arial" w:cs="Arial" w:eastAsia="Arial" w:hAnsi="Arial"/>
          <w:sz w:val="16"/>
          <w:szCs w:val="16"/>
          <w:color w:val="auto"/>
        </w:rPr>
        <w:t xml:space="preserve">” means any secured Indebtedness incurred by Holdings, the Borrower and/or any Subsidiary Loan Party (and any Guarantee thereof by Holdings) in the form of one or more series of junior lien secured notes or junior lien secured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secured by the Collateral on a junior lien, subordinated basis to the Secured Obligations and the obligations in respect of any Permitted First Priority Refinancing Debt, (ii) such Indebtedness constitutes Credit Agreement Refinancing Indebtedness, (iii)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(iv) such Indebtedness is not guaranteed by any entity that is not a Loan Party, (v) the security agreements relating to such Indebtedness are on substantially the same terms as the Security Documents (with such differences as are reasonably satisfactory to the First Lien Administrative Agent) and (vi) a Senior Representative acting on behalf of the holders of such Indebtedness shall have become party to the First/Second Lien Intercreditor Agreement and/or a Customary Intercreditor Agreement, as applicable. Permitted Second Priority Refinancing Debt will include any Registered Equivalent Notes issued in exchange therefor.</w:t>
      </w:r>
    </w:p>
    <w:p>
      <w:pPr>
        <w:spacing w:after="0" w:line="168"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Unsecured Refinancing Debt</w:t>
      </w:r>
      <w:r>
        <w:rPr>
          <w:rFonts w:ascii="Arial" w:cs="Arial" w:eastAsia="Arial" w:hAnsi="Arial"/>
          <w:sz w:val="17"/>
          <w:szCs w:val="17"/>
          <w:color w:val="auto"/>
        </w:rPr>
        <w:t xml:space="preserve">” means any unsecured Indebtedness incurred by Holdings, the Borrower and/or any other Loan Party in the form of one or more series of senior unsecured notes or senior unsecured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constitutes Credit Agreement Refinancing Indebtedness, (ii) such Indebtedness does not have mandatory redemption features (other than customary asset sale, insurance and condemnation proceeds events, change of control offers or events of default) that could result in redemptions of such Indebtedness prior to the maturity of the Refinanced Debt, (iii) if such Indebtedness is guaranteed, such Indebtedness is not guaranteed by any entity that is not a Loan Party, and (iv) such Indebtedness is not secured by any Lien on any property or assets of Holdings, the Borrower or any Restricted Subsidiary. Permitted Unsecured Refinancing Debt will include any Registered Equivalent Notes issued in exchange therefor.</w:t>
      </w:r>
    </w:p>
    <w:p>
      <w:pPr>
        <w:spacing w:after="0" w:line="17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means Intralinks or another similar electronic system on which Borrower Maters are posted to the Lenders.</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Post-Transaction Period</w:t>
      </w:r>
      <w:r>
        <w:rPr>
          <w:rFonts w:ascii="Arial" w:cs="Arial" w:eastAsia="Arial" w:hAnsi="Arial"/>
          <w:sz w:val="18"/>
          <w:szCs w:val="18"/>
          <w:color w:val="auto"/>
        </w:rPr>
        <w:t>” 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spacing w:after="0" w:line="18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xml:space="preserve">” means the rate of interest last quoted by The Wall Street Journal as the “Prime Rate” in the U.S. or, if </w:t>
      </w:r>
      <w:r>
        <w:rPr>
          <w:rFonts w:ascii="Arial" w:cs="Arial" w:eastAsia="Arial" w:hAnsi="Arial"/>
          <w:sz w:val="16"/>
          <w:szCs w:val="16"/>
          <w:i w:val="1"/>
          <w:iCs w:val="1"/>
          <w:color w:val="auto"/>
        </w:rPr>
        <w:t>The 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ceases to quote such rate, the highest per annum interest rate published by the FRB in Federal Reserve Statistical Release H.15 (519) (Selected</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Rates) as the “bank prime loan” rate or, if such rate is no longer quoted therein, any similar rate quoted therein (as reasonably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21"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the Administrative Agent) or any similar release by the FRB (as reasonably determined by the Administrative Agent). Each change in the Prime Rate shall be effective from and including the date such change is publicly announced or quoted as being effective.</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Obligation</w:t>
      </w:r>
      <w:r>
        <w:rPr>
          <w:rFonts w:ascii="Arial" w:cs="Arial" w:eastAsia="Arial" w:hAnsi="Arial"/>
          <w:sz w:val="18"/>
          <w:szCs w:val="18"/>
          <w:color w:val="auto"/>
        </w:rPr>
        <w:t xml:space="preserve">” means any obligation that is secured by a Lien on any Collateral in favor of a Governmental Authority, which Lien ranks or is capable of ranking prior to or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with the Liens created thereon by the applicable Security Documents, including any such Lien securing amounts owing for wages, vacation pay, severance pay, employee deductions, sales tax, excise tax, other Taxes, workers’ compensation, governmental royalties and stumpage or pension fund obligations.</w:t>
      </w:r>
    </w:p>
    <w:p>
      <w:pPr>
        <w:spacing w:after="0" w:line="18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Adjustment</w:t>
      </w:r>
      <w:r>
        <w:rPr>
          <w:rFonts w:ascii="Arial" w:cs="Arial" w:eastAsia="Arial" w:hAnsi="Arial"/>
          <w:sz w:val="16"/>
          <w:szCs w:val="16"/>
          <w:color w:val="auto"/>
        </w:rPr>
        <w:t>” means, for any Test Period that includes all or any part of a fiscal quarter included in any Post-Transaction Period with respect to the Acquired EBITDA of the applicable Pro Forma Entity or the Consolidated EBITDA of Holdings, the pro forma increase or decrease in such Acquired EBITDA or such Consolidated EBITDA, as the case may be, projected by the Borrower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Holdings and its Restricted Subsidiaries; provided 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Test Period, or such additional costs will be incurred during the entirety of such Test Period, (B) any Pro Forma Adjustment to Consolidated EBITDA shall be certified by a Financial Officer, the chief executive officer or president of the Borrower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spacing w:after="0" w:line="168"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w:t>
      </w:r>
      <w:r>
        <w:rPr>
          <w:rFonts w:ascii="Arial" w:cs="Arial" w:eastAsia="Arial" w:hAnsi="Arial"/>
          <w:sz w:val="16"/>
          <w:szCs w:val="16"/>
          <w:u w:val="single" w:color="auto"/>
          <w:color w:val="auto"/>
        </w:rPr>
        <w:t>Pro Forma Compliance</w:t>
      </w:r>
      <w:r>
        <w:rPr>
          <w:rFonts w:ascii="Arial" w:cs="Arial" w:eastAsia="Arial" w:hAnsi="Arial"/>
          <w:sz w:val="16"/>
          <w:szCs w:val="16"/>
          <w:color w:val="auto"/>
        </w:rPr>
        <w:t>” and “</w:t>
      </w:r>
      <w:r>
        <w:rPr>
          <w:rFonts w:ascii="Arial" w:cs="Arial" w:eastAsia="Arial" w:hAnsi="Arial"/>
          <w:sz w:val="16"/>
          <w:szCs w:val="16"/>
          <w:u w:val="single" w:color="auto"/>
          <w:color w:val="auto"/>
        </w:rPr>
        <w:t>Pro Forma Effect</w:t>
      </w:r>
      <w:r>
        <w:rPr>
          <w:rFonts w:ascii="Arial" w:cs="Arial" w:eastAsia="Arial" w:hAnsi="Arial"/>
          <w:sz w:val="16"/>
          <w:szCs w:val="16"/>
          <w:color w:val="auto"/>
        </w:rPr>
        <w:t>” mean, with respect to compliance with any test, financial ratio or covenant hereunder required by the terms of this Agreement to be made on a Pro Forma Basis or after giving Pro Forma Effect thereto,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w:t>
      </w:r>
    </w:p>
    <w:p>
      <w:pPr>
        <w:spacing w:after="0" w:line="2" w:lineRule="exact"/>
        <w:rPr>
          <w:sz w:val="20"/>
          <w:szCs w:val="20"/>
          <w:color w:val="auto"/>
        </w:rPr>
      </w:pPr>
    </w:p>
    <w:p>
      <w:pPr>
        <w:jc w:val="both"/>
        <w:ind w:firstLine="8"/>
        <w:spacing w:after="0" w:line="267" w:lineRule="auto"/>
        <w:tabs>
          <w:tab w:leader="none" w:pos="224"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income statement items (whether positive or negative) attributable to the property or Person subject to such Specified Transaction, (A) in the case of a Disposition of all or substantially all Equity Interests in any subsidiary of Holdings or any division, product line, or facility used for operations of Holdings, the Borrower or any of their respective Subsidiaries, shall be excluded and (B) in the case of a Permitted Acquisition or Investment described in the definition of “Specified Transaction,” shall be included, (ii) any retirement of Indebtedness, and (iii) any Indebtedness incurred or assumed by Holdings, the Borrower or any of their respective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the Borrower or any of their respective Subsidiaries and (z) factually supportable or (ii) otherwise consistent with the definition of pro forma adjustment. References herein to Pro Forma Compliance or compliance on a Pro Forma Basis with the Financial Performance Covenant shall mean Pro Forma Compliance with the Financial Performance Covenant whether or not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21" w:right="339" w:bottom="1440" w:gutter="0" w:footer="0" w:header="0"/>
        </w:sectPr>
      </w:pPr>
    </w:p>
    <w:bookmarkStart w:id="55" w:name="page56"/>
    <w:bookmarkEnd w:id="55"/>
    <w:p>
      <w:pPr>
        <w:jc w:val="both"/>
        <w:ind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Disposal Adjustment</w:t>
      </w:r>
      <w:r>
        <w:rPr>
          <w:rFonts w:ascii="Arial" w:cs="Arial" w:eastAsia="Arial" w:hAnsi="Arial"/>
          <w:sz w:val="17"/>
          <w:szCs w:val="17"/>
          <w:color w:val="auto"/>
        </w:rPr>
        <w:t>” means, for any Test Period that includes all or a portion of a fiscal quarter included in any Post-Transaction Period with respect to any Sold Entity or Business, the pro forma increase or decrease in Consolidated EBITDA projected by the Borrower in good faith as a result of contractual arrangements between the Borrower or any Restricted Subsidiary entered into with such Sold Entity or Business at the time of its disposal or within the Post-Transaction Period and which represent an increase or decrease in Consolidated EBITDA which is incremental to the Disposed EBITDA of such Sold Entity or Business for the most recent Test Period prior to its disposal.</w:t>
      </w:r>
    </w:p>
    <w:p>
      <w:pPr>
        <w:spacing w:after="0" w:line="136" w:lineRule="exact"/>
        <w:rPr>
          <w:sz w:val="20"/>
          <w:szCs w:val="20"/>
          <w:color w:val="auto"/>
        </w:rPr>
      </w:pPr>
    </w:p>
    <w:p>
      <w:pPr>
        <w:ind w:left="1300" w:right="2920"/>
        <w:spacing w:after="0" w:line="41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Entity</w:t>
      </w:r>
      <w:r>
        <w:rPr>
          <w:rFonts w:ascii="Arial" w:cs="Arial" w:eastAsia="Arial" w:hAnsi="Arial"/>
          <w:sz w:val="17"/>
          <w:szCs w:val="17"/>
          <w:color w:val="auto"/>
        </w:rPr>
        <w:t>” has the meaning given to such term in the definition of “Acquired EBITDA.” “</w:t>
      </w:r>
      <w:r>
        <w:rPr>
          <w:rFonts w:ascii="Arial" w:cs="Arial" w:eastAsia="Arial" w:hAnsi="Arial"/>
          <w:sz w:val="17"/>
          <w:szCs w:val="17"/>
          <w:u w:val="single" w:color="auto"/>
          <w:color w:val="auto"/>
        </w:rPr>
        <w:t>Proposed Change</w:t>
      </w:r>
      <w:r>
        <w:rPr>
          <w:rFonts w:ascii="Arial" w:cs="Arial" w:eastAsia="Arial" w:hAnsi="Arial"/>
          <w:sz w:val="17"/>
          <w:szCs w:val="17"/>
          <w:color w:val="auto"/>
        </w:rPr>
        <w:t>” has the meaning assigned to such term in Section 9.02(c).</w:t>
      </w:r>
    </w:p>
    <w:p>
      <w:pPr>
        <w:spacing w:after="0" w:line="1" w:lineRule="exact"/>
        <w:rPr>
          <w:sz w:val="20"/>
          <w:szCs w:val="20"/>
          <w:color w:val="auto"/>
        </w:rPr>
      </w:pPr>
    </w:p>
    <w:p>
      <w:pPr>
        <w:spacing w:after="0"/>
        <w:rPr>
          <w:sz w:val="20"/>
          <w:szCs w:val="20"/>
          <w:color w:val="auto"/>
        </w:rPr>
      </w:pPr>
      <w:r>
        <w:rPr>
          <w:rFonts w:ascii="Arial" w:cs="Arial" w:eastAsia="Arial" w:hAnsi="Arial"/>
          <w:sz w:val="29"/>
          <w:szCs w:val="29"/>
          <w:color w:val="auto"/>
          <w:vertAlign w:val="subscript"/>
        </w:rPr>
        <w:t>from time to time.</w:t>
      </w: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w:t>
      </w:r>
    </w:p>
    <w:p>
      <w:pPr>
        <w:spacing w:after="0" w:line="299"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Company Costs</w:t>
      </w:r>
      <w:r>
        <w:rPr>
          <w:rFonts w:ascii="Arial" w:cs="Arial" w:eastAsia="Arial" w:hAnsi="Arial"/>
          <w:sz w:val="17"/>
          <w:szCs w:val="17"/>
          <w:color w:val="auto"/>
        </w:rPr>
        <w:t>” means, as to Holdings,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assigned to such term in Section 5.01.</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has the meaning assigned to such term in Section 9.21.</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Holdings or the Borrower other than Disqualified Equity Interests.</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Securitization Facility</w:t>
      </w:r>
      <w:r>
        <w:rPr>
          <w:rFonts w:ascii="Arial" w:cs="Arial" w:eastAsia="Arial" w:hAnsi="Arial"/>
          <w:sz w:val="17"/>
          <w:szCs w:val="17"/>
          <w:color w:val="auto"/>
        </w:rPr>
        <w:t>” means any Securitization Facility that meets the following conditions: (a) the board of directors of the Borrower shall have determined in good faith that such Securitization Facility (including financing terms, covenants, termination events and other provisions) is in the aggregate economically fair and reasonable to the Borrower and Holdings or the applicable Securitization Subsidiary and (b) the financing terms, covenants, termination events and other provisions thereof shall be market terms (as determined in good faith by the Borrower).</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Refinanced Debt</w:t>
      </w:r>
      <w:r>
        <w:rPr>
          <w:rFonts w:ascii="Arial" w:cs="Arial" w:eastAsia="Arial" w:hAnsi="Arial"/>
          <w:sz w:val="18"/>
          <w:szCs w:val="18"/>
          <w:color w:val="auto"/>
        </w:rPr>
        <w:t>” has the meaning assigned to such term in the definition of “Credit Agreement Refinancing Indebtedness.”</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w:t>
      </w:r>
      <w:r>
        <w:rPr>
          <w:rFonts w:ascii="Arial" w:cs="Arial" w:eastAsia="Arial" w:hAnsi="Arial"/>
          <w:sz w:val="16"/>
          <w:szCs w:val="16"/>
          <w:color w:val="auto"/>
        </w:rPr>
        <w:t>” means (a) the refinancing of all indebtedness of the Borrower under (i) that certain credit agreement dated June 10, 2020 among the Borrower, Holdings, Ares Capital Corporation, as administrative agent and collateral agent, and the lenders party thereto, and (ii) that certain credit agreement dated December 30, 2020 among the Borrower, the other borrowers party thereto, Holdings, ACF FinCo I LP, as administrative agent and collateral agent, and the lenders party thereto and (b) the receipt by the First Lien Administrative Agent of reasonably satisfactory evidence of the discharge (or the making of arrangements for discharge) of all commitments and Liens thereunder (other than Liens permitted by Section 6.02).</w:t>
      </w:r>
    </w:p>
    <w:p>
      <w:pPr>
        <w:spacing w:after="0" w:line="16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Amendment</w:t>
      </w:r>
      <w:r>
        <w:rPr>
          <w:rFonts w:ascii="Arial" w:cs="Arial" w:eastAsia="Arial" w:hAnsi="Arial"/>
          <w:sz w:val="18"/>
          <w:szCs w:val="18"/>
          <w:color w:val="auto"/>
        </w:rPr>
        <w:t>” means an amendment to this Agreement in form and substance reasonably satisfactory to the First Lien Administrative Agent and the Borrower executed by each of (a) the Borrower and Holdings, (b) the First Lien Administrative Agent and (c) each Additional Lender and Lender that agrees to provide any portion of the Credit Agreement Refinancing Indebtedness being incurred pursuant thereto, in accordance with Section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21" w:right="339" w:bottom="1440" w:gutter="0" w:footer="0" w:header="0"/>
        </w:sectPr>
      </w:pPr>
    </w:p>
    <w:bookmarkStart w:id="56" w:name="page57"/>
    <w:bookmarkEnd w:id="5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9.04(b)(iv).</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Equivalent Notes</w:t>
      </w:r>
      <w:r>
        <w:rPr>
          <w:rFonts w:ascii="Arial" w:cs="Arial" w:eastAsia="Arial" w:hAnsi="Arial"/>
          <w:sz w:val="18"/>
          <w:szCs w:val="18"/>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Date</w:t>
      </w:r>
      <w:r>
        <w:rPr>
          <w:rFonts w:ascii="Arial" w:cs="Arial" w:eastAsia="Arial" w:hAnsi="Arial"/>
          <w:sz w:val="18"/>
          <w:szCs w:val="18"/>
          <w:color w:val="auto"/>
        </w:rPr>
        <w:t>” has the meaning assigned to such term in Section 2.05(f).</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controlling persons, trustees, administrators, managers, advisors and representatives of such Person and of each of such Person’s Affiliates and permitted successors and assigns of each of the foregoing.</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has the meaning assigned to such term in Section 8.06.</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Additional Debt Terms</w:t>
      </w:r>
      <w:r>
        <w:rPr>
          <w:rFonts w:ascii="Arial" w:cs="Arial" w:eastAsia="Arial" w:hAnsi="Arial"/>
          <w:sz w:val="16"/>
          <w:szCs w:val="16"/>
          <w:color w:val="auto"/>
        </w:rPr>
        <w:t xml:space="preserve">” means with respect to any Indebtedness, (a) [reserved], (b) such Indebtedness does not have mandatory redemption features (other than customary asset sale, insurance and condemnation proceeds events, change of control offers or events of default or, if term loans, excess cash flow prepayments applicable to periods before the Latest Maturity Date) that could result in redemptions of such Indebtedness prior to the Latest Maturity Date, (c) such Indebtedness is not guaranteed by any entity that is not a Loan Party, (d) if secured, such Indebtedness (i) is not secured by any assets other than Collateral and (ii) is subject to the First/Second Lien Intercreditor Agreement and/or a Customary Intercreditor Agreement(s), as applicable and (e) the terms and conditions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(x) such terms or conditions are applicable only to periods after the Latest Maturity Date at such time or (y) the Lenders also receive the benefit of such more favorable terms and conditions) (together with, at the election of the Borrower, any applicable “equity cure” provisions with respect to any financial maintenance covenant) (it being understood that, to the extent that any covenant, event of default, guarantee or other provision is added or modified for the benefit of any such Indebtedness, no consent shall be required by the First Lien Administrative Agent or any of the Lenders if such covenant, event of default or guarantee is either (i) also added or modified for the benefit of any corresponding Loans remaining outstanding after the issuance or incurrence of any such Indebtedness in connection therewith, (ii) with respect to any “springing” financial maintenance covenant or other covenant that is (x) more restrictive on the Borrower and its Restricted Subsidiaries than the Financial Performance Covenant or other corresponding covenant hereunder and (y) only applicable to, or for the benefit of, a revolving credit facility, in each case also added for the benefit of each revolving credit facility hereunder (and not for the benefit of any term loan facility hereunder) or (iii) only applicable after the Latest Maturity Date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certificate of a Responsible Officer of the Borrower delivered to the First Lien Administrative Agent at least five (5) Business Days prior to the incurrence of such Indebtedness,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21" w:right="339" w:bottom="1440" w:gutter="0" w:footer="0" w:header="0"/>
        </w:sectPr>
      </w:pPr>
    </w:p>
    <w:bookmarkStart w:id="57" w:name="page58"/>
    <w:bookmarkEnd w:id="57"/>
    <w:p>
      <w:pPr>
        <w:jc w:val="both"/>
        <w:ind w:right="20"/>
        <w:spacing w:after="0" w:line="277" w:lineRule="auto"/>
        <w:rPr>
          <w:sz w:val="20"/>
          <w:szCs w:val="20"/>
          <w:color w:val="auto"/>
        </w:rPr>
      </w:pPr>
      <w:r>
        <w:rPr>
          <w:rFonts w:ascii="Arial" w:cs="Arial" w:eastAsia="Arial" w:hAnsi="Arial"/>
          <w:sz w:val="18"/>
          <w:szCs w:val="18"/>
          <w:color w:val="auto"/>
        </w:rPr>
        <w:t>Agent notifies the Borrower within such five (5) Business Day period that it disagrees with such determination (including a reasonable description of the basis upon which it disagrees).</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Revolving Exposures, Term Loans and unused Revolving Commitments (other than Swingline Commitments) representing more than 50% of the aggregate Revolving Exposures, outstanding Term Loans and unused Revolving Commitments (other than Swingline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set forth in Section 9.02 or Section 9.04 whenever there are one or more Defaulting Lenders, the total outstanding Term Loans and Revolving Exposures of, and the unused Commitments of, each Defaulting Lender shall be excluded for purposes of making a determination of Required Lenders.</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means, at any time, Revolving Lenders having Revolving Exposures and unused Commitments (exclusive of Swingline Commitments) representing more than 50.0% of the aggregate Revolving Exposures and unused Commitments (exclusive of Swingline Commitments) at such time; provided that to the extent set forth in Section 9.02 or Section 9.04 whenever there are one or more Defaulting Lenders, the total outstanding Revolving Exposures of, and the unused Revolving Commitments of, each Defaulting Lender, shall be excluded for purposes of making a determination of Required Revolving Lenders.</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Requirements of Law</w:t>
      </w:r>
      <w:r>
        <w:rPr>
          <w:rFonts w:ascii="Arial" w:cs="Arial" w:eastAsia="Arial" w:hAnsi="Arial"/>
          <w:sz w:val="18"/>
          <w:szCs w:val="18"/>
          <w:color w:val="auto"/>
        </w:rPr>
        <w:t>” means, with respect to any Person, any statutes, laws, treaties, rules, regulations, statutory instruments, orders, decrees, writs, injunctions or determinations of any arbitrator or court or other Governmental Authority, in each case applicable to or binding upon such Person or any of its property or to which such Person or any of its property is subject.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has the meaning assigned to such term in Section 8.06.</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shall mean an EEA Resolution Authority or, with respect to any UK Financial Institution, a UK Resolution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21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vice president, chief financial officer, treasurer or assistant treasurer, or other similar officer, manager or a member of the Board of Directors of a Loan Party and with respect to certain limited liability companies or partnerships that do not have officers, any manager, sole member, managing member or general partner thereof, and as to any document delivered on the Effective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9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any dividend or other distribution (whether in cash, securities or other property) with respect to any Equity Interests in Holdings or any Restricted Subsidiary, or any payment (whether in cash, securities or other property), including any sinking fund or similar deposit, on account of the purchase, redemption, retirement, acquisition, cancellation or termination of any Equity Interests in Holdings or any Restricted Subsidiary or any option, warrant or other right to acquire any such Equity Interests in Holdings or any Restricted Subsidiary.</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Holdings other than an Unrestricted Subsidiary.</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Availability Period</w:t>
      </w:r>
      <w:r>
        <w:rPr>
          <w:rFonts w:ascii="Arial" w:cs="Arial" w:eastAsia="Arial" w:hAnsi="Arial"/>
          <w:sz w:val="18"/>
          <w:szCs w:val="18"/>
          <w:color w:val="auto"/>
        </w:rPr>
        <w:t>” means the period from and including the Effective Date to but excluding the earlier of the Revolving Maturity Date and the date of termination of the Revolving Commitments.</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w:t>
      </w:r>
      <w:r>
        <w:rPr>
          <w:rFonts w:ascii="Arial" w:cs="Arial" w:eastAsia="Arial" w:hAnsi="Arial"/>
          <w:sz w:val="16"/>
          <w:szCs w:val="16"/>
          <w:color w:val="auto"/>
        </w:rPr>
        <w:t>t”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Section 2.08 and (b) reduced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21"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increased from time to time pursuant to (i) assignments by or to such Lender pursuant to an Assignment and Assumption, Incremental Facility Amendment,</w:t>
      </w:r>
    </w:p>
    <w:p>
      <w:pPr>
        <w:spacing w:after="0" w:line="46" w:lineRule="exact"/>
        <w:rPr>
          <w:sz w:val="20"/>
          <w:szCs w:val="20"/>
          <w:color w:val="auto"/>
        </w:rPr>
      </w:pPr>
    </w:p>
    <w:p>
      <w:pPr>
        <w:jc w:val="both"/>
        <w:ind w:firstLine="8"/>
        <w:spacing w:after="0" w:line="253" w:lineRule="auto"/>
        <w:tabs>
          <w:tab w:leader="none" w:pos="3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Refinancing Amendment, (iii) an Incremental Revolving Commitment Increase, (iv) a Loan Modification Agreement or (v) an Additional/Replacement Revolving Commitment. The initial amount of each Lender’s Revolving Commitment is set forth on Schedule 2.01(A) or, in each case, in the Assignment and Assumption, Loan Modification Agreement or Refinancing Amendment pursuant to which such Lender shall have assumed its Revolving Commitment, as the case may be. As of the Effective Date, the initial aggregate amount of the Lenders’ Revolving Commitments is $125,000,000.</w:t>
      </w:r>
    </w:p>
    <w:p>
      <w:pPr>
        <w:spacing w:after="0" w:line="191"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with respect to any Revolving Lender at any time, the sum of the outstanding principal amount of such Revolving Lender’s Revolving Loans and its LC Exposure and its Swingline Exposure at such time.</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means at any time, the aggregate amount of Revolving Commitments at such time.</w:t>
      </w:r>
    </w:p>
    <w:p>
      <w:pPr>
        <w:spacing w:after="0" w:line="18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Lender with a Revolving Commitment or, if the Revolving Commitments have terminated or expired, a Lender with Revolving Exposure.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by a Revolving Lender pursuant to clause (b) of Section 2.02.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Maturity Date</w:t>
      </w:r>
      <w:r>
        <w:rPr>
          <w:rFonts w:ascii="Arial" w:cs="Arial" w:eastAsia="Arial" w:hAnsi="Arial"/>
          <w:sz w:val="16"/>
          <w:szCs w:val="16"/>
          <w:color w:val="auto"/>
        </w:rPr>
        <w:t>” means (i) August 13, 2026 (or if such day is not a Business Day, the immediately preceding Business Day) or</w:t>
      </w:r>
    </w:p>
    <w:p>
      <w:pPr>
        <w:spacing w:after="0" w:line="46" w:lineRule="exact"/>
        <w:rPr>
          <w:sz w:val="20"/>
          <w:szCs w:val="20"/>
          <w:color w:val="auto"/>
        </w:rPr>
      </w:pPr>
    </w:p>
    <w:p>
      <w:pPr>
        <w:ind w:right="20" w:firstLine="8"/>
        <w:spacing w:after="0" w:line="260" w:lineRule="auto"/>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any Revolving Lender that has extended its Revolving Commitment pursuant to a Permitted Amendment and with respect to any Issuing Bank that has consented to such extension, the extended maturity date set forth in any such Loan Modification Agreement.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w:t>
      </w:r>
      <w:r>
        <w:rPr>
          <w:rFonts w:ascii="Arial" w:cs="Arial" w:eastAsia="Arial" w:hAnsi="Arial"/>
          <w:sz w:val="18"/>
          <w:szCs w:val="18"/>
          <w:color w:val="auto"/>
        </w:rPr>
        <w:t>” means, for any Obligations consisting of any interest, fees or other amounts denominated in Sterling, SONIA.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Borrowing</w:t>
      </w:r>
      <w:r>
        <w:rPr>
          <w:rFonts w:ascii="Arial" w:cs="Arial" w:eastAsia="Arial" w:hAnsi="Arial"/>
          <w:sz w:val="18"/>
          <w:szCs w:val="18"/>
          <w:color w:val="auto"/>
        </w:rPr>
        <w:t>” means any Borrowing comprised of RFR Loans.</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Business Day</w:t>
      </w:r>
      <w:r>
        <w:rPr>
          <w:rFonts w:ascii="Arial" w:cs="Arial" w:eastAsia="Arial" w:hAnsi="Arial"/>
          <w:sz w:val="18"/>
          <w:szCs w:val="18"/>
          <w:color w:val="auto"/>
        </w:rPr>
        <w:t>” means for any Obligations consisting of any interest, fees or other amounts denominated in Sterling, any day except for (a) a Saturday, (b) a Sunday or (c) a day on which banks are closed for general business in London.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Interest Day</w:t>
      </w:r>
      <w:r>
        <w:rPr>
          <w:rFonts w:ascii="Arial" w:cs="Arial" w:eastAsia="Arial" w:hAnsi="Arial"/>
          <w:sz w:val="18"/>
          <w:szCs w:val="18"/>
          <w:color w:val="auto"/>
        </w:rPr>
        <w:t>” has the meaning assigned to such term in the definition of “Daily Simple RFR”.</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Interest Payment</w:t>
      </w:r>
      <w:r>
        <w:rPr>
          <w:rFonts w:ascii="Arial" w:cs="Arial" w:eastAsia="Arial" w:hAnsi="Arial"/>
          <w:sz w:val="18"/>
          <w:szCs w:val="18"/>
          <w:color w:val="auto"/>
        </w:rPr>
        <w:t>” means, in respect of any Interest Period in relation to an RFR Loan, the aggregate amount of interest that is, or is scheduled to become, payable under Section 2.08.</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Loan</w:t>
      </w:r>
      <w:r>
        <w:rPr>
          <w:rFonts w:ascii="Arial" w:cs="Arial" w:eastAsia="Arial" w:hAnsi="Arial"/>
          <w:sz w:val="18"/>
          <w:szCs w:val="18"/>
          <w:color w:val="auto"/>
        </w:rPr>
        <w:t>” means a Loan that bears interest at a rate based on Daily Simple RFR.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RFR Lookback Day</w:t>
      </w:r>
      <w:r>
        <w:rPr>
          <w:rFonts w:ascii="Arial" w:cs="Arial" w:eastAsia="Arial" w:hAnsi="Arial"/>
          <w:sz w:val="18"/>
          <w:szCs w:val="18"/>
          <w:color w:val="auto"/>
        </w:rPr>
        <w:t>” has the meaning assigned to such term in the definition of “Daily Simple RFR”.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S&amp;P</w:t>
      </w:r>
      <w:r>
        <w:rPr>
          <w:rFonts w:ascii="Arial" w:cs="Arial" w:eastAsia="Arial" w:hAnsi="Arial"/>
          <w:sz w:val="16"/>
          <w:szCs w:val="16"/>
          <w:color w:val="auto"/>
        </w:rPr>
        <w:t>” means Standard &amp; Poor’s Ratings Services, a Standard &amp; Poor’s Financial Services LLC business, and any successor to its 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agency business.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has the meaning assigned to such term in Section 6.06.</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Jurisdiction</w:t>
      </w:r>
      <w:r>
        <w:rPr>
          <w:rFonts w:ascii="Arial" w:cs="Arial" w:eastAsia="Arial" w:hAnsi="Arial"/>
          <w:sz w:val="18"/>
          <w:szCs w:val="18"/>
          <w:color w:val="auto"/>
        </w:rPr>
        <w:t>” means a country or territory that is the subject of comprehensive Sanctions broadly restricting or prohibiting dealings involving such country or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21" w:right="339" w:bottom="1440" w:gutter="0" w:footer="0" w:header="0"/>
        </w:sectPr>
      </w:pPr>
    </w:p>
    <w:bookmarkStart w:id="59" w:name="page60"/>
    <w:bookmarkEnd w:id="59"/>
    <w:p>
      <w:pPr>
        <w:jc w:val="both"/>
        <w:ind w:right="20"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any Person: (a) identified on a Sanctions List; (b) domiciled, organized or resident in, or the government or any agency or instrumentality of the government of, any Sanctioned Jurisdiction; (c) owned or controlled by, or acting for or on behalf of, directly or indirectly, one or more Persons described in the foregoing clauses (a) or (b); or (d) otherwise the subject or target of Sanctions.</w:t>
      </w:r>
    </w:p>
    <w:p>
      <w:pPr>
        <w:spacing w:after="0" w:line="165" w:lineRule="exact"/>
        <w:rPr>
          <w:sz w:val="20"/>
          <w:szCs w:val="20"/>
          <w:color w:val="auto"/>
        </w:rPr>
      </w:pPr>
    </w:p>
    <w:p>
      <w:pPr>
        <w:ind w:right="4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any Sanctions Authority.</w:t>
      </w:r>
    </w:p>
    <w:p>
      <w:pPr>
        <w:spacing w:after="0" w:line="197"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 Authority</w:t>
      </w:r>
      <w:r>
        <w:rPr>
          <w:rFonts w:ascii="Arial" w:cs="Arial" w:eastAsia="Arial" w:hAnsi="Arial"/>
          <w:sz w:val="17"/>
          <w:szCs w:val="17"/>
          <w:color w:val="auto"/>
        </w:rPr>
        <w:t>” means: (a) the U.S. government, including OFAC and the U.S. Department of State; (b) the United Nations Security Council; (c) the European Union and each of its member states; and (d) the United Kingdom, including Her Majesty’s Treasury.</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List</w:t>
      </w:r>
      <w:r>
        <w:rPr>
          <w:rFonts w:ascii="Arial" w:cs="Arial" w:eastAsia="Arial" w:hAnsi="Arial"/>
          <w:sz w:val="18"/>
          <w:szCs w:val="18"/>
          <w:color w:val="auto"/>
        </w:rPr>
        <w:t>” means any Sanctions-related list of designated Persons maintained by any Sanctions Authority, including, without limitation, the Specially Designated Nationals and Blocked Persons List maintained by OFAC.</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 Rate</w:t>
      </w:r>
      <w:r>
        <w:rPr>
          <w:rFonts w:ascii="Arial" w:cs="Arial" w:eastAsia="Arial" w:hAnsi="Arial"/>
          <w:sz w:val="18"/>
          <w:szCs w:val="18"/>
          <w:color w:val="auto"/>
        </w:rPr>
        <w:t>” means, for any Loan denominated in Alternative Currencies, the Adjusted LIBO Rate, the Adjusted BA Rate, the Daily Simple RFR or Adjusted EURIBOR,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or any Governmental Authority succeeding to any of its principal functions.</w:t>
      </w:r>
    </w:p>
    <w:p>
      <w:pPr>
        <w:spacing w:after="0" w:line="23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956 Excluded Subsidiaries</w:t>
      </w:r>
      <w:r>
        <w:rPr>
          <w:rFonts w:ascii="Arial" w:cs="Arial" w:eastAsia="Arial" w:hAnsi="Arial"/>
          <w:sz w:val="18"/>
          <w:szCs w:val="18"/>
          <w:color w:val="auto"/>
        </w:rPr>
        <w:t>” means (a) (i) any (direct or indirect) non-US subsidiary of the Borrower that is a “controlled foreign corporation” within the meaning of Section 957 of the Code (or any similar law or regulation in any applicable jurisdiction) and (ii) any (direct or indirect) subsidiary (including a disregarded entity for U.S. federal income tax purposes) of the Borrower substantially all of whose assets are direct or indirect interests in the equity or equity and debt of one or more “controlled foreign corporations” within the meaning of Section 957 of the Code (or any similar law or regulation in any applicable jurisdiction) (each, a “Foreign Holdco”) and (b) any (direct or indirect) subsidiary (including a disregarded entity for U.S. federal income tax purposes) of the Borrower substantially all of whose assets are direct or indirect interests in the equity or equity and debt of one or more Foreign Holdcos, and (c) any (direct or indirect) subsidiary of a subsidiary described in clause (a) or (b) or, for any (direct or indirect) subsidiary of Borrower (including a disregarded entity for U.S. federal income tax purposes), whose provision of a guarantee would reasonably result in an investment in “United States property” by a controlled foreign corporation within the meaning of sections 956 and 957 of the Code (or any similar law or regulation in any applicable jurisdiction) or otherwise result in adverse tax consequences to the Borrower and/or its Affiliates, as reasonably determined by the Borrower.</w:t>
      </w:r>
    </w:p>
    <w:p>
      <w:pPr>
        <w:spacing w:after="0" w:line="19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Obligations</w:t>
      </w:r>
      <w:r>
        <w:rPr>
          <w:rFonts w:ascii="Arial" w:cs="Arial" w:eastAsia="Arial" w:hAnsi="Arial"/>
          <w:sz w:val="18"/>
          <w:szCs w:val="18"/>
          <w:color w:val="auto"/>
        </w:rPr>
        <w:t>” means the due and punctual payment and performance of all obligations of Holdings, the Borrower and any Restricted Subsidiaries in respect of any overdraft and related liabilities arising from treasury, depository, cash pooling arrangements and cash management services, corporate credit and purchasing cards and related programs or any automated clearing house transfers of funds (collectively, “</w:t>
      </w:r>
      <w:r>
        <w:rPr>
          <w:rFonts w:ascii="Arial" w:cs="Arial" w:eastAsia="Arial" w:hAnsi="Arial"/>
          <w:sz w:val="18"/>
          <w:szCs w:val="18"/>
          <w:u w:val="single" w:color="auto"/>
          <w:color w:val="auto"/>
        </w:rPr>
        <w:t>Cash Management Services</w:t>
      </w:r>
      <w:r>
        <w:rPr>
          <w:rFonts w:ascii="Arial" w:cs="Arial" w:eastAsia="Arial" w:hAnsi="Arial"/>
          <w:sz w:val="18"/>
          <w:szCs w:val="18"/>
          <w:color w:val="auto"/>
        </w:rPr>
        <w:t>”) provided to Holdings, the Borrower or any Subsidiary (whether absolute or contingent and howsoever and whenever created, arising, evidenced or acquired (including all renewals, extensions and modifications thereof and substitutions therefor)) that are (a) owed to the First Lien Administrative Agent, a Joint Lead Arranger, a Lender or any of their respective Affiliates, (b) owed on the Effective Date to a Person that is a Lender or an Affiliate of a Lender as of the Effective Date or (c) owed to a Person that is an Agent, a Lender or an Affiliate of an Agent or Lender at the time such obligations are incurred.</w:t>
      </w:r>
    </w:p>
    <w:p>
      <w:pPr>
        <w:spacing w:after="0" w:line="1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(a) the First Lien Loan Document Obligations, (b) the Secured Cash Management Obligations and (c) the Secured Swap Obligations (excluding with respect to any Loan Guarantor, Excluded Swap Obligations of such Loan Guarantor).</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(a) each Lender, (b) each Issuing Bank, (c) the First Lien Administrative Agent, (d) the First Lien Collateral Agent, (e) each Joint Lead Arranger, (f) each Person to whom any Secured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21" w:right="339" w:bottom="1440" w:gutter="0" w:footer="0" w:header="0"/>
        </w:sectPr>
      </w:pPr>
    </w:p>
    <w:bookmarkStart w:id="60" w:name="page61"/>
    <w:bookmarkEnd w:id="60"/>
    <w:p>
      <w:pPr>
        <w:jc w:val="both"/>
        <w:spacing w:after="0" w:line="263" w:lineRule="auto"/>
        <w:rPr>
          <w:sz w:val="20"/>
          <w:szCs w:val="20"/>
          <w:color w:val="auto"/>
        </w:rPr>
      </w:pPr>
      <w:r>
        <w:rPr>
          <w:rFonts w:ascii="Arial" w:cs="Arial" w:eastAsia="Arial" w:hAnsi="Arial"/>
          <w:sz w:val="18"/>
          <w:szCs w:val="18"/>
          <w:color w:val="auto"/>
        </w:rPr>
        <w:t>Management Obligations are owed, (g) each counterparty to any Swap Agreement the obligations under which constitute Secured Swap Obligations, (h) the beneficiaries of each indemnification obligation undertaken by any Loan Party under any First Lien Loan Document and (i) the permitted successors and assigns of each of the foregoing.</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Swap Obligations</w:t>
      </w:r>
      <w:r>
        <w:rPr>
          <w:rFonts w:ascii="Arial" w:cs="Arial" w:eastAsia="Arial" w:hAnsi="Arial"/>
          <w:sz w:val="18"/>
          <w:szCs w:val="18"/>
          <w:color w:val="auto"/>
        </w:rPr>
        <w:t>” means the due and punctual payment and performance of all obligations of Holdings and its Restricted Subsidiaries under each Swap Agreement that (a) is with a counterparty that is the First Lien Administrative Agent, a Joint Lead Arranger, a Lender or any of their respective Affiliates, (b) is in effect on the Effective Date with a counterparty that is a Lender, an Agent or an Affiliate of a Lender or an Agent as of the Effective Date or (c) is entered into after the Effective Date with any counterparty that is a Lender, an Agent or an Affiliate of a Lender or an Agent at the time such Swap Agreement is entered into.</w:t>
      </w:r>
    </w:p>
    <w:p>
      <w:pPr>
        <w:spacing w:after="0" w:line="188"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Assets</w:t>
      </w:r>
      <w:r>
        <w:rPr>
          <w:rFonts w:ascii="Arial" w:cs="Arial" w:eastAsia="Arial" w:hAnsi="Arial"/>
          <w:sz w:val="16"/>
          <w:szCs w:val="16"/>
          <w:color w:val="auto"/>
        </w:rPr>
        <w:t>” means the accounts receivable, royalty and other similar rights to payment and any other assets related thereto subject to a Qualified Securitization Facility that are customarily sold or pledged in connection with securitization transactions and the proceeds thereof.</w:t>
      </w:r>
    </w:p>
    <w:p>
      <w:pPr>
        <w:spacing w:after="0" w:line="12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Facility</w:t>
      </w:r>
      <w:r>
        <w:rPr>
          <w:rFonts w:ascii="Arial" w:cs="Arial" w:eastAsia="Arial" w:hAnsi="Arial"/>
          <w:sz w:val="17"/>
          <w:szCs w:val="17"/>
          <w:color w:val="auto"/>
        </w:rPr>
        <w:t>” means any of one or more receivables securitization financing facilities as amended, supplemented, modified, extended, renewed, restated or refunded from time to time, the obligations of which are non-recourse (except for customary representations, warranties and indemnities made in connection with such facilities) to Holdings or any Restricted Subsidiary (other than a Securitization Subsidiary) pursuant to which Holdings or any Restricted Subsidiary sells or grants a security interest in its accounts receivable or assets related thereto that are customarily sold or pledged in connection with securitization transactions to either (a) a Person that is not a Restricted Subsidiary or (b) a Securitization Subsidiary that in turn sells its accounts receivable to a Person that is not a Restricted Subsidiary.</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Facility.</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Subsidiary</w:t>
      </w:r>
      <w:r>
        <w:rPr>
          <w:rFonts w:ascii="Arial" w:cs="Arial" w:eastAsia="Arial" w:hAnsi="Arial"/>
          <w:sz w:val="18"/>
          <w:szCs w:val="18"/>
          <w:color w:val="auto"/>
        </w:rPr>
        <w:t>” means any Subsidiary formed for the purpose of, and that solely engages only in one or more Qualified Securitization Facilities and other activities reasonably related thereto.</w:t>
      </w:r>
    </w:p>
    <w:p>
      <w:pPr>
        <w:spacing w:after="0" w:line="170"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means the First Lien Collateral Agreement, the Mortgages and each other security agreement or pledge agreement executed and delivered pursuant to the Collateral and Guarantee Requirement or Sections 5.11, 5.12 or 5.14 to secure any of the Secured Obligations.</w:t>
      </w:r>
    </w:p>
    <w:p>
      <w:pPr>
        <w:spacing w:after="0" w:line="12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Representative</w:t>
      </w:r>
      <w:r>
        <w:rPr>
          <w:rFonts w:ascii="Arial" w:cs="Arial" w:eastAsia="Arial" w:hAnsi="Arial"/>
          <w:sz w:val="18"/>
          <w:szCs w:val="18"/>
          <w:color w:val="auto"/>
        </w:rPr>
        <w:t xml:space="preserve">” means, with respect to any series of Indebtedness permitted by this Agreement to be secured by the Collateral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8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Secured First Lien Net Leverage Ratio</w:t>
      </w:r>
      <w:r>
        <w:rPr>
          <w:rFonts w:ascii="Arial" w:cs="Arial" w:eastAsia="Arial" w:hAnsi="Arial"/>
          <w:sz w:val="17"/>
          <w:szCs w:val="17"/>
          <w:color w:val="auto"/>
        </w:rPr>
        <w:t>” means, as of any date of determination, the ratio, on a Pro Forma Basis, of (a) Consolidated Senior Secured First Lien Net Indebtedness as of such date to (b) Consolidated EBITDA for the most recently ended Test Period.</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Secured Net Leverage Ratio</w:t>
      </w:r>
      <w:r>
        <w:rPr>
          <w:rFonts w:ascii="Arial" w:cs="Arial" w:eastAsia="Arial" w:hAnsi="Arial"/>
          <w:sz w:val="18"/>
          <w:szCs w:val="18"/>
          <w:color w:val="auto"/>
        </w:rPr>
        <w:t>” means, as of any date of determination, the ratio, on a Pro Forma Basis, of (a) Consolidated Senior Secured Indebtedness as of such date to (b) Consolidated EBITDA for the most recently completed Test Period.</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w:t>
      </w:r>
      <w:r>
        <w:rPr>
          <w:rFonts w:ascii="Arial" w:cs="Arial" w:eastAsia="Arial" w:hAnsi="Arial"/>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21" w:right="339" w:bottom="1440" w:gutter="0" w:footer="0" w:header="0"/>
        </w:sectPr>
      </w:pPr>
    </w:p>
    <w:bookmarkStart w:id="61" w:name="page62"/>
    <w:bookmarkEnd w:id="61"/>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Asset</w:t>
      </w:r>
      <w:r>
        <w:rPr>
          <w:rFonts w:ascii="Arial" w:cs="Arial" w:eastAsia="Arial" w:hAnsi="Arial"/>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Indebtedness</w:t>
      </w:r>
      <w:r>
        <w:rPr>
          <w:rFonts w:ascii="Arial" w:cs="Arial" w:eastAsia="Arial" w:hAnsi="Arial"/>
          <w:sz w:val="18"/>
          <w:szCs w:val="18"/>
          <w:color w:val="auto"/>
        </w:rPr>
        <w:t>” means any payment or reimbursement obligation in respect of a Settlement Payment.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Lien</w:t>
      </w:r>
      <w:r>
        <w:rPr>
          <w:rFonts w:ascii="Arial" w:cs="Arial" w:eastAsia="Arial" w:hAnsi="Arial"/>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Payment</w:t>
      </w:r>
      <w:r>
        <w:rPr>
          <w:rFonts w:ascii="Arial" w:cs="Arial" w:eastAsia="Arial" w:hAnsi="Arial"/>
          <w:sz w:val="18"/>
          <w:szCs w:val="18"/>
          <w:color w:val="auto"/>
        </w:rPr>
        <w:t>” means the transfer, or contractual undertaking (including by automated clearing house transaction) to effect a transfer, of cash or other property to effect a Settlement.</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 Receivable</w:t>
      </w:r>
      <w:r>
        <w:rPr>
          <w:rFonts w:ascii="Arial" w:cs="Arial" w:eastAsia="Arial" w:hAnsi="Arial"/>
          <w:sz w:val="17"/>
          <w:szCs w:val="17"/>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4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a rate per annum equal to the secured overnight financing rate for such Business Day published by the Federal Reserve Bank of 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w:t>
      </w:r>
      <w:r>
        <w:rPr>
          <w:rFonts w:ascii="Arial" w:cs="Arial" w:eastAsia="Arial" w:hAnsi="Arial"/>
          <w:sz w:val="18"/>
          <w:szCs w:val="18"/>
          <w:color w:val="auto"/>
        </w:rPr>
        <w:t>” means, with respect to any RFR Business Day, a rate per annum equal to the Sterling Overnight Index Average for such RFR Business Day published by the SONIA Administrator on the SONIA Administrator’s Website.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means an Event of Default under Section 7.01(a), (b), (h) or (i).</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w:t>
      </w:r>
      <w:r>
        <w:rPr>
          <w:rFonts w:ascii="Arial" w:cs="Arial" w:eastAsia="Arial" w:hAnsi="Arial"/>
          <w:sz w:val="18"/>
          <w:szCs w:val="18"/>
          <w:color w:val="auto"/>
        </w:rPr>
        <w:t>” means, with respect to any period, any Investment, sale, transfer or other disposition of assets, incurrence or repayment of Indebtedness, Restricted Payment, subsidiary designation, New Project or other event that by the terms of the First Lien Loan Documents requires “Pro Forma Compliance” with a test or covenant hereunder or requires such test or covenant to be calculated on a Pro Forma Basis after giving Pro Forma Effect thereto.</w:t>
      </w:r>
    </w:p>
    <w:p>
      <w:pPr>
        <w:spacing w:after="0" w:line="187"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Spot Rate</w:t>
      </w:r>
      <w:r>
        <w:rPr>
          <w:rFonts w:ascii="Arial" w:cs="Arial" w:eastAsia="Arial" w:hAnsi="Arial"/>
          <w:sz w:val="17"/>
          <w:szCs w:val="17"/>
          <w:color w:val="auto"/>
        </w:rPr>
        <w:t>” means, on any day, with respect to any currency other than Dollars (for purposes of determining the Dollar Amount thereof) or Dollars (for purposes of determining the Alternative Currency 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First Lien Administrative Agent for such purpose, or, at the discretion of the First Lien Administrative Agent, such Spot Rate shall instead be the arithmetic average of the spot rates of exchange of the First Lien Administrative Agent in the market where its foreign currency exchange operations in respect of such currency are then being conducted, at or about 10:00 a.m., local time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21" w:right="3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 xml:space="preserve">market, two (2) Business Days prior to such date for the purchase of Dollars or the applicable Alternative Currency, as the case may be, for delivery two (2) Business Days later;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of any such determination, for any reason, no such spot rate is being quoted, the First Lien Administrative Agent may use any other reasonable method it deems appropriate to determine such rate, and such determination shall be presumed correct absent manifest error.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Starter Basket</w:t>
      </w:r>
      <w:r>
        <w:rPr>
          <w:rFonts w:ascii="Arial" w:cs="Arial" w:eastAsia="Arial" w:hAnsi="Arial"/>
          <w:sz w:val="18"/>
          <w:szCs w:val="18"/>
          <w:color w:val="auto"/>
        </w:rPr>
        <w:t>” has the meaning assigned to such term in the definition of “Available Amount.”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xml:space="preserve">” means a fraction (expressed as a decimal), the numerator of which is the number one and the denominator of which is the number one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Eurodollar Loans shall be deemed to be subject to such reserve, liquid asset or similar requirements without benefit of or credit for proration, exemptions or offsets that may be available from time to time to any Lender under Regulation D of the Board of Governors or any other Requirements of Law. The Statutory Reserve Rate shall be adjusted automatically on and as of the effective date of any change in any reserve percentage.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 mean the lawful currency for the time being of the United Kingdom.</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u w:val="single" w:color="auto"/>
          <w:color w:val="auto"/>
        </w:rPr>
        <w:t>parent</w:t>
      </w:r>
      <w:r>
        <w:rPr>
          <w:rFonts w:ascii="Arial" w:cs="Arial" w:eastAsia="Arial" w:hAnsi="Arial"/>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Holdings (unless otherwise specified).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Loan Party</w:t>
      </w:r>
      <w:r>
        <w:rPr>
          <w:rFonts w:ascii="Arial" w:cs="Arial" w:eastAsia="Arial" w:hAnsi="Arial"/>
          <w:sz w:val="18"/>
          <w:szCs w:val="18"/>
          <w:color w:val="auto"/>
        </w:rPr>
        <w:t>” means each Subsidiary of Holdings that is a party to the First Lien Guarantee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Borrower</w:t>
      </w:r>
      <w:r>
        <w:rPr>
          <w:rFonts w:ascii="Arial" w:cs="Arial" w:eastAsia="Arial" w:hAnsi="Arial"/>
          <w:sz w:val="18"/>
          <w:szCs w:val="18"/>
          <w:color w:val="auto"/>
        </w:rPr>
        <w:t>” has the meaning assigned to such term in Section 6.03(a)(iv).</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assigned to such term in Section 9.21.</w:t>
      </w:r>
    </w:p>
    <w:p>
      <w:pPr>
        <w:spacing w:after="0" w:line="18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means the commitment of the Swingline Lender to make Swingline Loans up to an aggregate principal amount not to exceed $25,000,000.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21" w:right="339" w:bottom="1440" w:gutter="0" w:footer="0" w:header="0"/>
        </w:sectPr>
      </w:pPr>
    </w:p>
    <w:bookmarkStart w:id="63" w:name="page64"/>
    <w:bookmarkEnd w:id="63"/>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Swingline Exposure</w:t>
      </w:r>
      <w:r>
        <w:rPr>
          <w:rFonts w:ascii="Arial" w:cs="Arial" w:eastAsia="Arial" w:hAnsi="Arial"/>
          <w:sz w:val="17"/>
          <w:szCs w:val="17"/>
          <w:color w:val="auto"/>
        </w:rPr>
        <w:t>” means, at any time, the aggregate principal amount of all Swingline Loans outstanding at such time. The Swingline Exposure of any Revolving Lender at any time shall be its Applicable Percentage of the aggregate Swingline Exposure at such time.</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(a) Goldman Sachs and (b) each Revolving Lender that shall have become a Swingline Lender hereunder as provided in Section 2.04(d) (other than any Person that shall have ceased to be a Swingline Lender as provided in Section 2.04(e)), each in its capacity as a lender of Swingline Loans hereunder.</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2.04.</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First Lien Administrative Agent to be a suitable replacement) is open for the settlement of payments in Euros.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Distributions</w:t>
      </w:r>
      <w:r>
        <w:rPr>
          <w:rFonts w:ascii="Arial" w:cs="Arial" w:eastAsia="Arial" w:hAnsi="Arial"/>
          <w:sz w:val="18"/>
          <w:szCs w:val="18"/>
          <w:color w:val="auto"/>
        </w:rPr>
        <w:t>” has the meaning assigned to such term in Section 6.07(a)(vii)(A).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Group</w:t>
      </w:r>
      <w:r>
        <w:rPr>
          <w:rFonts w:ascii="Arial" w:cs="Arial" w:eastAsia="Arial" w:hAnsi="Arial"/>
          <w:sz w:val="18"/>
          <w:szCs w:val="18"/>
          <w:color w:val="auto"/>
        </w:rPr>
        <w:t>” has the meaning assigned to such term in Section 6.07(a)(vii)(A).</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charges or withholdings imposed by any Governmental Authority, including any interest, additions to tax or penalties applicable thereto.</w:t>
      </w:r>
    </w:p>
    <w:p>
      <w:pPr>
        <w:spacing w:after="0" w:line="170" w:lineRule="exact"/>
        <w:rPr>
          <w:sz w:val="20"/>
          <w:szCs w:val="20"/>
          <w:color w:val="auto"/>
        </w:rPr>
      </w:pPr>
    </w:p>
    <w:p>
      <w:pPr>
        <w:ind w:right="100"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Commitment</w:t>
      </w:r>
      <w:r>
        <w:rPr>
          <w:rFonts w:ascii="Arial" w:cs="Arial" w:eastAsia="Arial" w:hAnsi="Arial"/>
          <w:sz w:val="16"/>
          <w:szCs w:val="16"/>
          <w:color w:val="auto"/>
        </w:rPr>
        <w:t>” means, with respect to each Lender, the commitment, if any, of such Lender to make a Term Loan hereunder, expressed as an amount representing the maximum principal amount of the Term Loan to be made by such Lender hereunder, as such commitment may be</w:t>
      </w:r>
    </w:p>
    <w:p>
      <w:pPr>
        <w:ind w:right="20" w:firstLine="8"/>
        <w:spacing w:after="0" w:line="271" w:lineRule="auto"/>
        <w:tabs>
          <w:tab w:leader="none" w:pos="2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reduced from time to time pursuant to Section 2.08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shall be set forth in the Assignment and Assumption pursuant to which such Lender shall have assumed its Term Commitment, Incremental Facility Amendment, Loan Modification Agreement or Refinancing Amendment, as the case may be. For the avoidance of doubt, as of the Effective Date, the total Term Commitment is zero.</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 Lender with a Term Commitment or an outstanding Term Loan.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Other First Lien Term Loans and First Lien Incremental Term Loans, as the context requires.</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the forward-looking term rate based on SOFR that has been selected or recommended by the Relevant Governmental Body.</w:t>
      </w:r>
    </w:p>
    <w:p>
      <w:pPr>
        <w:spacing w:after="0" w:line="170"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means the date on which all Commitments have expired or been terminated, all Secured Obligations have been paid in full in cash (other than (x) Secured Swap Obligations not yet due and payable, (y) Secured Cash Management Obligations not yet due and payable and</w:t>
      </w:r>
    </w:p>
    <w:p>
      <w:pPr>
        <w:jc w:val="both"/>
        <w:ind w:firstLine="8"/>
        <w:spacing w:after="0" w:line="255" w:lineRule="auto"/>
        <w:tabs>
          <w:tab w:leader="none" w:pos="2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w:t>
      </w:r>
    </w:p>
    <w:p>
      <w:pPr>
        <w:spacing w:after="0" w:line="190" w:lineRule="exact"/>
        <w:rPr>
          <w:sz w:val="20"/>
          <w:szCs w:val="20"/>
          <w:color w:val="auto"/>
        </w:rPr>
      </w:pPr>
    </w:p>
    <w:p>
      <w:pPr>
        <w:jc w:val="both"/>
        <w:ind w:right="20"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Test Period</w:t>
      </w:r>
      <w:r>
        <w:rPr>
          <w:rFonts w:ascii="Arial" w:cs="Arial" w:eastAsia="Arial" w:hAnsi="Arial"/>
          <w:sz w:val="16"/>
          <w:szCs w:val="16"/>
          <w:color w:val="auto"/>
        </w:rPr>
        <w:t>” means, at any date of determination, (x) for the purposes of (i) the definition of “Applicable Rate”, (ii) the definition of “Commitment Fee Percentage” and (iii) Section 6.11, the period of four consecutive fiscal quarters of Holdings then last ended as of such time for which financial statements have been delivered pursuant to Section 5.01(a) or (b) and (y) for all other purposes in this Agreement, the most recent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21"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of twelve consecutive months of the Borrower ended on or prior to such time, in respect of which the financial information necessary to calculate the relevant ratio is internally available.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means, as of any date of determination, the ratio, on a Pro Forma Basis, of (a) Consolidated Total Net Indebtedness as of such date to (b) Consolidated EBITDA for the most recently ended Test Period.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w:t>
      </w:r>
      <w:r>
        <w:rPr>
          <w:rFonts w:ascii="Arial" w:cs="Arial" w:eastAsia="Arial" w:hAnsi="Arial"/>
          <w:sz w:val="18"/>
          <w:szCs w:val="18"/>
          <w:color w:val="auto"/>
        </w:rPr>
        <w:t>” has the meaning assigned to such term in the First Lien Collateral Agreement.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all fees, costs and expenses incurred or payable by Holdings, the Borrower or any other Subsidiary in connection with the Transactions.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(a) the First Lien Financing Transactions, (b) the Refinancing and (c) the payment of the Transaction Costs.</w:t>
      </w:r>
    </w:p>
    <w:p>
      <w:pPr>
        <w:spacing w:after="0" w:line="23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Adjusted BA Rate, Adjusted EURIBOR, Alternate Base Rate, Daily Simply RFR or Canadian Base Rate.</w:t>
      </w:r>
    </w:p>
    <w:p>
      <w:pPr>
        <w:spacing w:after="0" w:line="184"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or “</w:t>
      </w:r>
      <w:r>
        <w:rPr>
          <w:rFonts w:ascii="Arial" w:cs="Arial" w:eastAsia="Arial" w:hAnsi="Arial"/>
          <w:sz w:val="16"/>
          <w:szCs w:val="16"/>
          <w:u w:val="single" w:color="auto"/>
          <w:color w:val="auto"/>
        </w:rPr>
        <w:t>Uniform Commercial Code</w:t>
      </w:r>
      <w:r>
        <w:rPr>
          <w:rFonts w:ascii="Arial" w:cs="Arial" w:eastAsia="Arial" w:hAnsi="Arial"/>
          <w:sz w:val="16"/>
          <w:szCs w:val="16"/>
          <w:color w:val="auto"/>
        </w:rPr>
        <w:t xml:space="preserve">” means the Uniform Commercial Code as in effect from time to time in the State of New York;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at any time, if by reason of mandatory provisions of law, any or all of the perfection or priority of the First Lien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w:t>
      </w:r>
    </w:p>
    <w:p>
      <w:pPr>
        <w:spacing w:after="0" w:line="16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On an exception basis and if specifically requested by the Borrower, a standby Letter of Credit may be issued subject to UCP.</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has the meaning assigned to such term in Section 9.21.</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6"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63"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Undisclosed Administration</w:t>
      </w:r>
      <w:r>
        <w:rPr>
          <w:rFonts w:ascii="Arial" w:cs="Arial" w:eastAsia="Arial" w:hAnsi="Arial"/>
          <w:sz w:val="16"/>
          <w:szCs w:val="16"/>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has the meaning assigned to such term in Section 2.17(f)(2)(ii)(C).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21" w:right="339" w:bottom="1440" w:gutter="0" w:footer="0" w:header="0"/>
        </w:sectPr>
      </w:pPr>
    </w:p>
    <w:bookmarkStart w:id="65" w:name="page66"/>
    <w:bookmarkEnd w:id="65"/>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 any Subsidiary designated by the Borrower as an Unrestricted Subsidiary pursuant to Section 5.13 subsequent to the Effective Date.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w:t>
      </w:r>
    </w:p>
    <w:p>
      <w:pPr>
        <w:spacing w:after="0" w:line="170"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Restricted Subsidiary</w:t>
      </w:r>
      <w:r>
        <w:rPr>
          <w:rFonts w:ascii="Arial" w:cs="Arial" w:eastAsia="Arial" w:hAnsi="Arial"/>
          <w:sz w:val="18"/>
          <w:szCs w:val="18"/>
          <w:color w:val="auto"/>
        </w:rPr>
        <w:t>” means any Restricted Subsidiary that is a Wholly Owned Subsidiary.</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 Owned Subsidiary</w:t>
      </w:r>
      <w:r>
        <w:rPr>
          <w:rFonts w:ascii="Arial" w:cs="Arial" w:eastAsia="Arial" w:hAnsi="Arial"/>
          <w:sz w:val="17"/>
          <w:szCs w:val="17"/>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I.02</w:t>
      </w:r>
      <w:r>
        <w:rPr>
          <w:sz w:val="20"/>
          <w:szCs w:val="20"/>
          <w:color w:val="auto"/>
        </w:rPr>
        <w:tab/>
      </w:r>
      <w:r>
        <w:rPr>
          <w:rFonts w:ascii="Arial" w:cs="Arial" w:eastAsia="Arial" w:hAnsi="Arial"/>
          <w:sz w:val="16"/>
          <w:szCs w:val="16"/>
          <w:u w:val="single" w:color="auto"/>
          <w:color w:val="auto"/>
        </w:rPr>
        <w:t>Classification of Loans and Borrowings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For purposes of this Agreement, Loans and Borrowings may be classified and referred to by Class (</w:t>
      </w:r>
      <w:r>
        <w:rPr>
          <w:rFonts w:ascii="Arial" w:cs="Arial" w:eastAsia="Arial" w:hAnsi="Arial"/>
          <w:sz w:val="17"/>
          <w:szCs w:val="17"/>
          <w:u w:val="single" w:color="auto"/>
          <w:color w:val="auto"/>
        </w:rPr>
        <w:t>e.g</w:t>
      </w:r>
      <w:r>
        <w:rPr>
          <w:rFonts w:ascii="Arial" w:cs="Arial" w:eastAsia="Arial" w:hAnsi="Arial"/>
          <w:sz w:val="17"/>
          <w:szCs w:val="17"/>
          <w:color w:val="auto"/>
        </w:rPr>
        <w:t>., a “</w:t>
      </w:r>
      <w:r>
        <w:rPr>
          <w:rFonts w:ascii="Arial" w:cs="Arial" w:eastAsia="Arial" w:hAnsi="Arial"/>
          <w:sz w:val="17"/>
          <w:szCs w:val="17"/>
          <w:u w:val="single" w:color="auto"/>
          <w:color w:val="auto"/>
        </w:rPr>
        <w:t>Revolving Loan</w:t>
      </w:r>
      <w:r>
        <w:rPr>
          <w:rFonts w:ascii="Arial" w:cs="Arial" w:eastAsia="Arial" w:hAnsi="Arial"/>
          <w:sz w:val="17"/>
          <w:szCs w:val="17"/>
          <w:color w:val="auto"/>
        </w:rPr>
        <w:t>”) or by Type (</w:t>
      </w:r>
      <w:r>
        <w:rPr>
          <w:rFonts w:ascii="Arial" w:cs="Arial" w:eastAsia="Arial" w:hAnsi="Arial"/>
          <w:sz w:val="17"/>
          <w:szCs w:val="17"/>
          <w:u w:val="single" w:color="auto"/>
          <w:color w:val="auto"/>
        </w:rPr>
        <w:t>e.g</w:t>
      </w:r>
      <w:r>
        <w:rPr>
          <w:rFonts w:ascii="Arial" w:cs="Arial" w:eastAsia="Arial" w:hAnsi="Arial"/>
          <w:sz w:val="17"/>
          <w:szCs w:val="17"/>
          <w:color w:val="auto"/>
        </w:rPr>
        <w:t>., a “</w:t>
      </w:r>
      <w:r>
        <w:rPr>
          <w:rFonts w:ascii="Arial" w:cs="Arial" w:eastAsia="Arial" w:hAnsi="Arial"/>
          <w:sz w:val="17"/>
          <w:szCs w:val="17"/>
          <w:u w:val="single" w:color="auto"/>
          <w:color w:val="auto"/>
        </w:rPr>
        <w:t>Eurodollar Loan</w:t>
      </w:r>
      <w:r>
        <w:rPr>
          <w:rFonts w:ascii="Arial" w:cs="Arial" w:eastAsia="Arial" w:hAnsi="Arial"/>
          <w:sz w:val="17"/>
          <w:szCs w:val="17"/>
          <w:color w:val="auto"/>
        </w:rPr>
        <w:t>”, “</w:t>
      </w:r>
      <w:r>
        <w:rPr>
          <w:rFonts w:ascii="Arial" w:cs="Arial" w:eastAsia="Arial" w:hAnsi="Arial"/>
          <w:sz w:val="17"/>
          <w:szCs w:val="17"/>
          <w:u w:val="single" w:color="auto"/>
          <w:color w:val="auto"/>
        </w:rPr>
        <w:t>ABR Loan</w:t>
      </w:r>
      <w:r>
        <w:rPr>
          <w:rFonts w:ascii="Arial" w:cs="Arial" w:eastAsia="Arial" w:hAnsi="Arial"/>
          <w:sz w:val="17"/>
          <w:szCs w:val="17"/>
          <w:color w:val="auto"/>
        </w:rPr>
        <w:t>” or “</w:t>
      </w:r>
      <w:r>
        <w:rPr>
          <w:rFonts w:ascii="Arial" w:cs="Arial" w:eastAsia="Arial" w:hAnsi="Arial"/>
          <w:sz w:val="17"/>
          <w:szCs w:val="17"/>
          <w:u w:val="single" w:color="auto"/>
          <w:color w:val="auto"/>
        </w:rPr>
        <w:t>RFR Loan</w:t>
      </w:r>
      <w:r>
        <w:rPr>
          <w:rFonts w:ascii="Arial" w:cs="Arial" w:eastAsia="Arial" w:hAnsi="Arial"/>
          <w:sz w:val="17"/>
          <w:szCs w:val="17"/>
          <w:color w:val="auto"/>
        </w:rPr>
        <w:t>”) or by Class and Type (</w:t>
      </w:r>
      <w:r>
        <w:rPr>
          <w:rFonts w:ascii="Arial" w:cs="Arial" w:eastAsia="Arial" w:hAnsi="Arial"/>
          <w:sz w:val="17"/>
          <w:szCs w:val="17"/>
          <w:u w:val="single" w:color="auto"/>
          <w:color w:val="auto"/>
        </w:rPr>
        <w:t>e.g</w:t>
      </w:r>
      <w:r>
        <w:rPr>
          <w:rFonts w:ascii="Arial" w:cs="Arial" w:eastAsia="Arial" w:hAnsi="Arial"/>
          <w:sz w:val="17"/>
          <w:szCs w:val="17"/>
          <w:color w:val="auto"/>
        </w:rPr>
        <w:t>., a “</w:t>
      </w:r>
      <w:r>
        <w:rPr>
          <w:rFonts w:ascii="Arial" w:cs="Arial" w:eastAsia="Arial" w:hAnsi="Arial"/>
          <w:sz w:val="17"/>
          <w:szCs w:val="17"/>
          <w:u w:val="single" w:color="auto"/>
          <w:color w:val="auto"/>
        </w:rPr>
        <w:t>Eurodollar Revolving Loan</w:t>
      </w:r>
      <w:r>
        <w:rPr>
          <w:rFonts w:ascii="Arial" w:cs="Arial" w:eastAsia="Arial" w:hAnsi="Arial"/>
          <w:sz w:val="17"/>
          <w:szCs w:val="17"/>
          <w:color w:val="auto"/>
        </w:rPr>
        <w:t>”). Borrowings also may be classified and referred to by Class (</w:t>
      </w:r>
      <w:r>
        <w:rPr>
          <w:rFonts w:ascii="Arial" w:cs="Arial" w:eastAsia="Arial" w:hAnsi="Arial"/>
          <w:sz w:val="17"/>
          <w:szCs w:val="17"/>
          <w:u w:val="single" w:color="auto"/>
          <w:color w:val="auto"/>
        </w:rPr>
        <w:t>e.g</w:t>
      </w:r>
      <w:r>
        <w:rPr>
          <w:rFonts w:ascii="Arial" w:cs="Arial" w:eastAsia="Arial" w:hAnsi="Arial"/>
          <w:sz w:val="17"/>
          <w:szCs w:val="17"/>
          <w:color w:val="auto"/>
        </w:rPr>
        <w:t>., a “</w:t>
      </w:r>
      <w:r>
        <w:rPr>
          <w:rFonts w:ascii="Arial" w:cs="Arial" w:eastAsia="Arial" w:hAnsi="Arial"/>
          <w:sz w:val="17"/>
          <w:szCs w:val="17"/>
          <w:u w:val="single" w:color="auto"/>
          <w:color w:val="auto"/>
        </w:rPr>
        <w:t>Revolving Borrowing</w:t>
      </w:r>
      <w:r>
        <w:rPr>
          <w:rFonts w:ascii="Arial" w:cs="Arial" w:eastAsia="Arial" w:hAnsi="Arial"/>
          <w:sz w:val="17"/>
          <w:szCs w:val="17"/>
          <w:color w:val="auto"/>
        </w:rPr>
        <w:t>” or “</w:t>
      </w:r>
      <w:r>
        <w:rPr>
          <w:rFonts w:ascii="Arial" w:cs="Arial" w:eastAsia="Arial" w:hAnsi="Arial"/>
          <w:sz w:val="17"/>
          <w:szCs w:val="17"/>
          <w:u w:val="single" w:color="auto"/>
          <w:color w:val="auto"/>
        </w:rPr>
        <w:t>Term Borrowing</w:t>
      </w:r>
      <w:r>
        <w:rPr>
          <w:rFonts w:ascii="Arial" w:cs="Arial" w:eastAsia="Arial" w:hAnsi="Arial"/>
          <w:sz w:val="17"/>
          <w:szCs w:val="17"/>
          <w:color w:val="auto"/>
        </w:rPr>
        <w:t>”) or by Type (</w:t>
      </w:r>
      <w:r>
        <w:rPr>
          <w:rFonts w:ascii="Arial" w:cs="Arial" w:eastAsia="Arial" w:hAnsi="Arial"/>
          <w:sz w:val="17"/>
          <w:szCs w:val="17"/>
          <w:u w:val="single" w:color="auto"/>
          <w:color w:val="auto"/>
        </w:rPr>
        <w:t>e.g</w:t>
      </w:r>
      <w:r>
        <w:rPr>
          <w:rFonts w:ascii="Arial" w:cs="Arial" w:eastAsia="Arial" w:hAnsi="Arial"/>
          <w:sz w:val="17"/>
          <w:szCs w:val="17"/>
          <w:color w:val="auto"/>
        </w:rPr>
        <w:t>., a “</w:t>
      </w:r>
      <w:r>
        <w:rPr>
          <w:rFonts w:ascii="Arial" w:cs="Arial" w:eastAsia="Arial" w:hAnsi="Arial"/>
          <w:sz w:val="17"/>
          <w:szCs w:val="17"/>
          <w:u w:val="single" w:color="auto"/>
          <w:color w:val="auto"/>
        </w:rPr>
        <w:t>Eurodollar Borrowing</w:t>
      </w:r>
      <w:r>
        <w:rPr>
          <w:rFonts w:ascii="Arial" w:cs="Arial" w:eastAsia="Arial" w:hAnsi="Arial"/>
          <w:sz w:val="17"/>
          <w:szCs w:val="17"/>
          <w:color w:val="auto"/>
        </w:rPr>
        <w:t>”) or by Class and Type (</w:t>
      </w:r>
      <w:r>
        <w:rPr>
          <w:rFonts w:ascii="Arial" w:cs="Arial" w:eastAsia="Arial" w:hAnsi="Arial"/>
          <w:sz w:val="17"/>
          <w:szCs w:val="17"/>
          <w:u w:val="single" w:color="auto"/>
          <w:color w:val="auto"/>
        </w:rPr>
        <w:t>e.g</w:t>
      </w:r>
      <w:r>
        <w:rPr>
          <w:rFonts w:ascii="Arial" w:cs="Arial" w:eastAsia="Arial" w:hAnsi="Arial"/>
          <w:sz w:val="17"/>
          <w:szCs w:val="17"/>
          <w:color w:val="auto"/>
        </w:rPr>
        <w:t>., a “</w:t>
      </w:r>
      <w:r>
        <w:rPr>
          <w:rFonts w:ascii="Arial" w:cs="Arial" w:eastAsia="Arial" w:hAnsi="Arial"/>
          <w:sz w:val="17"/>
          <w:szCs w:val="17"/>
          <w:u w:val="single" w:color="auto"/>
          <w:color w:val="auto"/>
        </w:rPr>
        <w:t>Eurodollar Revolving Borrowing</w:t>
      </w:r>
      <w:r>
        <w:rPr>
          <w:rFonts w:ascii="Arial" w:cs="Arial" w:eastAsia="Arial" w:hAnsi="Arial"/>
          <w:sz w:val="17"/>
          <w:szCs w:val="17"/>
          <w:color w:val="auto"/>
        </w:rPr>
        <w:t>”). Borrowings of Revolving Loans are sometimes referred to herein as “</w:t>
      </w:r>
      <w:r>
        <w:rPr>
          <w:rFonts w:ascii="Arial" w:cs="Arial" w:eastAsia="Arial" w:hAnsi="Arial"/>
          <w:sz w:val="17"/>
          <w:szCs w:val="17"/>
          <w:u w:val="single" w:color="auto"/>
          <w:color w:val="auto"/>
        </w:rPr>
        <w:t>Revolving Borrowings</w:t>
      </w:r>
      <w:r>
        <w:rPr>
          <w:rFonts w:ascii="Arial" w:cs="Arial" w:eastAsia="Arial" w:hAnsi="Arial"/>
          <w:sz w:val="17"/>
          <w:szCs w:val="17"/>
          <w:color w:val="auto"/>
        </w:rPr>
        <w:t>”.</w:t>
      </w:r>
    </w:p>
    <w:p>
      <w:pPr>
        <w:spacing w:after="0" w:line="17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I.03</w:t>
      </w:r>
      <w:r>
        <w:rPr>
          <w:sz w:val="20"/>
          <w:szCs w:val="20"/>
          <w:color w:val="auto"/>
        </w:rPr>
        <w:tab/>
      </w:r>
      <w:r>
        <w:rPr>
          <w:rFonts w:ascii="Arial" w:cs="Arial" w:eastAsia="Arial" w:hAnsi="Arial"/>
          <w:sz w:val="16"/>
          <w:szCs w:val="16"/>
          <w:u w:val="single" w:color="auto"/>
          <w:color w:val="auto"/>
        </w:rPr>
        <w:t>Terms Generally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First Lien Loan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21" w:right="339" w:bottom="1440" w:gutter="0" w:footer="0" w:header="0"/>
        </w:sectPr>
      </w:pPr>
    </w:p>
    <w:bookmarkStart w:id="66" w:name="page67"/>
    <w:bookmarkEnd w:id="66"/>
    <w:p>
      <w:pPr>
        <w:jc w:val="both"/>
        <w:spacing w:after="0" w:line="293" w:lineRule="auto"/>
        <w:rPr>
          <w:sz w:val="20"/>
          <w:szCs w:val="20"/>
          <w:color w:val="auto"/>
        </w:rPr>
      </w:pPr>
      <w:r>
        <w:rPr>
          <w:rFonts w:ascii="Arial" w:cs="Arial" w:eastAsia="Arial" w:hAnsi="Arial"/>
          <w:sz w:val="16"/>
          <w:szCs w:val="16"/>
          <w:color w:val="auto"/>
        </w:rPr>
        <w:t>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6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I.04</w:t>
      </w:r>
      <w:r>
        <w:rPr>
          <w:sz w:val="20"/>
          <w:szCs w:val="20"/>
          <w:color w:val="auto"/>
        </w:rPr>
        <w:tab/>
      </w:r>
      <w:r>
        <w:rPr>
          <w:rFonts w:ascii="Arial" w:cs="Arial" w:eastAsia="Arial" w:hAnsi="Arial"/>
          <w:sz w:val="16"/>
          <w:szCs w:val="16"/>
          <w:u w:val="single" w:color="auto"/>
          <w:color w:val="auto"/>
        </w:rPr>
        <w:t>Accounting Terms; GAAP</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1" w:lineRule="auto"/>
        <w:tabs>
          <w:tab w:leader="none" w:pos="1941"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the foregoing, all obligations of Holdings, the Borrower and the Restricted Subsidiaries that are or would have been treated as operating leases for purposes of GAAP prior to the issuance on February 25, 2016 of the ASU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w:t>
      </w:r>
    </w:p>
    <w:p>
      <w:pPr>
        <w:spacing w:after="0" w:line="178" w:lineRule="exact"/>
        <w:rPr>
          <w:rFonts w:ascii="Arial" w:cs="Arial" w:eastAsia="Arial" w:hAnsi="Arial"/>
          <w:sz w:val="17"/>
          <w:szCs w:val="17"/>
          <w:color w:val="auto"/>
        </w:rPr>
      </w:pPr>
    </w:p>
    <w:p>
      <w:pPr>
        <w:jc w:val="both"/>
        <w:ind w:firstLine="1304"/>
        <w:spacing w:after="0" w:line="255" w:lineRule="auto"/>
        <w:tabs>
          <w:tab w:leader="none" w:pos="19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I.05</w:t>
      </w:r>
      <w:r>
        <w:rPr>
          <w:sz w:val="20"/>
          <w:szCs w:val="20"/>
          <w:color w:val="auto"/>
        </w:rPr>
        <w:tab/>
      </w:r>
      <w:r>
        <w:rPr>
          <w:rFonts w:ascii="Arial" w:cs="Arial" w:eastAsia="Arial" w:hAnsi="Arial"/>
          <w:sz w:val="16"/>
          <w:szCs w:val="16"/>
          <w:u w:val="single" w:color="auto"/>
          <w:color w:val="auto"/>
        </w:rPr>
        <w:t>Effectuation of Transactions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All references herein to Holdings, the Borrower and their respective Subsidiaries shall be deemed to be references to such Persons, and all the representations and warranties of Holdings, the Borrower and the other Loan Parties contained in this Agreement and the other First Lien Loan Documents shall be deemed made, in each case, after giving effect to the Transactions to occur on the Effective Date, unless the context otherwise requires.</w:t>
      </w:r>
    </w:p>
    <w:p>
      <w:pPr>
        <w:spacing w:after="0" w:line="14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I.06</w:t>
      </w:r>
      <w:r>
        <w:rPr>
          <w:sz w:val="20"/>
          <w:szCs w:val="20"/>
          <w:color w:val="auto"/>
        </w:rPr>
        <w:tab/>
      </w:r>
      <w:r>
        <w:rPr>
          <w:rFonts w:ascii="Arial" w:cs="Arial" w:eastAsia="Arial" w:hAnsi="Arial"/>
          <w:sz w:val="16"/>
          <w:szCs w:val="16"/>
          <w:u w:val="single" w:color="auto"/>
          <w:color w:val="auto"/>
        </w:rPr>
        <w:t>Limited Condition Transactions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Notwithstanding anything in this Agreement or any First Lien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the Borrower (the Borrower’s election to exercise such option in connection with any Limited Condition Transaction, an “</w:t>
      </w:r>
      <w:r>
        <w:rPr>
          <w:rFonts w:ascii="Arial" w:cs="Arial" w:eastAsia="Arial" w:hAnsi="Arial"/>
          <w:sz w:val="17"/>
          <w:szCs w:val="17"/>
          <w:u w:val="single" w:color="auto"/>
          <w:color w:val="auto"/>
        </w:rPr>
        <w:t>LCT Election</w:t>
      </w:r>
      <w:r>
        <w:rPr>
          <w:rFonts w:ascii="Arial" w:cs="Arial" w:eastAsia="Arial" w:hAnsi="Arial"/>
          <w:sz w:val="17"/>
          <w:szCs w:val="17"/>
          <w:color w:val="auto"/>
        </w:rPr>
        <w:t>”), be deemed to be the date the definitive agreements for such Limited Condition Transaction are entered into (or, in respect of any transaction described in clause (b) of the definition of Limited Condition Transaction, delivery of irrevocable notice or similar event) (the “</w:t>
      </w:r>
      <w:r>
        <w:rPr>
          <w:rFonts w:ascii="Arial" w:cs="Arial" w:eastAsia="Arial" w:hAnsi="Arial"/>
          <w:sz w:val="17"/>
          <w:szCs w:val="17"/>
          <w:u w:val="single" w:color="auto"/>
          <w:color w:val="auto"/>
        </w:rPr>
        <w:t>LCT Test Date</w:t>
      </w:r>
      <w:r>
        <w:rPr>
          <w:rFonts w:ascii="Arial" w:cs="Arial" w:eastAsia="Arial" w:hAnsi="Arial"/>
          <w:sz w:val="17"/>
          <w:szCs w:val="17"/>
          <w:color w:val="auto"/>
        </w:rPr>
        <w:t>”) and if, after such ratios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21" w:right="339" w:bottom="1440" w:gutter="0" w:footer="0" w:header="0"/>
        </w:sectPr>
      </w:pPr>
    </w:p>
    <w:bookmarkStart w:id="67" w:name="page68"/>
    <w:bookmarkEnd w:id="67"/>
    <w:p>
      <w:pPr>
        <w:jc w:val="both"/>
        <w:spacing w:after="0" w:line="285" w:lineRule="auto"/>
        <w:rPr>
          <w:sz w:val="20"/>
          <w:szCs w:val="20"/>
          <w:color w:val="auto"/>
        </w:rPr>
      </w:pPr>
      <w:r>
        <w:rPr>
          <w:rFonts w:ascii="Arial" w:cs="Arial" w:eastAsia="Arial" w:hAnsi="Arial"/>
          <w:sz w:val="16"/>
          <w:szCs w:val="16"/>
          <w:color w:val="auto"/>
        </w:rPr>
        <w:t xml:space="preserve">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the Borrower could have taken such action on the relevant LCT Test Date in compliance with such ratios and provisions, such provisions shall be deemed to have been complied 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option of the Borrower, the relevant ratios and baskets may be recalculated at the time of consummation of such Limited Condition Transaction. For the avoidance of doubt, (x) if any of such ratios or baskets are exceeded (or, with respect to the Interest Coverage Ratio, not reached) as a result of fluctuations in such ratio or basket (including due to fluctuations in Consolidated EBITDA of the Borrower and its Subsidiaries or fluctuations of the target of any Limited Condition Transaction) at or prior to the consummation of the relevant Limited Condition Transaction, such ratios and other provisions will not be deemed to have been exceeded (or, with respect to the Interest Coverage Ratio, not reached)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the Borrower has made an LCT Election for any Limited Condition Transaction, then in connection with any subsequent 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or expires.</w:t>
      </w:r>
    </w:p>
    <w:p>
      <w:pPr>
        <w:spacing w:after="0" w:line="17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I.07</w:t>
      </w:r>
      <w:r>
        <w:rPr>
          <w:sz w:val="20"/>
          <w:szCs w:val="20"/>
          <w:color w:val="auto"/>
        </w:rPr>
        <w:tab/>
      </w:r>
      <w:r>
        <w:rPr>
          <w:rFonts w:ascii="Arial" w:cs="Arial" w:eastAsia="Arial" w:hAnsi="Arial"/>
          <w:sz w:val="16"/>
          <w:szCs w:val="16"/>
          <w:u w:val="single" w:color="auto"/>
          <w:color w:val="auto"/>
        </w:rPr>
        <w:t>Certain Determinations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1941"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purposes of determining compliance with any of the covenants set forth in Article V or Article VI (including in connection with any First Lien Incremental Facility) at any time (whether at the time of incurrence or thereafter), any Lien, Investment, Indebtedness, Restricted Payment, Disposition or Affiliate transaction meets the criteria of one, or more than one, of the categories permitted pursuant to Article V or Article VI (including in connection with any First Lien Incremental Facility), the Borrower (i) shall in its sole discretion determine under which category such Lien (other than Liens securing the Secured Obligations), Investment, Indebtedness (other than Indebtedness incurred under the First Lien Loan Documents), Disposition, Restricted Payment or Affiliate transaction (or, in each case, any portion there) is permitted and (ii) shall be permitted, in its sole discretion, to make any redetermination and/or to divide, classify or reclassify under which category or categories such Lien, Investment, Indebtedness, Disposition, Restricted Payment or Affiliate transaction is permitted from time to time as it may determine and without notice to the First Lien Administrative Agent or any Lender, so long as at the time of such redesignation the Borrower would be permitted to incur such Lien, Investment, Indebtedness or Restricted Payment under such category or categories, as applicable. For the avoidance of doubt, if the applicable date for meeting any requirement hereunder or under any other First Lien Loan Document falls on a day that is not a Business Day, compliance with such requirement shall not be required until noon on the first Business Day following such applicable date.</w:t>
      </w:r>
    </w:p>
    <w:p>
      <w:pPr>
        <w:spacing w:after="0" w:line="178" w:lineRule="exact"/>
        <w:rPr>
          <w:rFonts w:ascii="Arial" w:cs="Arial" w:eastAsia="Arial" w:hAnsi="Arial"/>
          <w:sz w:val="17"/>
          <w:szCs w:val="17"/>
          <w:color w:val="auto"/>
        </w:rPr>
      </w:pPr>
    </w:p>
    <w:p>
      <w:pPr>
        <w:jc w:val="both"/>
        <w:ind w:firstLine="1304"/>
        <w:spacing w:after="0" w:line="253" w:lineRule="auto"/>
        <w:tabs>
          <w:tab w:leader="none" w:pos="19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any Total Net Leverage Ratio, Senior Secured Net Leverage Ratio, Senior Secured First Lien Net Leverage Ratio and/or Interest Coverage Ratio) (any such amounts, the “Fixed Amounts”) substantially concurrently with any amounts incurred or transactions entered into (or consummated) in reliance on a provision of this Agreement that requires compliance with any such financial ratio or test (any such amounts, the “Incurrence Based Amounts”),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Section 6.01 or Section 6.02.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21" w:right="339" w:bottom="1440" w:gutter="0" w:footer="0" w:header="0"/>
        </w:sectPr>
      </w:pPr>
    </w:p>
    <w:bookmarkStart w:id="68" w:name="page69"/>
    <w:bookmarkEnd w:id="68"/>
    <w:p>
      <w:pPr>
        <w:jc w:val="both"/>
        <w:ind w:firstLine="1304"/>
        <w:spacing w:after="0" w:line="257" w:lineRule="auto"/>
        <w:tabs>
          <w:tab w:leader="none" w:pos="1941"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Form Intercreditor Agreements shall be deemed to be reasonable and acceptable to the First Lien Administrative Agent and the Lenders, and the First Lien Administrative Agent and the Lenders shall be deemed to have consented to the use of each such Form Intercreditor Agreement (and to the First Lien Administrative Agent’s execution thereof) in connection with any Indebtedness secured by the Collateral that is permitted to be incurred, issued and/or assumed by the Borrower or any of its Subsidiaries pursuant to Section 6.01 and Section 6.02.</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I.08</w:t>
      </w:r>
      <w:r>
        <w:rPr>
          <w:sz w:val="20"/>
          <w:szCs w:val="20"/>
          <w:color w:val="auto"/>
        </w:rPr>
        <w:tab/>
      </w:r>
      <w:r>
        <w:rPr>
          <w:rFonts w:ascii="Arial" w:cs="Arial" w:eastAsia="Arial" w:hAnsi="Arial"/>
          <w:sz w:val="16"/>
          <w:szCs w:val="16"/>
          <w:u w:val="single" w:color="auto"/>
          <w:color w:val="auto"/>
        </w:rPr>
        <w:t>Additional Alternative Currencies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19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Borrower may from time to time request that Eurodollar Revolving Loans be made and/or Letters of Credit be issued in a currency other than Dollars or those specifically listed in the definition of “Alternative Currency.” In the case of any such request with respect to the making of Eurodollar Revolving Loans, such request shall be subject to the approval of the First Lien Administrative Agent and all of the Revolving Lenders. In the case of any such request with respect to the issuance of Letters of Credit, such request shall be subject to the approval of the First Lien Administrative Agent, the applicable Issuing Bank and all of the Revolving Lenders.</w:t>
      </w:r>
    </w:p>
    <w:p>
      <w:pPr>
        <w:spacing w:after="0" w:line="187" w:lineRule="exact"/>
        <w:rPr>
          <w:rFonts w:ascii="Arial" w:cs="Arial" w:eastAsia="Arial" w:hAnsi="Arial"/>
          <w:sz w:val="18"/>
          <w:szCs w:val="18"/>
          <w:color w:val="auto"/>
        </w:rPr>
      </w:pPr>
    </w:p>
    <w:p>
      <w:pPr>
        <w:jc w:val="both"/>
        <w:ind w:firstLine="1304"/>
        <w:spacing w:after="0" w:line="270" w:lineRule="auto"/>
        <w:tabs>
          <w:tab w:leader="none" w:pos="1938"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such request shall be made to the First Lien Administrative Agent not later than 11:00 a.m. (New York City time), ten (10) Business Days prior to the date of the desired Revolving Borrowing or issuance of Letters of Credit (or such other time or date as may be agreed to by the First Lien Administrative Agent and, in the case of any such request pertaining to Letters of Credit, each Issuing Bank, in its or their sole discretion). In the case of any such request pertaining to Eurodollar Revolving Loans, the First Lien Administrative Agent shall promptly notify each Revolving Lender thereof. In the case of any such request pertaining to Letters of Credit, the First Lien Administrative Agent shall promptly notify the applicable Issuing Bank thereof. Each Revolving Lender (in the case of any such request pertaining to Eurodollar Revolving Loans) or each Issuing Bank (in the case of a request pertaining to Letters of Credit) shall notify the First Lien Administrative Agent, not later than 11:00 a.m. (New York City time), two (2) Business Days after its receipt of such request as to whether it consents, in its sole discretion, to the making of Eurodollar Revolving Loans or the issuance of Letters of Credit, as the case may be, in such requested currency.</w:t>
      </w:r>
    </w:p>
    <w:p>
      <w:pPr>
        <w:spacing w:after="0" w:line="180" w:lineRule="exact"/>
        <w:rPr>
          <w:rFonts w:ascii="Arial" w:cs="Arial" w:eastAsia="Arial" w:hAnsi="Arial"/>
          <w:sz w:val="17"/>
          <w:szCs w:val="17"/>
          <w:color w:val="auto"/>
        </w:rPr>
      </w:pPr>
    </w:p>
    <w:p>
      <w:pPr>
        <w:jc w:val="both"/>
        <w:ind w:firstLine="1304"/>
        <w:spacing w:after="0" w:line="289" w:lineRule="auto"/>
        <w:tabs>
          <w:tab w:leader="none" w:pos="1941"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failure by a Revolving Lender or an Issuing Bank, as the case may be, to respond to such request within the time period specified in the last sentence of clause (b) above shall be deemed to be a refusal by such Revolving Lender or such Issuing Bank, as the case may be, to permit Eurodollar Revolving Loans to be made or Letters of Credit to be issued in such requested currency. If the First Lien Administrative Agent and all the Revolving Lenders consent to making Eurodollar Revolving Loans in such requested currency, the First Lien Administrative Agent shall so notify the Borrower and such currency shall thereupon be deemed for all purposes to be an Alternative Currency hereunder for purposes of any Borrowings of Eurodollar Revolving Loans. If the First Lien Administrative Agent and each Issuing Bank consent to the issuance of Letters of Credit in such requested currency, the First Lien Administrative Agent shall so notify the Borrower and such currency shall thereupon be deemed for all purposes to be an Alternative Currency hereunder for purposes of any Letter of Credit issuances. If the First Lien Administrative Agent shall fail to obtain consent to any request for an additional currency under this Section 1.08, the First Lien Administrative Agent shall promptly so notify the Borrower.</w:t>
      </w:r>
    </w:p>
    <w:p>
      <w:pPr>
        <w:spacing w:after="0" w:line="16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I.09</w:t>
      </w:r>
      <w:r>
        <w:rPr>
          <w:sz w:val="20"/>
          <w:szCs w:val="20"/>
          <w:color w:val="auto"/>
        </w:rPr>
        <w:tab/>
      </w:r>
      <w:r>
        <w:rPr>
          <w:rFonts w:ascii="Arial" w:cs="Arial" w:eastAsia="Arial" w:hAnsi="Arial"/>
          <w:sz w:val="16"/>
          <w:szCs w:val="16"/>
          <w:u w:val="single" w:color="auto"/>
          <w:color w:val="auto"/>
        </w:rPr>
        <w:t>Currency Equivalents Generally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3" w:lineRule="auto"/>
        <w:tabs>
          <w:tab w:leader="none" w:pos="194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First Lien Administrative Agent shall determine the Spot Rates as of each LC Revaluation Date to be used for calculating Dollar Amounts of a Borrowing or an issuance of any Letter of Credit or extension, renewal or increase of the amount thereof and any amounts outstanding hereunder denominated in Alternative Currencies. Such Spot Rates shall become effective as of such LC Revaluation Date and shall be the Spot Rates employed in converting any amounts between the applicable currencies until the next LC Revaluation Date to occur. Except as set forth in this Agreement (including Article IX), the applicable amount of any currency (other than Dollars) for purposes of the First Lien Loan Documents shall be such Dollar Amount as so determined by the First Lien Administrative Agent or the Issuing Bank,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21" w:right="339" w:bottom="1440" w:gutter="0" w:footer="0" w:header="0"/>
        </w:sectPr>
      </w:pPr>
    </w:p>
    <w:bookmarkStart w:id="69" w:name="page70"/>
    <w:bookmarkEnd w:id="69"/>
    <w:p>
      <w:pPr>
        <w:jc w:val="both"/>
        <w:ind w:firstLine="1304"/>
        <w:spacing w:after="0" w:line="275" w:lineRule="auto"/>
        <w:tabs>
          <w:tab w:leader="none" w:pos="1938"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Wherever in this Agreement in connection with a Borrowing, conversion, continuation or prepayment of a Eurodollar Loan or an RFR Loan or the issuance, amendment or extension of a Letter of Credit, an amount, such as a required minimum or multiple amount, is expressed in Dollars, but such Borrowing, Eurodollar Loan or an RFR Loan or Letter of Credit is denominated in an Alternative Currency, such amount shall be the relevant Alternative Currency Equivalent of such Dollar Amount (rounded to the nearest unit of such Alternative Currency, with 0.5 of a unit being rounded upward), as determined by the First Lien Administrative Agent or the applicable Issuing Bank, as the case may be.</w:t>
      </w:r>
    </w:p>
    <w:p>
      <w:pPr>
        <w:spacing w:after="0" w:line="17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I.10</w:t>
      </w:r>
      <w:r>
        <w:rPr>
          <w:sz w:val="20"/>
          <w:szCs w:val="20"/>
          <w:color w:val="auto"/>
        </w:rPr>
        <w:tab/>
      </w:r>
      <w:r>
        <w:rPr>
          <w:rFonts w:ascii="Arial" w:cs="Arial" w:eastAsia="Arial" w:hAnsi="Arial"/>
          <w:sz w:val="16"/>
          <w:szCs w:val="16"/>
          <w:u w:val="single" w:color="auto"/>
          <w:color w:val="auto"/>
        </w:rPr>
        <w:t>Change in Currency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2" w:lineRule="auto"/>
        <w:tabs>
          <w:tab w:leader="none" w:pos="1941"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Each obligation of the Borrower to make a payment denominated in the national unit of any member state of the European Union that adopts the Euro as its lawful currency after the date hereof shall be redenominated into Euros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Revolving Borrowing in the currency of such member state is outstanding immediately prior to such date, such replacement shall take effect, with respect to such Borrowing, at the end of the then current Interest Period.</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1938"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First Lien Administrative Agent may from time to time specify to be necessary to reflect the adoption of the Euro by any member state of the European Union and any relevant market conventions or practices relating to the Euro.</w:t>
      </w:r>
    </w:p>
    <w:p>
      <w:pPr>
        <w:spacing w:after="0" w:line="183" w:lineRule="exact"/>
        <w:rPr>
          <w:rFonts w:ascii="Arial" w:cs="Arial" w:eastAsia="Arial" w:hAnsi="Arial"/>
          <w:sz w:val="18"/>
          <w:szCs w:val="18"/>
          <w:color w:val="auto"/>
        </w:rPr>
      </w:pPr>
    </w:p>
    <w:p>
      <w:pPr>
        <w:jc w:val="both"/>
        <w:ind w:right="20" w:firstLine="1304"/>
        <w:spacing w:after="0" w:line="263" w:lineRule="auto"/>
        <w:tabs>
          <w:tab w:leader="none" w:pos="19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provision of this Agreement also shall be subject to such reasonable changes of construction as the First Lien Administrative Agent may from time to time specify to be necessary to reflect a change in currency of any other country and any relevant market conventions or practices relating to the change in currency.</w:t>
      </w:r>
    </w:p>
    <w:p>
      <w:pPr>
        <w:spacing w:after="0" w:line="184"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I.11</w:t>
      </w:r>
      <w:r>
        <w:rPr>
          <w:sz w:val="20"/>
          <w:szCs w:val="20"/>
          <w:color w:val="auto"/>
        </w:rPr>
        <w:tab/>
      </w:r>
      <w:r>
        <w:rPr>
          <w:rFonts w:ascii="Arial" w:cs="Arial" w:eastAsia="Arial" w:hAnsi="Arial"/>
          <w:sz w:val="17"/>
          <w:szCs w:val="17"/>
          <w:u w:val="single" w:color="auto"/>
          <w:color w:val="auto"/>
        </w:rPr>
        <w:t>Divisions</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(any such transaction, a “</w:t>
      </w:r>
      <w:r>
        <w:rPr>
          <w:rFonts w:ascii="Arial" w:cs="Arial" w:eastAsia="Arial" w:hAnsi="Arial"/>
          <w:sz w:val="16"/>
          <w:szCs w:val="16"/>
          <w:u w:val="single" w:color="auto"/>
          <w:color w:val="auto"/>
        </w:rPr>
        <w:t>Division</w:t>
      </w:r>
      <w:r>
        <w:rPr>
          <w:rFonts w:ascii="Arial" w:cs="Arial" w:eastAsia="Arial" w:hAnsi="Arial"/>
          <w:sz w:val="16"/>
          <w:szCs w:val="16"/>
          <w:color w:val="auto"/>
        </w:rPr>
        <w:t>”), as if it were a merger, transfer, consolidation, amalgamation, assignment, sale, disposition or transfer, or similar term, as applicable, to, of or with a separate Person. Any Division of a 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w:t>
      </w:r>
    </w:p>
    <w:p>
      <w:pPr>
        <w:spacing w:after="0" w:line="164" w:lineRule="exact"/>
        <w:rPr>
          <w:sz w:val="20"/>
          <w:szCs w:val="20"/>
          <w:color w:val="auto"/>
        </w:rPr>
      </w:pPr>
    </w:p>
    <w:p>
      <w:pPr>
        <w:jc w:val="center"/>
        <w:ind w:right="-339"/>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Subject to the terms and conditions set forth herein, each Revolving Lender agrees to make Revolving Loans of the applicable Class to the Borrower denominated in Dollars or an Alternative Currency, from time to time during the Revolving Availability Period in an aggregate principal amount which will not result in such Revolving Lender’s Revolving Exposure of such Class exceeding such Revolving Lender’s Revolving Commitment of such Class. Within the foregoing limits and subject to the terms and conditions set forth herein, the Borrower may borrow, prepay and reborrow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21" w:right="339" w:bottom="1440" w:gutter="0" w:footer="0" w:header="0"/>
        </w:sectPr>
      </w:pPr>
    </w:p>
    <w:bookmarkStart w:id="70" w:name="page71"/>
    <w:bookmarkEnd w:id="70"/>
    <w:p>
      <w:pPr>
        <w:ind w:left="1300"/>
        <w:spacing w:after="0"/>
        <w:tabs>
          <w:tab w:leader="none" w:pos="25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Loans and Borrowing</w:t>
      </w:r>
      <w:r>
        <w:rPr>
          <w:rFonts w:ascii="Arial" w:cs="Arial" w:eastAsia="Arial" w:hAnsi="Arial"/>
          <w:sz w:val="16"/>
          <w:szCs w:val="16"/>
          <w:color w:val="auto"/>
        </w:rPr>
        <w:t>s.</w:t>
      </w:r>
    </w:p>
    <w:p>
      <w:pPr>
        <w:spacing w:after="0" w:line="225" w:lineRule="exact"/>
        <w:rPr>
          <w:sz w:val="20"/>
          <w:szCs w:val="20"/>
          <w:color w:val="auto"/>
        </w:rPr>
      </w:pPr>
    </w:p>
    <w:p>
      <w:pPr>
        <w:jc w:val="both"/>
        <w:ind w:firstLine="1304"/>
        <w:spacing w:after="0" w:line="296" w:lineRule="auto"/>
        <w:tabs>
          <w:tab w:leader="none" w:pos="1941"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Each (i) Loan (other than a Swingline Loan) shall be made as part of a Borrowing consisting of Loans of the same Class and Type made by the Lenders ratably in accordance with their respective Commitments of the applicable Class and (ii) Revolving Loan shall be made by the Revolving Lenders ratably in accordance with their respective Revolving Commitments.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other than as expressly provided herein with respect to a Defaulting Lender, no Lender shall be responsible for any other Lender’s failure to make Loans as required hereby.</w:t>
      </w:r>
    </w:p>
    <w:p>
      <w:pPr>
        <w:spacing w:after="0" w:line="161" w:lineRule="exact"/>
        <w:rPr>
          <w:rFonts w:ascii="Arial" w:cs="Arial" w:eastAsia="Arial" w:hAnsi="Arial"/>
          <w:sz w:val="16"/>
          <w:szCs w:val="16"/>
          <w:color w:val="auto"/>
        </w:rPr>
      </w:pPr>
    </w:p>
    <w:p>
      <w:pPr>
        <w:jc w:val="both"/>
        <w:ind w:firstLine="1304"/>
        <w:spacing w:after="0" w:line="271" w:lineRule="auto"/>
        <w:tabs>
          <w:tab w:leader="none" w:pos="1938"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Subject to Section 2.14, each Revolving Borrowing and Term Borrowing shall be comprised entirely of ABR Loans, Eurodollar Loans or RFR Loans as the Borrower may request in accordance 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Borrowings made on the Effective Date must be made as ABR Borrowings unless the Borrower shall have given the notice required for a Eurodollar Borrowing under Section 2.03 and provided an indemnity letter extending the benefits of Section 2.16 to Lenders in respect of such Borrowings. Revolving Loans denominated in (i) Dollars or Canadian Dollars may be ABR Loans or Eurodollar Loans and (ii) any Alternative Currency (other than Canadian Dollars or Sterling) shall be Eurodollar Loans. Each Lender at its option may make any Loan by causing any domestic or foreign branch or Affiliate of such Lender to make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exercise of such option shall not affect the obligation of the Borrower to repay such Loan in accordance with the terms of this Agreement. Revolving Borrowings denominated in Sterling shall be RFR Loans, as further provided herein.</w:t>
      </w:r>
    </w:p>
    <w:p>
      <w:pPr>
        <w:spacing w:after="0" w:line="178" w:lineRule="exact"/>
        <w:rPr>
          <w:rFonts w:ascii="Arial" w:cs="Arial" w:eastAsia="Arial" w:hAnsi="Arial"/>
          <w:sz w:val="17"/>
          <w:szCs w:val="17"/>
          <w:color w:val="auto"/>
        </w:rPr>
      </w:pPr>
    </w:p>
    <w:p>
      <w:pPr>
        <w:jc w:val="both"/>
        <w:ind w:firstLine="1304"/>
        <w:spacing w:after="0" w:line="253" w:lineRule="auto"/>
        <w:tabs>
          <w:tab w:leader="none" w:pos="1941"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Eurodollar Borrowing or RFR Borrowing, such Borrowing shall be in an aggregate amount that is an integral multiple of the Borrowing Multiple and not less than the Borrowing Minimum;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Eurodollar Borrowing or RFR Borrowing that results from a continuation of an outstanding Eurodollar Borrowing or RFR Borrowing may be in an aggregate amount that is equal to such outstanding Borrowing. At the time that each ABR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twelve Eurodollar Borrowings or RFR Borrowings outstanding. Notwithstanding anything to the contrary herein, an ABR Revolving Borrowing of the applicable Class or a Swingline Loan may be in an aggregate amount equal to the entire unused balance of the aggregate Revolving Commitments of such Class or that is required to finance the reimbursement of an LC Disbursement as contemplated by Section 2.05(f).</w:t>
      </w:r>
    </w:p>
    <w:p>
      <w:pPr>
        <w:spacing w:after="0" w:line="19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To request a Revolving Borrowing or Term Borrowing, the Borrower shall notify the First Lien Administrative Agent of such request by telephone (a) in the case of a Eurodollar Borrowing, not later than 2:00 p.m., New York City time (or London, England time in the case of any Eurodollar Revolving Borrowing or RFR Borrowing in an Alternative Currency (other than Canadian Dollars)), three (3) Business Days before the date of the proposed Borrowing (or, in the case of any Eurodollar Borrowing to be made on the Effective Date, one (1) Business Day) or (b) in the case of an ABR Borrowing, not later than 10:00 a.m., New York City time, on the Business Day prior to the proposed Borrowing. Each such telephonic Borrowing Request shall be irrevocable and shall be confirmed promptly by hand delivery or facsimile to the First Lien Administrative Agent of a written Borrowing Request signed by the Borrower substantially in the form of Exhibit Q. Each such telephonic and written Borrowing Request shall specify the following information:</w:t>
      </w:r>
    </w:p>
    <w:p>
      <w:pPr>
        <w:spacing w:after="0" w:line="192" w:lineRule="exact"/>
        <w:rPr>
          <w:sz w:val="20"/>
          <w:szCs w:val="20"/>
          <w:color w:val="auto"/>
        </w:rPr>
      </w:pPr>
    </w:p>
    <w:p>
      <w:pPr>
        <w:ind w:left="1300" w:hanging="385"/>
        <w:spacing w:after="0"/>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whether the requested Borrowing is to be a Revolving Borrowing, a Term Borrowing or a Borrowing of any other Class (specifying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 thereof);</w:t>
      </w:r>
    </w:p>
    <w:p>
      <w:pPr>
        <w:spacing w:after="0" w:line="210" w:lineRule="exact"/>
        <w:rPr>
          <w:rFonts w:ascii="Arial" w:cs="Arial" w:eastAsia="Arial" w:hAnsi="Arial"/>
          <w:sz w:val="16"/>
          <w:szCs w:val="16"/>
          <w:color w:val="auto"/>
        </w:rPr>
      </w:pPr>
    </w:p>
    <w:p>
      <w:pPr>
        <w:ind w:left="1300" w:hanging="385"/>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amount of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21" w:right="339" w:bottom="1440" w:gutter="0" w:footer="0" w:header="0"/>
        </w:sectPr>
      </w:pPr>
    </w:p>
    <w:bookmarkStart w:id="71" w:name="page72"/>
    <w:bookmarkEnd w:id="71"/>
    <w:p>
      <w:pPr>
        <w:ind w:left="1300" w:hanging="385"/>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25" w:lineRule="exact"/>
        <w:rPr>
          <w:rFonts w:ascii="Arial" w:cs="Arial" w:eastAsia="Arial" w:hAnsi="Arial"/>
          <w:sz w:val="18"/>
          <w:szCs w:val="18"/>
          <w:color w:val="auto"/>
        </w:rPr>
      </w:pPr>
    </w:p>
    <w:p>
      <w:pPr>
        <w:ind w:left="1300" w:hanging="385"/>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such Borrowing is to be an ABR Borrowing or a Eurodollar Borrowing;</w:t>
      </w:r>
    </w:p>
    <w:p>
      <w:pPr>
        <w:spacing w:after="0" w:line="225" w:lineRule="exact"/>
        <w:rPr>
          <w:rFonts w:ascii="Arial" w:cs="Arial" w:eastAsia="Arial" w:hAnsi="Arial"/>
          <w:sz w:val="18"/>
          <w:szCs w:val="18"/>
          <w:color w:val="auto"/>
        </w:rPr>
      </w:pPr>
    </w:p>
    <w:p>
      <w:pPr>
        <w:ind w:right="20" w:firstLine="915"/>
        <w:spacing w:after="0" w:line="277" w:lineRule="auto"/>
        <w:tabs>
          <w:tab w:leader="none" w:pos="1292"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a Eurodollar Borrowing or RFR Borrowing, the initial Interest Period to be applicable thereto, which shall be a period contemplated by the definition of the term “Interest Period”;</w:t>
      </w:r>
    </w:p>
    <w:p>
      <w:pPr>
        <w:spacing w:after="0" w:line="170" w:lineRule="exact"/>
        <w:rPr>
          <w:rFonts w:ascii="Arial" w:cs="Arial" w:eastAsia="Arial" w:hAnsi="Arial"/>
          <w:sz w:val="18"/>
          <w:szCs w:val="18"/>
          <w:color w:val="auto"/>
        </w:rPr>
      </w:pPr>
    </w:p>
    <w:p>
      <w:pPr>
        <w:jc w:val="both"/>
        <w:ind w:firstLine="915"/>
        <w:spacing w:after="0" w:line="263" w:lineRule="auto"/>
        <w:tabs>
          <w:tab w:leader="none" w:pos="12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location and number of the Borrower’s account or accounts to which funds are to be disbursed, which shall comply with the requirements of Section 2.06, or, in the case of any ABR Revolving Borrowing or Swingline Loan requested to finance the reimbursement of an LC Disbursement as provided in Section 2.05(f), the identity of the Issuing Bank that made such LC Disbursement;</w:t>
      </w:r>
    </w:p>
    <w:p>
      <w:pPr>
        <w:spacing w:after="0" w:line="183" w:lineRule="exact"/>
        <w:rPr>
          <w:rFonts w:ascii="Arial" w:cs="Arial" w:eastAsia="Arial" w:hAnsi="Arial"/>
          <w:sz w:val="18"/>
          <w:szCs w:val="18"/>
          <w:color w:val="auto"/>
        </w:rPr>
      </w:pPr>
    </w:p>
    <w:p>
      <w:pPr>
        <w:ind w:left="1300" w:hanging="385"/>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as of the date of such Borrowing, the conditions set forth in Sections 4.02(a) and 4.02(b) are satisfied; and</w:t>
      </w:r>
    </w:p>
    <w:p>
      <w:pPr>
        <w:spacing w:after="0" w:line="225" w:lineRule="exact"/>
        <w:rPr>
          <w:rFonts w:ascii="Arial" w:cs="Arial" w:eastAsia="Arial" w:hAnsi="Arial"/>
          <w:sz w:val="18"/>
          <w:szCs w:val="18"/>
          <w:color w:val="auto"/>
        </w:rPr>
      </w:pPr>
    </w:p>
    <w:p>
      <w:pPr>
        <w:ind w:right="20" w:firstLine="915"/>
        <w:spacing w:after="0" w:line="277" w:lineRule="auto"/>
        <w:tabs>
          <w:tab w:leader="none" w:pos="129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a Revolving Borrowing, the currency in which such Borrowing is to be denominated and, if such Borrowing is to be denominated in Canadian Dollars, whether such Borrowing is of both Classes of Revolving Loans or only the Revolving Loans.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no election as to the Type of Borrowing is specified as to any requested Borrowing in Dollars or Canadian Dollars, then the requested Borrowing shall be an ABR Borrowing. If no Interest Period is specified with respect to any requested Eurodollar Borrowing or RFR Borrowing, then the Borrower shall be deemed to have selected an Interest Period of one month’s duration. If no currency is specified with respect to any requested Eurodollar Borrowing, then the Borrower shall be deemed to have requested that the Borrowing be denominated in Dollars. Promptly following receipt of a Borrowing Request in accordance with this Section 2.03, the First Lien Administrative Agent shall advise each Lender of the applicable Class of the details thereof and of the amount of such Lender’s Loan to be made as part of the requested Borrowing.</w:t>
      </w:r>
    </w:p>
    <w:p>
      <w:pPr>
        <w:spacing w:after="0" w:line="17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Swingline Loans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3" w:lineRule="auto"/>
        <w:tabs>
          <w:tab w:leader="none" w:pos="1941"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(including Section 2.22), in reliance upon the agreements of the other Lenders set forth in this Section 2.04, the Swingline Lender agrees to make Swingline Loans to the Borrower from time to time during the Revolving Availability Period denominated in Dollars, in an aggregate principal amount at any time outstanding that will not result in (i) the outstanding Swingline Loans of the Swingline Lender exceeding its Swingline Commitment or (ii) the aggregate Revolving Exposures exceeding the aggregate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77" w:lineRule="exact"/>
        <w:rPr>
          <w:rFonts w:ascii="Arial" w:cs="Arial" w:eastAsia="Arial" w:hAnsi="Arial"/>
          <w:sz w:val="17"/>
          <w:szCs w:val="17"/>
          <w:color w:val="auto"/>
        </w:rPr>
      </w:pPr>
    </w:p>
    <w:p>
      <w:pPr>
        <w:jc w:val="both"/>
        <w:ind w:firstLine="1304"/>
        <w:spacing w:after="0" w:line="269" w:lineRule="auto"/>
        <w:tabs>
          <w:tab w:leader="none" w:pos="1938"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request a Swingline Loan, the Borrower shall notify the First Lien Administrative Agent and the Swingline Lender of such request by telephone (confirmed in writing) or facsimile (confirmed by telephone), not later than 12:00 p.m., New York City time on the day of such proposed Swingline Loan. Each such notice shall be irrevocable and shall specify the requested date (which shall be a Business Day), the amount of the requested Swingline Loan and (x) if the funds are not to be credited to a general deposit account of the Borrower maintained with the Swingline Lender because the Borrower is unable to maintain a general deposit account with the Swingline Lender under applicable Requirements of Law, the location and number of the Borrower’s account to which funds are to be disbursed, which shall comply with Section 2.06, or (y) in the case of any ABR Revolving Borrowing or Swingline Loan requested to finance the reimbursement of an LC Disbursement as provided in Section 2.05(f), the identity of the Issuing Bank that made such LC Disbursement. The Swingline Lender shall make each Swingline Loan available to the Borrower by means of a credit to the general deposit accounts of the Borrower maintained with the Swingline Lender for the applicable Swingline Loan (or, in the case of a Swingline Loan made to finance the reimbursement of an LC Disbursement as provided in Section 2.05(f), by remittance to the applicable Issuing Bank) by 3:00 p.m., New York City time, on the requested date of such Swingline Loan.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21" w:right="339" w:bottom="1440" w:gutter="0" w:footer="0" w:header="0"/>
        </w:sectPr>
      </w:pPr>
    </w:p>
    <w:bookmarkStart w:id="72" w:name="page73"/>
    <w:bookmarkEnd w:id="72"/>
    <w:p>
      <w:pPr>
        <w:spacing w:after="0" w:line="277" w:lineRule="auto"/>
        <w:rPr>
          <w:sz w:val="20"/>
          <w:szCs w:val="20"/>
          <w:color w:val="auto"/>
        </w:rPr>
      </w:pPr>
      <w:r>
        <w:rPr>
          <w:rFonts w:ascii="Arial" w:cs="Arial" w:eastAsia="Arial" w:hAnsi="Arial"/>
          <w:sz w:val="18"/>
          <w:szCs w:val="18"/>
          <w:color w:val="auto"/>
        </w:rPr>
        <w:t>Swingline Lender shall be under any obligation to make a Swingline Loan if any Lender is at that time a Defaulting Lender, if after giving effect to Section 2.22(a)(iv), any Defaulting Lender Fronting Exposure remains outstanding.</w:t>
      </w:r>
    </w:p>
    <w:p>
      <w:pPr>
        <w:spacing w:after="0" w:line="170" w:lineRule="exact"/>
        <w:rPr>
          <w:sz w:val="20"/>
          <w:szCs w:val="20"/>
          <w:color w:val="auto"/>
        </w:rPr>
      </w:pPr>
    </w:p>
    <w:p>
      <w:pPr>
        <w:jc w:val="both"/>
        <w:ind w:firstLine="1304"/>
        <w:spacing w:after="0" w:line="267" w:lineRule="auto"/>
        <w:tabs>
          <w:tab w:leader="none" w:pos="1941"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Swingline Lender may by written notice given to the First Lien Administrative Agent not later than 12:00 p.m.,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First Lien Administrative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First Lien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2.06 with respect to Loans made by such Lender (with references to 12:00 noon, New York City time, in such Section being deemed to be references to 3:00 p.m., New York City time) (and Section 2.06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the payment obligations of the Revolving Lenders pursuant to this paragraph), and the First Lien Administrative Agent shall promptly remit to the Swingline Lender the amounts so received by it from the Revolving Lenders. The First Lien Administrative Agent shall notify the Borrower of any participations in any Swingline Loan acquired pursuant to this paragraph, and thereafter payments in respect of such Swingline Loan shall be made to the First Lien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First Lien Administrative Agent; any such amounts received by the First Lien Administrative Agent shall be promptly remitted by the First Lien Administrative Agent to the Revolving Lenders that shall have made their payments pursuant to this paragraph and to the Swingline Lender, as their interests may appear,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payment so remitted shall be repaid to the Swingline Lender or the First Lien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w:t>
      </w:r>
    </w:p>
    <w:p>
      <w:pPr>
        <w:spacing w:after="0" w:line="182" w:lineRule="exact"/>
        <w:rPr>
          <w:rFonts w:ascii="Arial" w:cs="Arial" w:eastAsia="Arial" w:hAnsi="Arial"/>
          <w:sz w:val="17"/>
          <w:szCs w:val="17"/>
          <w:color w:val="auto"/>
        </w:rPr>
      </w:pPr>
    </w:p>
    <w:p>
      <w:pPr>
        <w:jc w:val="both"/>
        <w:ind w:firstLine="1304"/>
        <w:spacing w:after="0" w:line="293" w:lineRule="auto"/>
        <w:tabs>
          <w:tab w:leader="none" w:pos="193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designate as additional Swingline Lenders one or more Revolving Lenders that agree to serve in such capacity as provided below. The acceptance by a Revolving Lender of an appointment as a Swingline Lender hereunder shall be evidenced by an agreement, which shall be in form and substance reasonably satisfactory to the First Lien Administrative Agent and the Borrower, executed by the Borrower, the First Lien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w:t>
      </w:r>
    </w:p>
    <w:p>
      <w:pPr>
        <w:spacing w:after="0" w:line="164" w:lineRule="exact"/>
        <w:rPr>
          <w:rFonts w:ascii="Arial" w:cs="Arial" w:eastAsia="Arial" w:hAnsi="Arial"/>
          <w:sz w:val="16"/>
          <w:szCs w:val="16"/>
          <w:color w:val="auto"/>
        </w:rPr>
      </w:pPr>
    </w:p>
    <w:p>
      <w:pPr>
        <w:jc w:val="both"/>
        <w:ind w:firstLine="1304"/>
        <w:spacing w:after="0" w:line="254" w:lineRule="auto"/>
        <w:tabs>
          <w:tab w:leader="none" w:pos="1941"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Borrower may terminate the appointment of any Swingline Lender as a “Swingline Lender” hereunder by providing a written notice thereof to such Swingline Lender, with a copy to the First Lien Administrative Agent. Any such termination shall become effective upon the earlier of (i) such Swingline Lender’s acknowledging receipt of such notice and (ii) the fifth Business Day following the date of the delivery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21" w:right="339" w:bottom="1440" w:gutter="0" w:footer="0" w:header="0"/>
        </w:sectPr>
      </w:pPr>
    </w:p>
    <w:bookmarkStart w:id="73" w:name="page74"/>
    <w:bookmarkEnd w:id="73"/>
    <w:p>
      <w:pPr>
        <w:ind w:left="1300"/>
        <w:spacing w:after="0"/>
        <w:tabs>
          <w:tab w:leader="none" w:pos="25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8" w:lineRule="auto"/>
        <w:tabs>
          <w:tab w:leader="none" w:pos="1941"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Subject to the terms and conditions set forth herein (including Section 2.22), each Issuing Bank agrees, in reliance upon the agreements of the Revolving Lenders (with respect to Letters of Credit) and the Borrower set forth in this Section 2.05 and elsewhere in the First Lien Loan Documents, to issue Letters of Credit denominated in Dollars or an Alternative Currency for the Borrower’s own account (or for the account of any Subsidiary of the Borrower so long as the Borrower is an obligor in respect of all First Lien Loan Document Obligations arising under or in respect of such Letter of Credit), in a form reasonably acceptable to the First Lien Administrative Agent and the applicable Issuing Bank, which shall reflect the standard operating procedures of such Issuing Bank, at any time and from time to time during the period from the Effective Date until the date that is the fifth (5th) Business Day prior to the Revolving Maturity Date. In the event of any inconsistency between the terms and conditions of this Agreement and the terms and conditions of any form of letter of credit or bank guarantee application or other agreement submitted by a Borrower to, or entered into by the Borrower with, the applicable Issuing Bank relating to any Letter of Credit, the terms and conditions of this Agreement shall control. Notwithstanding anything herein to the contrary, no Issuing Bank shall be required (but shall be permitted) to issue any Letter of Credit that is not a standby Letter of Credit.</w:t>
      </w:r>
    </w:p>
    <w:p>
      <w:pPr>
        <w:spacing w:after="0" w:line="168" w:lineRule="exact"/>
        <w:rPr>
          <w:rFonts w:ascii="Arial" w:cs="Arial" w:eastAsia="Arial" w:hAnsi="Arial"/>
          <w:sz w:val="16"/>
          <w:szCs w:val="16"/>
          <w:color w:val="auto"/>
        </w:rPr>
      </w:pPr>
    </w:p>
    <w:p>
      <w:pPr>
        <w:jc w:val="both"/>
        <w:ind w:firstLine="1304"/>
        <w:spacing w:after="0" w:line="284" w:lineRule="auto"/>
        <w:tabs>
          <w:tab w:leader="none" w:pos="1938"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Issuance, Amendment, Renewal or Extension; Certain Conditions</w:t>
      </w:r>
      <w:r>
        <w:rPr>
          <w:rFonts w:ascii="Arial" w:cs="Arial" w:eastAsia="Arial" w:hAnsi="Arial"/>
          <w:sz w:val="16"/>
          <w:szCs w:val="16"/>
          <w:color w:val="auto"/>
        </w:rPr>
        <w:t>.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First Lien Administrative Agent (at least five (5) Business Days before the requested date of issuance, amendment, renewal or extension (or, in the case of any such request to be made on the Effective Date, three (3) Business Days) or such shorter period as the applicable Issuing Bank and the First Lien Administrative Agent may agree) a notice requesting the issuance of a Letter of Credit, or identifying the Letter of Credit to be amended, renewed or extended, and specifying the date of issuance, amendment, renewal or extension, as the case may be (which shall be a Business Day), the date on which such Letter of Credit is to expire (which shall comply with paragraph (d) of this Section 2.05), the amount and currency of such Letter of Credit, the name and address of the beneficiary thereof and such other information as shall be necessary to prepare, amend, renew or extend, as the case may be, such Letter of Credit. Each such notice shall be in the form of Exhibit R, appropriately completed (each, a “</w:t>
      </w:r>
      <w:r>
        <w:rPr>
          <w:rFonts w:ascii="Arial" w:cs="Arial" w:eastAsia="Arial" w:hAnsi="Arial"/>
          <w:sz w:val="16"/>
          <w:szCs w:val="16"/>
          <w:u w:val="single" w:color="auto"/>
          <w:color w:val="auto"/>
        </w:rPr>
        <w:t>Letter of Credit Request</w:t>
      </w:r>
      <w:r>
        <w:rPr>
          <w:rFonts w:ascii="Arial" w:cs="Arial" w:eastAsia="Arial" w:hAnsi="Arial"/>
          <w:sz w:val="16"/>
          <w:szCs w:val="16"/>
          <w:color w:val="auto"/>
        </w:rPr>
        <w: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(i) subject to Section 9.04(b)(ii), the Applicable Fronting Exposure of each Issuing Bank shall not exceed such Issuing Bank’s commitment to provide the Letter of Credit Sublimit as set forth on Schedule 2.01(B) , (ii) the aggregate Revolving Exposures shall not exceed the aggregate Revolving Commitments and (iii) the aggregate LC Exposure shall not exceed the Letter of Credit Sublimit. Letters of Credit will be available to be issued up to an aggregate face amount not to exceed the Letter of Credit Sublimit. To the extent there is more than one Issuing Bank, the Borrower will use reasonable efforts to request Letters of Credit from each Issuing Bank in such a way that the aggregate LC Exposure of any Issuing Bank as a percentage of all the aggregate LC Exposures of all of the Issuing Banks in respect of all Letters of Credit issued under this Agreement shall be generally in line with such Issuing Bank’s proportionate share of the Letter of Credit Sublimit; it being understood, for the avoidance of doubt, that the Borrower shall have no obligation to request Letters of Credit pursuant to the foregoing to the extent the Borrower determines, in its sole discretion, that any such request would not be feasible or commercially beneficial.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21" w:right="339" w:bottom="1440" w:gutter="0" w:footer="0" w:header="0"/>
        </w:sectPr>
      </w:pPr>
    </w:p>
    <w:bookmarkStart w:id="74" w:name="page75"/>
    <w:bookmarkEnd w:id="74"/>
    <w:p>
      <w:pPr>
        <w:jc w:val="both"/>
        <w:spacing w:after="0" w:line="268" w:lineRule="auto"/>
        <w:rPr>
          <w:sz w:val="20"/>
          <w:szCs w:val="20"/>
          <w:color w:val="auto"/>
        </w:rPr>
      </w:pPr>
      <w:r>
        <w:rPr>
          <w:rFonts w:ascii="Arial" w:cs="Arial" w:eastAsia="Arial" w:hAnsi="Arial"/>
          <w:sz w:val="17"/>
          <w:szCs w:val="17"/>
          <w:color w:val="auto"/>
        </w:rPr>
        <w:t>Credit would violate one or more policies of such Issuing Bank now or hereafter in effect and applicable to letters of credit generally, (iii) except as otherwise agreed in writing by the First Lien Administrative Agent and the applicable Issuing Bank, such Letter of Credit is to be denominated in a currency other than Dollars or an Alternative Currency, (iv) except as otherwise agreed by the First Lien Administrative Agent and such Issuing Bank, the Letter of Credit is in an initial stated amount less than $100,000, in the case of a commercial Letter of Credit, or $500,000, in the case of a standby Letter of Credit, or (v) any Lender is at that time a Defaulting Lender, if after giving effect to Section 2.22(a)(iv),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Each Existing Letter of Credit shall constitute a Letter of Credit hereunder.</w:t>
      </w:r>
    </w:p>
    <w:p>
      <w:pPr>
        <w:spacing w:after="0" w:line="186" w:lineRule="exact"/>
        <w:rPr>
          <w:sz w:val="20"/>
          <w:szCs w:val="20"/>
          <w:color w:val="auto"/>
        </w:rPr>
      </w:pPr>
    </w:p>
    <w:p>
      <w:pPr>
        <w:ind w:firstLine="1304"/>
        <w:spacing w:after="0" w:line="342" w:lineRule="auto"/>
        <w:tabs>
          <w:tab w:leader="none" w:pos="1941"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Issuing Bank agrees that it shall not permit any issuance, amendment, renewal or extension of a Letter of Credit to occur unless it shall have given to the First Lien Administrative Agent written notice thereof required under paragraph (m)(iii) of this Section 2.05.</w:t>
      </w:r>
    </w:p>
    <w:p>
      <w:pPr>
        <w:spacing w:after="0" w:line="123" w:lineRule="exact"/>
        <w:rPr>
          <w:rFonts w:ascii="Arial" w:cs="Arial" w:eastAsia="Arial" w:hAnsi="Arial"/>
          <w:sz w:val="16"/>
          <w:szCs w:val="16"/>
          <w:color w:val="auto"/>
        </w:rPr>
      </w:pPr>
    </w:p>
    <w:p>
      <w:pPr>
        <w:jc w:val="both"/>
        <w:ind w:firstLine="1304"/>
        <w:spacing w:after="0" w:line="262" w:lineRule="auto"/>
        <w:tabs>
          <w:tab w:leader="none" w:pos="1938"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and (ii) the date that is five (5) Business Days prior to the Revolving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expiry date is not a Business Day, such Letter of Credit shall expire at or prior to the close of business on the next succeeding Business Day;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Letter of Credit may, upon the request of the Borrower, include a provision whereby such Letter of Credit shall be renewed or extended automatically for additional consecutive periods of one year or less (but not beyond the date that is five (5) Business Days prior to the Revolving Maturity Date) unless the applicable Issuing Bank notifies the beneficiary thereof within the time period specified in such Letter of Credit or, if no such time period is specified, at least thirty (30) days prior to the then-applicable expiration date, that such Letter of Credit will not be renewed or extended;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Letter of Credit shall not be required to expire on such fifth (5</w:t>
      </w:r>
      <w:r>
        <w:rPr>
          <w:rFonts w:ascii="Arial" w:cs="Arial" w:eastAsia="Arial" w:hAnsi="Arial"/>
          <w:sz w:val="22"/>
          <w:szCs w:val="22"/>
          <w:color w:val="auto"/>
          <w:vertAlign w:val="superscript"/>
        </w:rPr>
        <w:t>th</w:t>
      </w:r>
      <w:r>
        <w:rPr>
          <w:rFonts w:ascii="Arial" w:cs="Arial" w:eastAsia="Arial" w:hAnsi="Arial"/>
          <w:sz w:val="17"/>
          <w:szCs w:val="17"/>
          <w:color w:val="auto"/>
        </w:rPr>
        <w:t>)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w:t>
      </w:r>
    </w:p>
    <w:p>
      <w:pPr>
        <w:spacing w:after="0" w:line="187" w:lineRule="exact"/>
        <w:rPr>
          <w:rFonts w:ascii="Arial" w:cs="Arial" w:eastAsia="Arial" w:hAnsi="Arial"/>
          <w:sz w:val="17"/>
          <w:szCs w:val="17"/>
          <w:color w:val="auto"/>
        </w:rPr>
      </w:pPr>
    </w:p>
    <w:p>
      <w:pPr>
        <w:jc w:val="both"/>
        <w:ind w:firstLine="1304"/>
        <w:spacing w:after="0" w:line="269" w:lineRule="auto"/>
        <w:tabs>
          <w:tab w:leader="none" w:pos="1941"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Participations in Letters of Credit</w:t>
      </w:r>
      <w:r>
        <w:rPr>
          <w:rFonts w:ascii="Arial" w:cs="Arial" w:eastAsia="Arial" w:hAnsi="Arial"/>
          <w:sz w:val="17"/>
          <w:szCs w:val="17"/>
          <w:color w:val="auto"/>
        </w:rPr>
        <w:t>.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on a pro rata basis equal to such Revolving Lender’s Applicable Percentage of the aggregate amount available to be drawn under such Letter of Credit. In consideration and in furtherance of the foregoing, each Revolving Lender hereby absolutely and unconditionally agrees to pay to the First Lien Administrative Agent, for the account of such Issuing Bank, such Revolving Lender’s Applicable Percentage of each LC Disbursement made by such Issuing Bank and not reimbursed by the Borrower on the date due as provided in paragraph (f) of this Section 2.05, or of any reimbursement payment required to be refunded to the Borrower for any reason. All fundings of such participations shall be denominated in Dollars.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21"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each payment required to be made by it under the preceding sentence shall be made without any offset, abatement, withholding or reduction whatsoever.</w:t>
      </w:r>
    </w:p>
    <w:p>
      <w:pPr>
        <w:spacing w:after="0" w:line="248" w:lineRule="exact"/>
        <w:rPr>
          <w:sz w:val="20"/>
          <w:szCs w:val="20"/>
          <w:color w:val="auto"/>
        </w:rPr>
      </w:pPr>
    </w:p>
    <w:p>
      <w:pPr>
        <w:jc w:val="both"/>
        <w:ind w:firstLine="1304"/>
        <w:spacing w:after="0" w:line="267" w:lineRule="auto"/>
        <w:tabs>
          <w:tab w:leader="none" w:pos="193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Reimbursement of LC Disbursements</w:t>
      </w:r>
      <w:r>
        <w:rPr>
          <w:rFonts w:ascii="Arial" w:cs="Arial" w:eastAsia="Arial" w:hAnsi="Arial"/>
          <w:sz w:val="17"/>
          <w:szCs w:val="17"/>
          <w:color w:val="auto"/>
        </w:rPr>
        <w:t>. If an Issuing Bank shall make any LC Disbursement in respect of a Letter of Credit, the Borrower shall reimburse such LC Disbursement by paying to the First Lien Administrative Agent an amount (in same day funds) equal to such LC Disbursement not later than 4:00 p.m., New York City time, on the Business Day immediately following the day that the Borrower receives notice of such LC Disbursement (the “</w:t>
      </w:r>
      <w:r>
        <w:rPr>
          <w:rFonts w:ascii="Arial" w:cs="Arial" w:eastAsia="Arial" w:hAnsi="Arial"/>
          <w:sz w:val="17"/>
          <w:szCs w:val="17"/>
          <w:u w:val="single" w:color="auto"/>
          <w:color w:val="auto"/>
        </w:rPr>
        <w:t>LC Reimbursement Date</w:t>
      </w:r>
      <w:r>
        <w:rPr>
          <w:rFonts w:ascii="Arial" w:cs="Arial" w:eastAsia="Arial" w:hAnsi="Arial"/>
          <w:sz w:val="17"/>
          <w:szCs w:val="17"/>
          <w:color w:val="auto"/>
        </w:rPr>
        <w:t xml:space="preserve">”), together with accrued interest or fees thereon in accordance with clause (i) of this Section 2.05. Anything contained herein to the contrary notwithstanding, (i) unless the Borrower shall have notified the First Lien Administrative Agent and the applicable Issuing Bank prior to 4:00 p.m., New York City time, on the date such LC Disbursement is made that the Borrower intends to reimburse the applicable Issuing Bank for the amount of the LC Disbursement (including any accrued interest or fees thereon) with funds other than the proceeds of Revolving Loans, the Borrower shall be deemed to have given a timely Borrowing Request to the First Lien Administrative Agent requesting Revolving Lenders to make Revolving Loans that are ABR Revolving Loans on the LC Reimbursement Date in an amount equal to such LC Disbursement (together with any accrued interest or fees thereon), and (ii) subject to satisfaction or waiver of the conditions specified in Section 4.02, Revolving Lenders shall, on the LC Reimbursement Date, make Revolving Loans that are ABR Revolving Loans in an amount equal to their Applicable Percentage of such LC Disbursement (together with any accrued interest or fees thereon), the proceeds of which shall be applied directly by the First Lien Administrative Agent to reimburse the applicable Issuing Bank for the amount of such LC Disbursement (together with any accrued interest or fees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for any reason proceeds of Revolving Loans are not received by the applicable Issuing Bank on the LC Reimbursement Date in an amount equal to such LC Disbursement (together with any accrued interest or fees thereon), the Borrower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 shall be made without regard to the Borrowing Minimum.</w:t>
      </w:r>
    </w:p>
    <w:p>
      <w:pPr>
        <w:spacing w:after="0" w:line="189" w:lineRule="exact"/>
        <w:rPr>
          <w:rFonts w:ascii="Arial" w:cs="Arial" w:eastAsia="Arial" w:hAnsi="Arial"/>
          <w:sz w:val="17"/>
          <w:szCs w:val="17"/>
          <w:color w:val="auto"/>
        </w:rPr>
      </w:pPr>
    </w:p>
    <w:p>
      <w:pPr>
        <w:jc w:val="both"/>
        <w:ind w:firstLine="1304"/>
        <w:spacing w:after="0" w:line="267" w:lineRule="auto"/>
        <w:tabs>
          <w:tab w:leader="none" w:pos="1938"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Borrower’s obligation to reimburse LC Disbursements as provided in paragraph (f) of this Section 2.05 is absolute, unconditional and irrevocable, and shall be performed strictly in accordance with the terms of this Agreement under any and all circumstances whatsoever and irrespective of (i) any lack of validity or enforceability of any Letter of Credit, this Agreement or any other First Lien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Borrower or any Lender may have at any time against a beneficiary or any transferee of any Letter of Credit (or any Persons for whom any such transferee may be acting), the Issuing Bank, any Lender or any other Person or, in the case of a Lender, against the Borrower, whether in connection herewith, the transactions contemplated herein or any unrelated transaction (including any underlying transaction between the Borrower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with the terms of such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First Lien Loan Document by any party hereto or thereto, (viii) the fact that an Event of Default or a Default shall have occurred and be continuing, (ix) any other event or circumstance whatsoever, whether or not similar to any of the foregoing, that might, but for the provisions of this Section 2.05, constitute a legal or equitable discharge of, or provide a right of setoff against, the Borrower’s obligations hereunder or (x) any adverse change in the relevant exchange rates or in the availability of any Alternative Currency to the Borrower or in the relevant currency markets generally. As between the Borrower and the Issuing Bank, the Borrower assumes all risks of the acts and omissions of, or misuse of the Letters of Credit issued by the Issuing Bank and the proceeds thereof, by the respective beneficiaries of such Letters of Credit or any assignees or transferees thereof. In furtherance and not in limitation of the foregoing, none of the First Lien Administrative Agent, the Lenders, the Issuing Banks or any of their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21" w:right="339" w:bottom="1440" w:gutter="0" w:footer="0" w:header="0"/>
        </w:sectPr>
      </w:pPr>
    </w:p>
    <w:bookmarkStart w:id="76" w:name="page77"/>
    <w:bookmarkEnd w:id="76"/>
    <w:p>
      <w:pPr>
        <w:jc w:val="both"/>
        <w:spacing w:after="0" w:line="284" w:lineRule="auto"/>
        <w:rPr>
          <w:sz w:val="20"/>
          <w:szCs w:val="20"/>
          <w:color w:val="auto"/>
        </w:rPr>
      </w:pPr>
      <w:r>
        <w:rPr>
          <w:rFonts w:ascii="Arial" w:cs="Arial" w:eastAsia="Arial" w:hAnsi="Arial"/>
          <w:sz w:val="16"/>
          <w:szCs w:val="16"/>
          <w:color w:val="auto"/>
        </w:rPr>
        <w:t>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Borrower or any other Person. Notwithstanding the foregoing, none of the above shall be construed to excuse any Issuing Bank from liability to the Borrower to the extent of any direct damages (as opposed to special, indirect, consequential, incidental, exemplary or punitive damages, claims in respect of which are hereby waived by the Borrower to the extent permitted by Requirements of Law) suffered by the Borrower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w:t>
      </w:r>
    </w:p>
    <w:p>
      <w:pPr>
        <w:spacing w:after="0" w:line="178" w:lineRule="exact"/>
        <w:rPr>
          <w:sz w:val="20"/>
          <w:szCs w:val="20"/>
          <w:color w:val="auto"/>
        </w:rPr>
      </w:pPr>
    </w:p>
    <w:p>
      <w:pPr>
        <w:jc w:val="both"/>
        <w:ind w:firstLine="1304"/>
        <w:spacing w:after="0" w:line="296" w:lineRule="auto"/>
        <w:tabs>
          <w:tab w:leader="none" w:pos="1938"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Disbursement Procedures</w:t>
      </w:r>
      <w:r>
        <w:rPr>
          <w:rFonts w:ascii="Arial" w:cs="Arial" w:eastAsia="Arial" w:hAnsi="Arial"/>
          <w:sz w:val="16"/>
          <w:szCs w:val="16"/>
          <w:color w:val="auto"/>
        </w:rPr>
        <w:t xml:space="preserve">. Each Issuing Bank shall, promptly following its receipt thereof, examine all documents purporting to represent a demand for payment under a Letter of Credit. Each Issuing Bank shall promptly notify the First Lien Administrative Agent and the Borrower by telephone (confirmed in writing by hand delivery or facsimile) of such demand for payment and whether such Issuing Bank has made or will make an LC Disbursement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failure to give or delay in giving such notice shall not relieve the Borrower of its obligations to reimburse such Issuing Bank and the Revolving Lenders with respect to any such LC Disbursement in accordance with paragraph (f) of this Section 2.05.</w:t>
      </w:r>
    </w:p>
    <w:p>
      <w:pPr>
        <w:spacing w:after="0" w:line="161" w:lineRule="exact"/>
        <w:rPr>
          <w:rFonts w:ascii="Arial" w:cs="Arial" w:eastAsia="Arial" w:hAnsi="Arial"/>
          <w:sz w:val="16"/>
          <w:szCs w:val="16"/>
          <w:color w:val="auto"/>
        </w:rPr>
      </w:pPr>
    </w:p>
    <w:p>
      <w:pPr>
        <w:jc w:val="both"/>
        <w:ind w:firstLine="1304"/>
        <w:spacing w:after="0" w:line="270" w:lineRule="auto"/>
        <w:tabs>
          <w:tab w:leader="none" w:pos="1938"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an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or, if such LC Disbursement is not denominated in dollars, at a rate per annum then applicable to Revolving Loans denominated in such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such LC Disbursement when due pursuant to paragraph (f) of this Section 2.05, then Section 2.13(c) shall apply. Interest accrued pursuant to this paragraph shall be paid to the First Lien Administrative Agent, for the account of the applicable Issuing Bank, except that interest accrued on and after the date of payment by any Revolving Lender pursuant to paragraph (f) of this Section 2.05 to reimburse such Issuing Bank shall be for the account of such Lender to the extent of such payment and shall be payable on demand or, if no demand has been made, on the date on which the Borrower reimburses the applicable LC Disbursement in full.</w:t>
      </w:r>
    </w:p>
    <w:p>
      <w:pPr>
        <w:spacing w:after="0" w:line="180" w:lineRule="exact"/>
        <w:rPr>
          <w:rFonts w:ascii="Arial" w:cs="Arial" w:eastAsia="Arial" w:hAnsi="Arial"/>
          <w:sz w:val="17"/>
          <w:szCs w:val="17"/>
          <w:color w:val="auto"/>
        </w:rPr>
      </w:pPr>
    </w:p>
    <w:p>
      <w:pPr>
        <w:ind w:right="20" w:firstLine="1304"/>
        <w:spacing w:after="0" w:line="277" w:lineRule="auto"/>
        <w:tabs>
          <w:tab w:leader="none" w:pos="193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Cash Collateralization of Letters of Credit</w:t>
      </w:r>
      <w:r>
        <w:rPr>
          <w:rFonts w:ascii="Arial" w:cs="Arial" w:eastAsia="Arial" w:hAnsi="Arial"/>
          <w:sz w:val="18"/>
          <w:szCs w:val="18"/>
          <w:color w:val="auto"/>
        </w:rPr>
        <w:t>. If (i) effective immediately, without demand or other notice of any kind, as of any expiration date of a Letter of Credit, such Letter of Credit may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21" w:right="339" w:bottom="1440" w:gutter="0" w:footer="0" w:header="0"/>
        </w:sectPr>
      </w:pPr>
    </w:p>
    <w:bookmarkStart w:id="77" w:name="page78"/>
    <w:bookmarkEnd w:id="77"/>
    <w:p>
      <w:pPr>
        <w:jc w:val="both"/>
        <w:spacing w:after="0" w:line="266" w:lineRule="auto"/>
        <w:rPr>
          <w:sz w:val="20"/>
          <w:szCs w:val="20"/>
          <w:color w:val="auto"/>
        </w:rPr>
      </w:pPr>
      <w:r>
        <w:rPr>
          <w:rFonts w:ascii="Arial" w:cs="Arial" w:eastAsia="Arial" w:hAnsi="Arial"/>
          <w:sz w:val="17"/>
          <w:szCs w:val="17"/>
          <w:color w:val="auto"/>
        </w:rPr>
        <w:t>remain outstanding and partially or wholly undrawn, (ii) effective immediately, without demand or other notice of any kind, as of the occurrence of any Event of Default under paragraph (h) or (i) of Section 7.01, or (iii) any Event of Default under paragraph (a) or (b) of Section 7.01 shall occur and be continuing, on the Business Day on which the Borrower receives notice from the First Lien Administrative 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Borrower shall deposit in an account with a depositary bank that is a Lender reasonably satisfactory to the First Lien Collateral Agent, in the name of the First Lien Administrative Agent and for the benefit of the Secured Parties (or in the case of any Letters of Credit that expire later than the fifth (5th) Business Day prior to the Revolving Maturity Date and are cash collateralized on or after the fifth (5th) Business Day prior to the Revolving Maturity Date, for the benefit of the applicable Issuing Bank), an amount of cash in Dollars or an Alternative Currency, as the case may be, equal to the portions of the LC Exposure attributable to Letters of Credit, as of such date plus any accrued and unpaid interest thereon. Each such deposit shall be held by the First Lien Administrative Agent as collateral for the payment and performance of the obligations of the Borrower under this Agreement and the other First Lien Loan Documents. At any time that there shall exist a Defaulting Lender, if any Defaulting Lender Fronting Exposure remains outstanding (after giving effect to Section 2.22(a)(iv)), then promptly upon the request of the First Lien Administrative Agent, the Issuing Bank or the Swingline Lender, the Borrower shall deliver to the First Lien Administrative Agent cash collateral in an amount sufficient to cover such Defaulting Lender Fronting Exposure (after giving effect to any cash collateral provided by the Defaulting Lender). The First Lien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First Lien Administrative Agent in Permitted Investments and at the Borrower’s risk and expense, such deposits shall not bear interest. Interest or profits, if any, on such investments shall accumulate in such account. Notwithstanding anything to the contrary set forth in this Agreement, moneys in such account shall be applied by the First Lien Administrative Agent first to reimburse the Issuing Banks for LC Disbursements for which they have not been reimbursed and, to the extent not so applied, the balance shall be held for the satisfaction of the reimbursement obligations of the Borrower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Borrower under this Agreement. If the Borrower is required to provide an amount of cash collateral hereunder as a result of the occurrence of an Event of Default or the existence of a Defaulting Lender, such amount (to the extent not applied as aforesaid) shall be returned to the Borrower within three Business Days after all Events of Default have been cured or waived or after the termination of Defaulting Lender status, as applicable.</w:t>
      </w:r>
    </w:p>
    <w:p>
      <w:pPr>
        <w:spacing w:after="0" w:line="199" w:lineRule="exact"/>
        <w:rPr>
          <w:sz w:val="20"/>
          <w:szCs w:val="20"/>
          <w:color w:val="auto"/>
        </w:rPr>
      </w:pPr>
    </w:p>
    <w:p>
      <w:pPr>
        <w:jc w:val="both"/>
        <w:ind w:firstLine="1304"/>
        <w:spacing w:after="0" w:line="254" w:lineRule="auto"/>
        <w:tabs>
          <w:tab w:leader="none" w:pos="193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Designation of Additional Issuing Banks</w:t>
      </w:r>
      <w:r>
        <w:rPr>
          <w:rFonts w:ascii="Arial" w:cs="Arial" w:eastAsia="Arial" w:hAnsi="Arial"/>
          <w:sz w:val="18"/>
          <w:szCs w:val="18"/>
          <w:color w:val="auto"/>
        </w:rPr>
        <w:t>. The Borrower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First Lien Administrative Agent and the Borrower, executed by the Borrower, the First Lien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194" w:lineRule="exact"/>
        <w:rPr>
          <w:rFonts w:ascii="Arial" w:cs="Arial" w:eastAsia="Arial" w:hAnsi="Arial"/>
          <w:sz w:val="18"/>
          <w:szCs w:val="18"/>
          <w:color w:val="auto"/>
        </w:rPr>
      </w:pPr>
    </w:p>
    <w:p>
      <w:pPr>
        <w:jc w:val="both"/>
        <w:ind w:firstLine="1304"/>
        <w:spacing w:after="0" w:line="272" w:lineRule="auto"/>
        <w:tabs>
          <w:tab w:leader="none" w:pos="1938"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Resignation or Termination of an Issuing Bank</w:t>
      </w:r>
      <w:r>
        <w:rPr>
          <w:rFonts w:ascii="Arial" w:cs="Arial" w:eastAsia="Arial" w:hAnsi="Arial"/>
          <w:sz w:val="17"/>
          <w:szCs w:val="17"/>
          <w:color w:val="auto"/>
        </w:rPr>
        <w:t xml:space="preserve">. Subject to the appointment and acceptance of a successor Issuing Bank reasonably acceptable to the Borrower, any Issuing Bank may resign at any time by giving thirty (30) days’ written notice to the First Lien Administrative Agent, the Lenders and the Borrower. The Borrower may terminate the appointment of any Issuing Bank as an “Issuing Bank” hereunder by providing a written notice thereof to such Issuing Bank, with a copy to the First Lien Administrative Agent. Any such termination shall become effective upon the earlier of (i) such Issuing Bank’s acknowledging receipt of such notice and (ii) the fifth Business Day following the date of the delivery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shall become effective until and unless the LC Exposure attributable to all Letters of Credit issued by such Issuing Bank (or its Affiliates) shall have been reduced to zero. At the time any such resignation or termination shall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21" w:right="339" w:bottom="1440" w:gutter="0" w:footer="0" w:header="0"/>
        </w:sectPr>
      </w:pPr>
    </w:p>
    <w:bookmarkStart w:id="78" w:name="page79"/>
    <w:bookmarkEnd w:id="78"/>
    <w:p>
      <w:pPr>
        <w:jc w:val="both"/>
        <w:spacing w:after="0" w:line="255" w:lineRule="auto"/>
        <w:rPr>
          <w:sz w:val="20"/>
          <w:szCs w:val="20"/>
          <w:color w:val="auto"/>
        </w:rPr>
      </w:pPr>
      <w:r>
        <w:rPr>
          <w:rFonts w:ascii="Arial" w:cs="Arial" w:eastAsia="Arial" w:hAnsi="Arial"/>
          <w:sz w:val="18"/>
          <w:szCs w:val="18"/>
          <w:color w:val="auto"/>
        </w:rPr>
        <w:t>effective, the Borrower shall pay all unpaid fees accrued for the account of the resigning or terminated Issuing Bank pursuant to Section 2.12(b). Notwithstanding the effectiveness of any such resignation or termination, the resigning or terminated Issuing Bank shall remain a party hereto and shall continue to have all the rights of an Issuing Bank under this Agreement and the other First Lien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 (b) be deemed an Issuing Bank for any other purpose.</w:t>
      </w:r>
    </w:p>
    <w:p>
      <w:pPr>
        <w:spacing w:after="0" w:line="192" w:lineRule="exact"/>
        <w:rPr>
          <w:sz w:val="20"/>
          <w:szCs w:val="20"/>
          <w:color w:val="auto"/>
        </w:rPr>
      </w:pPr>
    </w:p>
    <w:p>
      <w:pPr>
        <w:jc w:val="both"/>
        <w:ind w:firstLine="1304"/>
        <w:spacing w:after="0" w:line="269" w:lineRule="auto"/>
        <w:tabs>
          <w:tab w:leader="none" w:pos="1934"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Issuing Bank Reports to the First Lien Administrative Agent</w:t>
      </w:r>
      <w:r>
        <w:rPr>
          <w:rFonts w:ascii="Arial" w:cs="Arial" w:eastAsia="Arial" w:hAnsi="Arial"/>
          <w:sz w:val="17"/>
          <w:szCs w:val="17"/>
          <w:color w:val="auto"/>
        </w:rPr>
        <w:t xml:space="preserve">. Unless otherwise agreed by the First Lien Administrative Agent, each Issuing Bank shall, in addition to its notification obligations set forth elsewhere in this Section 2.05, report in writing to the First Lien Administrative Agent (i) periodic activity (for such period or recurrent periods as shall be requested by the First Lien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 Borrower fails to reimburse an LC Disbursement required to be reimbursed to such Issuing Bank on such day, the date of such failure and amount of such LC Disbursement and (v) on any other Business Day, such other information as the First Lien Administrative Agent shall reasonably request as to the Letters of Credit issued by such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Issuing Bank shall have any liability hereunder to any Person for any failure to deliver the reports contemplated by this paragraph (m) of Section 2.05.</w:t>
      </w:r>
    </w:p>
    <w:p>
      <w:pPr>
        <w:spacing w:after="0" w:line="178" w:lineRule="exact"/>
        <w:rPr>
          <w:rFonts w:ascii="Arial" w:cs="Arial" w:eastAsia="Arial" w:hAnsi="Arial"/>
          <w:sz w:val="17"/>
          <w:szCs w:val="17"/>
          <w:color w:val="auto"/>
        </w:rPr>
      </w:pPr>
    </w:p>
    <w:p>
      <w:pPr>
        <w:jc w:val="both"/>
        <w:ind w:firstLine="1304"/>
        <w:spacing w:after="0" w:line="270" w:lineRule="auto"/>
        <w:tabs>
          <w:tab w:leader="none" w:pos="1938"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Applicability of ISP and UCP</w:t>
      </w:r>
      <w:r>
        <w:rPr>
          <w:rFonts w:ascii="Arial" w:cs="Arial" w:eastAsia="Arial" w:hAnsi="Arial"/>
          <w:sz w:val="17"/>
          <w:szCs w:val="17"/>
          <w:color w:val="auto"/>
        </w:rPr>
        <w:t>. Unless otherwise expressly agreed by the applicable Issuing Bank and the Borrower when a Letter of Credit is issued or when it is amended with the consent of the beneficiary thereof, (i) the rules of the ISP shall apply to each standby Letter of Credit, and (ii) the rules of the UCP shall apply to each commercial Letter of Credit. Notwithstanding the foregoing, the applicable Issuing Bank shall not be responsible to the Borrower for, and the applicable Issuing Bank’s rights and remedies against the Borrower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w:t>
      </w:r>
    </w:p>
    <w:p>
      <w:pPr>
        <w:spacing w:after="0" w:line="180" w:lineRule="exact"/>
        <w:rPr>
          <w:rFonts w:ascii="Arial" w:cs="Arial" w:eastAsia="Arial" w:hAnsi="Arial"/>
          <w:sz w:val="17"/>
          <w:szCs w:val="17"/>
          <w:color w:val="auto"/>
        </w:rPr>
      </w:pPr>
    </w:p>
    <w:p>
      <w:pPr>
        <w:jc w:val="both"/>
        <w:ind w:firstLine="1304"/>
        <w:spacing w:after="0" w:line="255" w:lineRule="auto"/>
        <w:tabs>
          <w:tab w:leader="none" w:pos="193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Rollover of Existing Letters of Credit and Other Letters of Credit</w:t>
      </w:r>
      <w:r>
        <w:rPr>
          <w:rFonts w:ascii="Arial" w:cs="Arial" w:eastAsia="Arial" w:hAnsi="Arial"/>
          <w:sz w:val="18"/>
          <w:szCs w:val="18"/>
          <w:color w:val="auto"/>
        </w:rPr>
        <w:t>. Each of the Existing Letters of Credit outstanding on the Effective Date shall remain outstanding as a Letter of Credit under this Agreement until otherwise returned or expired. Any letter of credit that was issued by an Issuing Bank and is not a Letter of Credit will be deemed to be a Letter of Credit issued under this Agreement on the date that the Borrower, the Issuing Bank with respect to such letter of credit and the First Lien Administrative Agent sign an instrument identifying such letter of credit as a Letter of Credit under this Agreement; provided that such instrument may only be executed if such letter of credit would be permitted to be issued under this Agreement as a Letter of Credit on such date.</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Funding of Borrowings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311" w:lineRule="auto"/>
        <w:tabs>
          <w:tab w:leader="none" w:pos="1941"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Lender shall make each Loan to be made by it hereunder on the proposed date thereof by wire transfer of immediately available funds by 12:00 noon, New York City time in the case of any Loan in Dollars or Canadian Dollars and 2:00 p.m., London, England time in the case of any Loan in an Alternative Currency (other than Canadian Dollars), to the Applicable Account of the First Lien Administrative Agent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21" w:right="339" w:bottom="1440" w:gutter="0" w:footer="0" w:header="0"/>
        </w:sectPr>
      </w:pPr>
    </w:p>
    <w:bookmarkStart w:id="79" w:name="page80"/>
    <w:bookmarkEnd w:id="79"/>
    <w:p>
      <w:pPr>
        <w:jc w:val="both"/>
        <w:spacing w:after="0" w:line="301" w:lineRule="auto"/>
        <w:rPr>
          <w:sz w:val="20"/>
          <w:szCs w:val="20"/>
          <w:color w:val="auto"/>
        </w:rPr>
      </w:pPr>
      <w:r>
        <w:rPr>
          <w:rFonts w:ascii="Arial" w:cs="Arial" w:eastAsia="Arial" w:hAnsi="Arial"/>
          <w:sz w:val="16"/>
          <w:szCs w:val="16"/>
          <w:color w:val="auto"/>
        </w:rPr>
        <w:t xml:space="preserve">recently designated by it for such purpose by notice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Swingline Loans shall be made as provided in Section 2.04. The First Lien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ABR Revolving Loans made to finance the reimbursement of an LC Disbursement as provided in Section 2.05(f) shall be remitted by the First Lien Administrative Agent to the applicable Issuing Bank.</w:t>
      </w:r>
    </w:p>
    <w:p>
      <w:pPr>
        <w:spacing w:after="0" w:line="157" w:lineRule="exact"/>
        <w:rPr>
          <w:sz w:val="20"/>
          <w:szCs w:val="20"/>
          <w:color w:val="auto"/>
        </w:rPr>
      </w:pPr>
    </w:p>
    <w:p>
      <w:pPr>
        <w:jc w:val="both"/>
        <w:ind w:firstLine="1304"/>
        <w:spacing w:after="0" w:line="268" w:lineRule="auto"/>
        <w:tabs>
          <w:tab w:leader="none" w:pos="1938" w:val="left"/>
        </w:tabs>
        <w:numPr>
          <w:ilvl w:val="0"/>
          <w:numId w:val="59"/>
        </w:numPr>
        <w:rPr>
          <w:rFonts w:ascii="Arial" w:cs="Arial" w:eastAsia="Arial" w:hAnsi="Arial"/>
          <w:sz w:val="17"/>
          <w:szCs w:val="17"/>
          <w:color w:val="auto"/>
        </w:rPr>
      </w:pPr>
      <w:r>
        <w:rPr>
          <w:rFonts w:ascii="Arial" w:cs="Arial" w:eastAsia="Arial" w:hAnsi="Arial"/>
          <w:sz w:val="17"/>
          <w:szCs w:val="17"/>
          <w:color w:val="auto"/>
        </w:rPr>
        <w:t>Unless the First Lien Administrative Agent shall have received notice from a Lender prior to the proposed date of any Borrowing (or, in the case of any ABR Borrowing, prior to the actual date of such ABR Borrowing) that such Lender will not make available to the First Lien Administrative Agent such Lender’s share of such Borrowing, the First Lien Administrative Agent may assume that such Lender has made such share available on such date in accordance with paragraph (a) of this Section 2.06 and may, in reliance on such assumption and in its sole discretion, make available to the Borrower a corresponding amount. In such event, if a Lender has not in fact made its share of the applicable Borrowing available to the First Lien Administrative Agent, then the applicable Lender agrees to pay to the First Lien Administrative Agent an amount equal to such share on demand of the First Lien Administrative Agent. If such Lender does not pay such corresponding amount forthwith upon demand of the First Lien Administrative Agent therefor, the First Lien Administrative Agent shall promptly notify the Borrower, and the Borrower agrees to pay such corresponding amount to the First Lien Administrative Agent forthwith on demand. The First Lien Administrative Agent shall also be entitled to recover from such Lender or the Borrower interest on such corresponding amount, for each day from and including the date such amount is made available to the Borrower to but excluding the date of payment to the First Lien Administrative Agent, at (i) in the case of such Lender, the greater of the Federal Funds Effective Rate and a rate determined by the First Lien Administrative Agent in accordance with banking industry rules on interbank compensation, or (ii) in the case of the Borrower, the interest rate applicable to such Borrowing in accordance with Section 2.13. If such Lender pays such amount to the First Lien Administrative Agent, then such amount shall constitute such Lender’s Loan included in such Borrowing.</w:t>
      </w:r>
    </w:p>
    <w:p>
      <w:pPr>
        <w:spacing w:after="0" w:line="184" w:lineRule="exact"/>
        <w:rPr>
          <w:rFonts w:ascii="Arial" w:cs="Arial" w:eastAsia="Arial" w:hAnsi="Arial"/>
          <w:sz w:val="17"/>
          <w:szCs w:val="17"/>
          <w:color w:val="auto"/>
        </w:rPr>
      </w:pPr>
    </w:p>
    <w:p>
      <w:pPr>
        <w:jc w:val="both"/>
        <w:ind w:firstLine="1304"/>
        <w:spacing w:after="0" w:line="257" w:lineRule="auto"/>
        <w:tabs>
          <w:tab w:leader="none" w:pos="194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obligations of the Lenders hereunder to make Revolving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u w:val="single" w:color="auto"/>
          <w:color w:val="auto"/>
        </w:rPr>
        <w:t>Interest Elections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0" w:lineRule="auto"/>
        <w:tabs>
          <w:tab w:leader="none" w:pos="1941"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Each Revolving Borrowing of the applicable Class and each Term Borrowing initially shall be of the Type specified in the applicable Borrowing Request or designated by Section 2.03 and, in the case of a Eurodollar Borrowing or RFR Borrowing, shall have an initial Interest Period as specified in such Borrowing Request or designated by Section 2.03. Thereafter, the Borrower may elect to convert such Borrowing to a different Type or to continue such Borrowing and, in the case of a Eurodollar Borrowing or RFR Borrowing, may elect Interest Periods therefor, all as provided in this Section 2.07;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herein, no Loan may be converted into or continued as a Loan denominated in a different currency but instead must be prepaid in the original currency of such Loan and reborrowed in the other currency.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65" w:lineRule="exact"/>
        <w:rPr>
          <w:rFonts w:ascii="Arial" w:cs="Arial" w:eastAsia="Arial" w:hAnsi="Arial"/>
          <w:sz w:val="16"/>
          <w:szCs w:val="16"/>
          <w:color w:val="auto"/>
        </w:rPr>
      </w:pPr>
    </w:p>
    <w:p>
      <w:pPr>
        <w:jc w:val="both"/>
        <w:ind w:firstLine="1304"/>
        <w:spacing w:after="0" w:line="257" w:lineRule="auto"/>
        <w:tabs>
          <w:tab w:leader="none" w:pos="193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make an election pursuant to this Section 2.07, the Borrower shall notify the First Lien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First Lien Administrative Agent of a written Interest Election Request signed by a Responsible Officer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21" w:right="339" w:bottom="1440" w:gutter="0" w:footer="0" w:header="0"/>
        </w:sectPr>
      </w:pPr>
    </w:p>
    <w:bookmarkStart w:id="80" w:name="page81"/>
    <w:bookmarkEnd w:id="80"/>
    <w:p>
      <w:pPr>
        <w:ind w:left="1940" w:hanging="636"/>
        <w:spacing w:after="0"/>
        <w:tabs>
          <w:tab w:leader="none" w:pos="19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Each telephonic and written Interest Election Request shall specify the following information in compliance with Section 2.03:</w:t>
      </w:r>
    </w:p>
    <w:p>
      <w:pPr>
        <w:spacing w:after="0" w:line="248" w:lineRule="exact"/>
        <w:rPr>
          <w:rFonts w:ascii="Arial" w:cs="Arial" w:eastAsia="Arial" w:hAnsi="Arial"/>
          <w:sz w:val="16"/>
          <w:szCs w:val="16"/>
          <w:color w:val="auto"/>
        </w:rPr>
      </w:pPr>
    </w:p>
    <w:p>
      <w:pPr>
        <w:jc w:val="both"/>
        <w:ind w:firstLine="915"/>
        <w:spacing w:after="0" w:line="263" w:lineRule="auto"/>
        <w:tabs>
          <w:tab w:leader="none" w:pos="129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3" w:lineRule="exact"/>
        <w:rPr>
          <w:rFonts w:ascii="Arial" w:cs="Arial" w:eastAsia="Arial" w:hAnsi="Arial"/>
          <w:sz w:val="18"/>
          <w:szCs w:val="18"/>
          <w:color w:val="auto"/>
        </w:rPr>
      </w:pPr>
    </w:p>
    <w:p>
      <w:pPr>
        <w:ind w:left="1300" w:hanging="385"/>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25" w:lineRule="exact"/>
        <w:rPr>
          <w:rFonts w:ascii="Arial" w:cs="Arial" w:eastAsia="Arial" w:hAnsi="Arial"/>
          <w:sz w:val="18"/>
          <w:szCs w:val="18"/>
          <w:color w:val="auto"/>
        </w:rPr>
      </w:pPr>
    </w:p>
    <w:p>
      <w:pPr>
        <w:ind w:left="1300" w:hanging="385"/>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the resulting Borrowing is to be an ABR Borrowing or a Eurodollar Borrowing; and</w:t>
      </w:r>
    </w:p>
    <w:p>
      <w:pPr>
        <w:spacing w:after="0" w:line="225" w:lineRule="exact"/>
        <w:rPr>
          <w:rFonts w:ascii="Arial" w:cs="Arial" w:eastAsia="Arial" w:hAnsi="Arial"/>
          <w:sz w:val="18"/>
          <w:szCs w:val="18"/>
          <w:color w:val="auto"/>
        </w:rPr>
      </w:pPr>
    </w:p>
    <w:p>
      <w:pPr>
        <w:ind w:firstLine="915"/>
        <w:spacing w:after="0" w:line="277" w:lineRule="auto"/>
        <w:tabs>
          <w:tab w:leader="none" w:pos="12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resulting Borrowing is to be a Eurodollar Borrowing or RFR Borrowing, the Interest Period to be applicable thereto after giving effect to such election, which shall be a period contemplated by the definition of the term “Interest Period.”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such Interest Election Request requests a Eurodollar Borrowing or RFR Borrowing but does not specify an Interest Period, then the Borrower shall be deemed to have selected an Interest Period of one month’s duration.</w:t>
      </w:r>
    </w:p>
    <w:p>
      <w:pPr>
        <w:spacing w:after="0" w:line="170" w:lineRule="exact"/>
        <w:rPr>
          <w:sz w:val="20"/>
          <w:szCs w:val="20"/>
          <w:color w:val="auto"/>
        </w:rPr>
      </w:pPr>
    </w:p>
    <w:p>
      <w:pPr>
        <w:ind w:firstLine="1304"/>
        <w:spacing w:after="0" w:line="308" w:lineRule="auto"/>
        <w:tabs>
          <w:tab w:leader="none" w:pos="1938"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Promptly following receipt of an Interest Election Request in accordance with this Section 2.07, the First Lien Administrative Agent shall advise each Lender of the applicable Class of the details thereof and of such Lender’s portion of each resulting Borrowing.</w:t>
      </w:r>
    </w:p>
    <w:p>
      <w:pPr>
        <w:spacing w:after="0" w:line="146" w:lineRule="exact"/>
        <w:rPr>
          <w:rFonts w:ascii="Arial" w:cs="Arial" w:eastAsia="Arial" w:hAnsi="Arial"/>
          <w:sz w:val="17"/>
          <w:szCs w:val="17"/>
          <w:color w:val="auto"/>
        </w:rPr>
      </w:pPr>
    </w:p>
    <w:p>
      <w:pPr>
        <w:jc w:val="both"/>
        <w:ind w:firstLine="1304"/>
        <w:spacing w:after="0" w:line="293" w:lineRule="auto"/>
        <w:tabs>
          <w:tab w:leader="none" w:pos="1941"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Borrower fails to deliver a timely Interest Election Request with respect to a Eurodollar Borrowing or RFR Borrowing prior to the end of the Interest Period applicable thereto, then, unless such Borrowing is repaid as provided herein, then the Borrower shall be deemed to have selected an Interest Period of one month’s duration. Notwithstanding any contrary provision hereof, if an Event of Default has occurred and is continuing and the First Lien Administrative Agent, at the request of the Required Lenders, so notifies the Borrower, then, so long as an Event of Default is continuing (i) no outstanding Borrowing may be converted to or continued as a Eurodollar Borrowing and (ii) unless repaid, each Eurodollar Borrowing, if denominated in Dollars or Canadian Dollars shall be converted to an ABR Borrowing at the end of the Interest Period applicable thereto.</w:t>
      </w:r>
    </w:p>
    <w:p>
      <w:pPr>
        <w:spacing w:after="0" w:line="16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w:t>
      </w:r>
    </w:p>
    <w:p>
      <w:pPr>
        <w:spacing w:after="0" w:line="225" w:lineRule="exact"/>
        <w:rPr>
          <w:sz w:val="20"/>
          <w:szCs w:val="20"/>
          <w:color w:val="auto"/>
        </w:rPr>
      </w:pPr>
    </w:p>
    <w:p>
      <w:pPr>
        <w:ind w:left="1940" w:hanging="636"/>
        <w:spacing w:after="0"/>
        <w:tabs>
          <w:tab w:leader="none" w:pos="19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Unless previously terminated, the Revolving Commitments shall terminate on the Revolving Maturity Date.</w:t>
      </w:r>
    </w:p>
    <w:p>
      <w:pPr>
        <w:spacing w:after="0" w:line="225" w:lineRule="exact"/>
        <w:rPr>
          <w:rFonts w:ascii="Arial" w:cs="Arial" w:eastAsia="Arial" w:hAnsi="Arial"/>
          <w:sz w:val="18"/>
          <w:szCs w:val="18"/>
          <w:color w:val="auto"/>
        </w:rPr>
      </w:pPr>
    </w:p>
    <w:p>
      <w:pPr>
        <w:jc w:val="both"/>
        <w:ind w:firstLine="1304"/>
        <w:spacing w:after="0" w:line="275" w:lineRule="auto"/>
        <w:tabs>
          <w:tab w:leader="none" w:pos="1938"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The Borrower may at any time terminate, or from time to time reduce, the Commitments of any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reduction of the Commitments of any Class shall be in an amount that is an integral multiple of $500,000 and not less than $1,000,000 unless such amount represents all of the remaining Commitments of such Class and (ii) the Borrower shall not terminate or reduce the Revolving Commitments of any Class if, after giving effect to any concurrent prepayment of the Revolving Loans or Swingline Loans of any Class in accordance with Section 2.11, the aggregate Revolving Exposures of such Class would exceed the aggregate Revolving Commitments of such Class.</w:t>
      </w:r>
    </w:p>
    <w:p>
      <w:pPr>
        <w:spacing w:after="0" w:line="176" w:lineRule="exact"/>
        <w:rPr>
          <w:rFonts w:ascii="Arial" w:cs="Arial" w:eastAsia="Arial" w:hAnsi="Arial"/>
          <w:sz w:val="17"/>
          <w:szCs w:val="17"/>
          <w:color w:val="auto"/>
        </w:rPr>
      </w:pPr>
    </w:p>
    <w:p>
      <w:pPr>
        <w:jc w:val="both"/>
        <w:ind w:firstLine="1304"/>
        <w:spacing w:after="0" w:line="293" w:lineRule="auto"/>
        <w:tabs>
          <w:tab w:leader="none" w:pos="1941"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The Borrower shall notify the First Lien Administrative Agent of any election to terminate or reduce the Commitments under paragraph (b) of this Section 2.08 at least one (1) Business Day prior to the effective date of such termination or reduction, specifying such election and the effective date thereof. Promptly following receipt of any such notice, the First Lien Administrative Agent shall advise the Lenders of the contents thereof. Each notice delivered by the Borrower pursuant to this Section 2.08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Revolving Commitments of any Class delivered by the Borrower may state that such notice is conditioned upon the effectiveness of any credit facility or the receipt of the proceeds from the issuance of other Indebtedness or the occurrence of some other identifiable and specified event or condition, in which case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21" w:right="339" w:bottom="1440" w:gutter="0" w:footer="0" w:header="0"/>
        </w:sectPr>
      </w:pPr>
    </w:p>
    <w:bookmarkStart w:id="81" w:name="page82"/>
    <w:bookmarkEnd w:id="81"/>
    <w:p>
      <w:pPr>
        <w:jc w:val="both"/>
        <w:spacing w:after="0" w:line="286" w:lineRule="auto"/>
        <w:rPr>
          <w:sz w:val="20"/>
          <w:szCs w:val="20"/>
          <w:color w:val="auto"/>
        </w:rPr>
      </w:pPr>
      <w:r>
        <w:rPr>
          <w:rFonts w:ascii="Arial" w:cs="Arial" w:eastAsia="Arial" w:hAnsi="Arial"/>
          <w:sz w:val="17"/>
          <w:szCs w:val="17"/>
          <w:color w:val="auto"/>
        </w:rPr>
        <w:t>notice may be revoked or extended by the Borrower (by notice to the First Lien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6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1941"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Borrower hereby unconditionally promise to pay (i) to the First Lien Administrative Agent for the account of each Lender the then unpaid principal amount of each Revolving Loan of such Lender on the Revolving Maturity Date, and (ii) to the Swingline Lender the then unpaid principal amount of each Swingline Loan made by the Swingline Lender on the earlier to occur of (A) the date that is ten (10) Business Days after such Loan is made and (B) the Revolving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Revolving Borrowing is made, the Borrower shall repay all Swingline Loans that were outstanding on the date such Borrowing was requested.</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938"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jc w:val="both"/>
        <w:ind w:firstLine="1304"/>
        <w:spacing w:after="0" w:line="301" w:lineRule="auto"/>
        <w:tabs>
          <w:tab w:leader="none" w:pos="1941"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First Lien Administrative Agent shall, in connection with the maintenance of the Register in accordance with Section 9.04(b)(iv),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First Lien Administrative Agent hereunder for the account of the Lenders and each Lender’s share thereof.</w:t>
      </w:r>
    </w:p>
    <w:p>
      <w:pPr>
        <w:spacing w:after="0" w:line="157" w:lineRule="exact"/>
        <w:rPr>
          <w:rFonts w:ascii="Arial" w:cs="Arial" w:eastAsia="Arial" w:hAnsi="Arial"/>
          <w:sz w:val="16"/>
          <w:szCs w:val="16"/>
          <w:color w:val="auto"/>
        </w:rPr>
      </w:pPr>
    </w:p>
    <w:p>
      <w:pPr>
        <w:jc w:val="both"/>
        <w:ind w:firstLine="1304"/>
        <w:spacing w:after="0" w:line="275" w:lineRule="auto"/>
        <w:tabs>
          <w:tab w:leader="none" w:pos="1938"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entries made in the accounts maintained pursuant to paragraph (b) or (c) of this Section 2.09 shall be </w:t>
      </w:r>
      <w:r>
        <w:rPr>
          <w:rFonts w:ascii="Arial" w:cs="Arial" w:eastAsia="Arial" w:hAnsi="Arial"/>
          <w:sz w:val="17"/>
          <w:szCs w:val="17"/>
          <w:u w:val="single" w:color="auto"/>
          <w:color w:val="auto"/>
        </w:rPr>
        <w:t>prima facie</w:t>
      </w:r>
      <w:r>
        <w:rPr>
          <w:rFonts w:ascii="Arial" w:cs="Arial" w:eastAsia="Arial" w:hAnsi="Arial"/>
          <w:sz w:val="17"/>
          <w:szCs w:val="17"/>
          <w:color w:val="auto"/>
        </w:rPr>
        <w:t xml:space="preserve"> evidence of the existence and amounts of the obligations recorded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Lender or the First Lien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2.09, the accounts maintained by the First Lien Administrative Agent pursuant to paragraph (c) of this Section 2.09 shall control.</w:t>
      </w:r>
    </w:p>
    <w:p>
      <w:pPr>
        <w:spacing w:after="0" w:line="176" w:lineRule="exact"/>
        <w:rPr>
          <w:rFonts w:ascii="Arial" w:cs="Arial" w:eastAsia="Arial" w:hAnsi="Arial"/>
          <w:sz w:val="17"/>
          <w:szCs w:val="17"/>
          <w:color w:val="auto"/>
        </w:rPr>
      </w:pPr>
    </w:p>
    <w:p>
      <w:pPr>
        <w:jc w:val="both"/>
        <w:ind w:right="20" w:firstLine="1304"/>
        <w:spacing w:after="0" w:line="263" w:lineRule="auto"/>
        <w:tabs>
          <w:tab w:leader="none" w:pos="1941"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Lender may request through the First Lien Administrative Agent that Loans of any Class made by it be evidenced by a Note. In such event, the Borrower shall execute and deliver to such Lender a Note payable to such Lender (or, if requested by such Lender, to such Lender and its registered assigns).</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217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Borrower shall have the right at any time and from time to time to prepay any Borrowing in whole or in part, without premium or penalty, provided that each prepayment of any Borrowing of any Class shall be in an amount that is an integral multiple of $500,000 and not less than $1,000,000 unless such amount represents all of the outstanding Revolving Borrowings or Swingline Loans of such Class.</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1938"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event and on each occasion that the aggregate Revolving Exposures of any Class exceed the aggregate Revolving Commitments of such Class, the Borrower shall prepay Revolving Borrowings or Swingline Loans of such Class (or, if no such Borrowings are outstanding, deposit cash collateral in an account with a depositary bank that is a Lender reasonably satisfactory to the First Lien Collateral Agent pursuant to Section 2.05(j)) in an aggregate amount necessary to eliminate such excess.</w:t>
      </w:r>
    </w:p>
    <w:p>
      <w:pPr>
        <w:spacing w:after="0" w:line="186" w:lineRule="exact"/>
        <w:rPr>
          <w:rFonts w:ascii="Arial" w:cs="Arial" w:eastAsia="Arial" w:hAnsi="Arial"/>
          <w:sz w:val="18"/>
          <w:szCs w:val="18"/>
          <w:color w:val="auto"/>
        </w:rPr>
      </w:pPr>
    </w:p>
    <w:p>
      <w:pPr>
        <w:ind w:left="1940" w:hanging="636"/>
        <w:spacing w:after="0"/>
        <w:tabs>
          <w:tab w:leader="none" w:pos="1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21" w:right="339" w:bottom="1440" w:gutter="0" w:footer="0" w:header="0"/>
        </w:sectPr>
      </w:pPr>
    </w:p>
    <w:bookmarkStart w:id="82" w:name="page83"/>
    <w:bookmarkEnd w:id="82"/>
    <w:p>
      <w:pPr>
        <w:ind w:left="1940" w:hanging="636"/>
        <w:spacing w:after="0"/>
        <w:tabs>
          <w:tab w:leader="none" w:pos="19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[Reserved].</w:t>
      </w:r>
    </w:p>
    <w:p>
      <w:pPr>
        <w:spacing w:after="0" w:line="184" w:lineRule="exact"/>
        <w:rPr>
          <w:rFonts w:ascii="Arial" w:cs="Arial" w:eastAsia="Arial" w:hAnsi="Arial"/>
          <w:sz w:val="18"/>
          <w:szCs w:val="18"/>
          <w:color w:val="auto"/>
        </w:rPr>
      </w:pPr>
    </w:p>
    <w:p>
      <w:pPr>
        <w:jc w:val="both"/>
        <w:ind w:firstLine="1304"/>
        <w:spacing w:after="0" w:line="254" w:lineRule="auto"/>
        <w:tabs>
          <w:tab w:leader="none" w:pos="1941" w:val="left"/>
        </w:tabs>
        <w:numPr>
          <w:ilvl w:val="1"/>
          <w:numId w:val="67"/>
        </w:numPr>
        <w:rPr>
          <w:rFonts w:ascii="Arial" w:cs="Arial" w:eastAsia="Arial" w:hAnsi="Arial"/>
          <w:sz w:val="18"/>
          <w:szCs w:val="18"/>
          <w:color w:val="auto"/>
        </w:rPr>
      </w:pPr>
      <w:r>
        <w:rPr>
          <w:rFonts w:ascii="Arial" w:cs="Arial" w:eastAsia="Arial" w:hAnsi="Arial"/>
          <w:sz w:val="18"/>
          <w:szCs w:val="18"/>
          <w:color w:val="auto"/>
        </w:rPr>
        <w:t>Prior to any optional prepayment of Borrowings pursuant to Section 2.11(a)(i), the Borrower shall select the Borrowing or Borrowings to be prepaid and shall specify such selection in the notice of such prepayment pursuant to paragraph (f) of this Section 2.11. In the event of any optional prepayment of Revolving Borrowings, the Borrower shall select Revolving Borrowings to be prepaid so that the aggregate amount of such prepayment is allocated between Revolving Borrowings (and, to the extent provided in the Refinancing Amendment for any Class of Other Revolving Loans, the Borrowings of such Class) pro rata based on the aggregate principal amount of outstanding Borrowings of each such Class. In the absence of a designation by the Borrower as described in the preceding provisions of this paragraph of the Type of Borrowing of any Class, the First Lien Administrative Agent shall make such designation in its reasonable discretion with a view, but no obligation, to minimize breakage costs owing under Section 2.16 and shall be applied in direct order of maturity.</w:t>
      </w:r>
    </w:p>
    <w:p>
      <w:pPr>
        <w:spacing w:after="0" w:line="191" w:lineRule="exact"/>
        <w:rPr>
          <w:rFonts w:ascii="Arial" w:cs="Arial" w:eastAsia="Arial" w:hAnsi="Arial"/>
          <w:sz w:val="18"/>
          <w:szCs w:val="18"/>
          <w:color w:val="auto"/>
        </w:rPr>
      </w:pPr>
    </w:p>
    <w:p>
      <w:pPr>
        <w:jc w:val="both"/>
        <w:ind w:firstLine="1304"/>
        <w:spacing w:after="0" w:line="285" w:lineRule="auto"/>
        <w:tabs>
          <w:tab w:leader="none" w:pos="1935"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Borrower shall notify the First Lien Administrative Agent (and, in the case of prepayment of a Swingline Loan, the Swingline Lender) of any optional prepayment pursuant to Section 2.11(a)(i) by telephone (confirmed by facsimile) of any prepayment hereunder (i) in the case of prepayment of a Eurodollar Borrowing, not later than 11:00 a.m., New York City time (or London, England time in the case of Loans denominated in an Alternative Currency (other than Canadian Dollars)), three (3) Business Days before the date of prepayment (or, in the sole discretion of the First Lien Administrative Agent, one (1) Business Day) or (ii) in the case of prepayment of an ABR Borrowing, not later than 11:00 a.m., New York City time, one</w:t>
      </w:r>
    </w:p>
    <w:p>
      <w:pPr>
        <w:spacing w:after="0" w:line="1" w:lineRule="exact"/>
        <w:rPr>
          <w:rFonts w:ascii="Arial" w:cs="Arial" w:eastAsia="Arial" w:hAnsi="Arial"/>
          <w:sz w:val="16"/>
          <w:szCs w:val="16"/>
          <w:color w:val="auto"/>
        </w:rPr>
      </w:pPr>
    </w:p>
    <w:p>
      <w:pPr>
        <w:jc w:val="both"/>
        <w:ind w:firstLine="8"/>
        <w:spacing w:after="0" w:line="267" w:lineRule="auto"/>
        <w:tabs>
          <w:tab w:leader="none" w:pos="263"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Business Day before the date of prepayment.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optional prepayment may state that such notice is conditional upon the effectiveness of other credit facilities or the receipt of the proceeds from the issuance of other Indebtedness or the occurrence of some other identifiable and specified event or condition, in which case such notice of prepayment may be revoked by the Borrower (by notice to the First Lien Administrative Agent on or prior to the specified date of prepayment) if such condition is not satisfied. Promptly following receipt of any such notice (other than a notice relating solely to Swingline Loans), the First Lien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 and subject to Section 2.11(a)(i), shall be without premium or penalty. At the Borrower’s election in connection with any prepayment pursuant to this Section 2.11, such prepayment shall not be applied to any Revolving Loan or Term Loan of a Defaulting Lender (under any of subclauses (a), (b) or (c) of the definition of “Defaulting Lender”) and shall be allocated ratably among the relevant non-Defaulting Lenders.</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90" w:lineRule="auto"/>
        <w:tabs>
          <w:tab w:leader="none" w:pos="194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Borrower agrees to pay to the First Lien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 Accrued commitment fees shall be payable in arrears on the third Business Day following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w:t>
      </w:r>
    </w:p>
    <w:p>
      <w:pPr>
        <w:spacing w:after="0" w:line="165" w:lineRule="exact"/>
        <w:rPr>
          <w:rFonts w:ascii="Arial" w:cs="Arial" w:eastAsia="Arial" w:hAnsi="Arial"/>
          <w:sz w:val="16"/>
          <w:szCs w:val="16"/>
          <w:color w:val="auto"/>
        </w:rPr>
      </w:pPr>
    </w:p>
    <w:p>
      <w:pPr>
        <w:ind w:firstLine="1304"/>
        <w:spacing w:after="0" w:line="277" w:lineRule="auto"/>
        <w:tabs>
          <w:tab w:leader="none" w:pos="193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Borrower agrees to pay (i) to the First Lien Administrative Agent in Dollars for the account of each Revolving Lender (other than any Defaulting Lender) a participation fee with respect to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381" w:right="339" w:bottom="1440" w:gutter="0" w:footer="0" w:header="0"/>
        </w:sectPr>
      </w:pPr>
    </w:p>
    <w:bookmarkStart w:id="83" w:name="page84"/>
    <w:bookmarkEnd w:id="83"/>
    <w:p>
      <w:pPr>
        <w:jc w:val="both"/>
        <w:spacing w:after="0" w:line="285" w:lineRule="auto"/>
        <w:rPr>
          <w:sz w:val="20"/>
          <w:szCs w:val="20"/>
          <w:color w:val="auto"/>
        </w:rPr>
      </w:pPr>
      <w:r>
        <w:rPr>
          <w:rFonts w:ascii="Arial" w:cs="Arial" w:eastAsia="Arial" w:hAnsi="Arial"/>
          <w:sz w:val="16"/>
          <w:szCs w:val="16"/>
          <w:color w:val="auto"/>
        </w:rPr>
        <w:t xml:space="preserve">participations in Letters of Credit, which shall accrue at the Applicable Rate used to determine the interest rate applicable to Eurodollar Revolving Loans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fee shall be calculated by the First Lien Administrative Agent in consultation with the applicable Issuing Bank), which shall accrue at the rate to be agreed by each Issuing Bank, not to be greater than 0.125% per annum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74" w:lineRule="exact"/>
        <w:rPr>
          <w:sz w:val="20"/>
          <w:szCs w:val="20"/>
          <w:color w:val="auto"/>
        </w:rPr>
      </w:pPr>
    </w:p>
    <w:p>
      <w:pPr>
        <w:ind w:firstLine="1304"/>
        <w:spacing w:after="0" w:line="277" w:lineRule="auto"/>
        <w:tabs>
          <w:tab w:leader="none" w:pos="194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Borrower agrees to pay to the First Lien Administrative Agent, for its own account, fees payable in the amounts and at the times separately agreed upon between the Borrower and the First Lien Administrative Agent.</w:t>
      </w:r>
    </w:p>
    <w:p>
      <w:pPr>
        <w:spacing w:after="0" w:line="170" w:lineRule="exact"/>
        <w:rPr>
          <w:rFonts w:ascii="Arial" w:cs="Arial" w:eastAsia="Arial" w:hAnsi="Arial"/>
          <w:sz w:val="18"/>
          <w:szCs w:val="18"/>
          <w:color w:val="auto"/>
        </w:rPr>
      </w:pPr>
    </w:p>
    <w:p>
      <w:pPr>
        <w:ind w:firstLine="1304"/>
        <w:spacing w:after="0" w:line="277" w:lineRule="auto"/>
        <w:tabs>
          <w:tab w:leader="none" w:pos="1938"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Notwithstanding the foregoing, and subject to Section 2.22, the Borrower shall not be obligated to pay any amounts to any Defaulting Lender pursuant to this Section 2.12.</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9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Loans comprising each ABR Borrowing (including each Swingline Loan) denominated in Dollars or Canadian Dollars shall bear interest at the Alternate Base Rate or Canadian Base Rate, respectively, plus the Applicable Rate.</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93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Loans comprising each Eurodollar Borrowing denominated in (i) Dollars shall bear interest at the Adjusted LIBO Rate, (ii) Canadian Dollars shall bear interest at the Adjusted BA Rate or (iii) Euros shall bear interest at Adjusted EURIBOR, in each case for the Interest Period in effect for such Borrowing plus the Applicable Rate. The Loans comprising each RFR Borrowing shall bear interest at the Daily Simple RFR plus the Applicable Rate.</w:t>
      </w:r>
    </w:p>
    <w:p>
      <w:pPr>
        <w:spacing w:after="0" w:line="186" w:lineRule="exact"/>
        <w:rPr>
          <w:rFonts w:ascii="Arial" w:cs="Arial" w:eastAsia="Arial" w:hAnsi="Arial"/>
          <w:sz w:val="18"/>
          <w:szCs w:val="18"/>
          <w:color w:val="auto"/>
        </w:rPr>
      </w:pPr>
    </w:p>
    <w:p>
      <w:pPr>
        <w:jc w:val="both"/>
        <w:ind w:firstLine="1304"/>
        <w:spacing w:after="0" w:line="253" w:lineRule="auto"/>
        <w:tabs>
          <w:tab w:leader="none" w:pos="1941"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upon the occurrence and during the continuance of any Event of Default under paragraph (a), (b), (h) or (i) of Section 7.01 any principal of or interest on any Loan or any fee or other amount payable by the Borrower hereunder is not paid when due (or, in the case of any RFR Interest Payment the later of (i) the date when the same was due and (ii) the date falling three RFR Business Days after the date on which the Administrative Agent notified the relevant Borrower of the amount of that RFR Interest Payment in accordance with this Agreement),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2.13 or (ii) in the case of any other amount, 2.00% per annum plus the rate applicable to ABR Revolving Loans as provided in paragraph (a) of this Section 2.13;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amount shall be payable pursuant to this Section 2.13(c) to a Defaulting Lender so long as such Lender shall be a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21" w:right="339" w:bottom="1440" w:gutter="0" w:footer="0" w:header="0"/>
        </w:sectPr>
      </w:pPr>
    </w:p>
    <w:bookmarkStart w:id="84" w:name="page85"/>
    <w:bookmarkEnd w:id="84"/>
    <w:p>
      <w:pPr>
        <w:spacing w:after="0" w:line="277" w:lineRule="auto"/>
        <w:rPr>
          <w:sz w:val="20"/>
          <w:szCs w:val="20"/>
          <w:color w:val="auto"/>
        </w:rPr>
      </w:pPr>
      <w:r>
        <w:rPr>
          <w:rFonts w:ascii="Arial" w:cs="Arial" w:eastAsia="Arial" w:hAnsi="Arial"/>
          <w:sz w:val="18"/>
          <w:szCs w:val="18"/>
          <w:color w:val="auto"/>
        </w:rPr>
        <w:t xml:space="preserve">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amounts shall accrue pursuant to this Section 2.13(c) on any overdue amount, reimbursement obligation in respect of any LC Disbursement or other amount payable to a Defaulting Lender so long as such Lender shall be a Defaulting Lender.</w:t>
      </w:r>
    </w:p>
    <w:p>
      <w:pPr>
        <w:spacing w:after="0" w:line="170" w:lineRule="exact"/>
        <w:rPr>
          <w:sz w:val="20"/>
          <w:szCs w:val="20"/>
          <w:color w:val="auto"/>
        </w:rPr>
      </w:pPr>
    </w:p>
    <w:p>
      <w:pPr>
        <w:jc w:val="both"/>
        <w:ind w:firstLine="1304"/>
        <w:spacing w:after="0" w:line="255" w:lineRule="auto"/>
        <w:tabs>
          <w:tab w:leader="none" w:pos="1938"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(c) of this Section 2.13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92" w:lineRule="exact"/>
        <w:rPr>
          <w:rFonts w:ascii="Arial" w:cs="Arial" w:eastAsia="Arial" w:hAnsi="Arial"/>
          <w:sz w:val="18"/>
          <w:szCs w:val="18"/>
          <w:color w:val="auto"/>
        </w:rPr>
      </w:pPr>
    </w:p>
    <w:p>
      <w:pPr>
        <w:jc w:val="both"/>
        <w:ind w:firstLine="1304"/>
        <w:spacing w:after="0" w:line="275" w:lineRule="auto"/>
        <w:tabs>
          <w:tab w:leader="none" w:pos="1941"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interest hereunder shall be computed on the basis of a year of 360 days, except that interest computed by reference to the Alternate Base Rate, the Canadian Base Rate, Daily Simple RFR or the BA Rate shall be computed on the basis of a year of 365 days (or 366 days in a leap year), and in each case shall be payable for the actual number of days elapsed (including the first day but excluding the last day). The applicable Alternate Base Rate, Canadian Base Rate, Adjusted LIBO Rate, Adjusted BA Rate, Daily Simple RFR or Adjusted EURIBOR shall be determined by the First Lien Administrative Agent, and such determination shall be conclusive absent manifest error.</w:t>
      </w:r>
    </w:p>
    <w:p>
      <w:pPr>
        <w:spacing w:after="0" w:line="176" w:lineRule="exact"/>
        <w:rPr>
          <w:rFonts w:ascii="Arial" w:cs="Arial" w:eastAsia="Arial" w:hAnsi="Arial"/>
          <w:sz w:val="17"/>
          <w:szCs w:val="17"/>
          <w:color w:val="auto"/>
        </w:rPr>
      </w:pPr>
    </w:p>
    <w:p>
      <w:pPr>
        <w:ind w:left="1940" w:hanging="636"/>
        <w:spacing w:after="0"/>
        <w:tabs>
          <w:tab w:leader="none" w:pos="19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First Lien Administrative Agent shall promptly upon the amount of any RFR Interest Payment becoming determinable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notify:</w:t>
      </w:r>
    </w:p>
    <w:p>
      <w:pPr>
        <w:spacing w:after="0" w:line="210" w:lineRule="exact"/>
        <w:rPr>
          <w:rFonts w:ascii="Arial" w:cs="Arial" w:eastAsia="Arial" w:hAnsi="Arial"/>
          <w:sz w:val="17"/>
          <w:szCs w:val="17"/>
          <w:color w:val="auto"/>
        </w:rPr>
      </w:pPr>
    </w:p>
    <w:p>
      <w:pPr>
        <w:ind w:firstLine="915"/>
        <w:spacing w:after="0" w:line="277" w:lineRule="auto"/>
        <w:tabs>
          <w:tab w:leader="none" w:pos="12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notification to be made no later than three applicable RFR Business Days prior to the due date for such RFR Interest Payment) the relevant Borrower of the amount of that RFR Interest Payment;</w:t>
      </w:r>
    </w:p>
    <w:p>
      <w:pPr>
        <w:spacing w:after="0" w:line="170" w:lineRule="exact"/>
        <w:rPr>
          <w:rFonts w:ascii="Arial" w:cs="Arial" w:eastAsia="Arial" w:hAnsi="Arial"/>
          <w:sz w:val="18"/>
          <w:szCs w:val="18"/>
          <w:color w:val="auto"/>
        </w:rPr>
      </w:pPr>
    </w:p>
    <w:p>
      <w:pPr>
        <w:ind w:left="1300" w:hanging="385"/>
        <w:spacing w:after="0"/>
        <w:tabs>
          <w:tab w:leader="none" w:pos="1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each relevant Lender of the proportion of that RFR Interest Payment which relates to that Lender’s participation in the relevant RFR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Loan; and</w:t>
      </w:r>
    </w:p>
    <w:p>
      <w:pPr>
        <w:spacing w:after="0" w:line="210" w:lineRule="exact"/>
        <w:rPr>
          <w:rFonts w:ascii="Arial" w:cs="Arial" w:eastAsia="Arial" w:hAnsi="Arial"/>
          <w:sz w:val="17"/>
          <w:szCs w:val="17"/>
          <w:color w:val="auto"/>
        </w:rPr>
      </w:pPr>
    </w:p>
    <w:p>
      <w:pPr>
        <w:jc w:val="both"/>
        <w:ind w:firstLine="915"/>
        <w:spacing w:after="0" w:line="259" w:lineRule="auto"/>
        <w:tabs>
          <w:tab w:leader="none" w:pos="12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relevant Lenders and the relevant Borrower of each applicable rate of interest and the amount of interest for each day relating to the determination of that RFR Interest Payment (including a breakdown of such rate and amount of interest as between the Applicable Rate and the Daily Simple RFR for such date and any other information that the relevant Borrower may reasonably request in relation to the calculation of such rate and amount or the determination of that RFR Interest Payment).</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Notwithstanding anything to the contrary herein or in any other Loan Document (and any Swap Agreement shall be deemed not to be a “Loan Document” for purposes of this Section):</w:t>
      </w:r>
    </w:p>
    <w:p>
      <w:pPr>
        <w:spacing w:after="0" w:line="170" w:lineRule="exact"/>
        <w:rPr>
          <w:sz w:val="20"/>
          <w:szCs w:val="20"/>
          <w:color w:val="auto"/>
        </w:rPr>
      </w:pPr>
    </w:p>
    <w:p>
      <w:pPr>
        <w:jc w:val="both"/>
        <w:ind w:firstLine="656"/>
        <w:spacing w:after="0" w:line="288" w:lineRule="auto"/>
        <w:tabs>
          <w:tab w:leader="none" w:pos="1290" w:val="left"/>
        </w:tabs>
        <w:numPr>
          <w:ilvl w:val="0"/>
          <w:numId w:val="74"/>
        </w:numPr>
        <w:rPr>
          <w:rFonts w:ascii="Arial" w:cs="Arial" w:eastAsia="Arial" w:hAnsi="Arial"/>
          <w:sz w:val="17"/>
          <w:szCs w:val="17"/>
          <w:color w:val="auto"/>
        </w:rPr>
      </w:pPr>
      <w:r>
        <w:rPr>
          <w:rFonts w:ascii="Arial" w:cs="Arial" w:eastAsia="Arial" w:hAnsi="Arial"/>
          <w:sz w:val="16"/>
          <w:szCs w:val="16"/>
          <w:color w:val="auto"/>
        </w:rPr>
        <w:t>On March 5, 2021 the Financial Conduct Authority (“</w:t>
      </w:r>
      <w:r>
        <w:rPr>
          <w:rFonts w:ascii="Arial" w:cs="Arial" w:eastAsia="Arial" w:hAnsi="Arial"/>
          <w:sz w:val="16"/>
          <w:szCs w:val="16"/>
          <w:u w:val="single" w:color="auto"/>
          <w:color w:val="auto"/>
        </w:rPr>
        <w:t>FCA</w:t>
      </w:r>
      <w:r>
        <w:rPr>
          <w:rFonts w:ascii="Arial" w:cs="Arial" w:eastAsia="Arial" w:hAnsi="Arial"/>
          <w:sz w:val="16"/>
          <w:szCs w:val="16"/>
          <w:color w:val="auto"/>
        </w:rPr>
        <w:t>”), the regulatory supervisor of LIBOR’s administrator (“</w:t>
      </w:r>
      <w:r>
        <w:rPr>
          <w:rFonts w:ascii="Arial" w:cs="Arial" w:eastAsia="Arial" w:hAnsi="Arial"/>
          <w:sz w:val="16"/>
          <w:szCs w:val="16"/>
          <w:u w:val="single" w:color="auto"/>
          <w:color w:val="auto"/>
        </w:rPr>
        <w:t>IBA</w:t>
      </w:r>
      <w:r>
        <w:rPr>
          <w:rFonts w:ascii="Arial" w:cs="Arial" w:eastAsia="Arial" w:hAnsi="Arial"/>
          <w:sz w:val="16"/>
          <w:szCs w:val="16"/>
          <w:color w:val="auto"/>
        </w:rPr>
        <w:t>”), announced in a public statement the future cessation or loss of representativeness of overnight/Spot Next, one and three-month LIBOR tenor settings. On the earlier of (i) the date that all Available Tenors of LIBOR have either permanently or indefinitely ceased to be provided by IBA or have been announced by the FCA pursuant to public statement or publication of information to be no longer representative and (ii) the Early Opt-in Effective Date, if the then-current Benchmark is LIBOR, the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 If the Benchmark Replacement is Daily Simple SOFR, all interest payments will be payable on a quarterly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21" w:right="339" w:bottom="1440" w:gutter="0" w:footer="0" w:header="0"/>
        </w:sectPr>
      </w:pPr>
    </w:p>
    <w:bookmarkStart w:id="85" w:name="page86"/>
    <w:bookmarkEnd w:id="85"/>
    <w:p>
      <w:pPr>
        <w:jc w:val="both"/>
        <w:ind w:left="1280" w:hanging="634"/>
        <w:spacing w:after="0" w:line="268" w:lineRule="auto"/>
        <w:tabs>
          <w:tab w:leader="none" w:pos="1267" w:val="left"/>
        </w:tabs>
        <w:numPr>
          <w:ilvl w:val="0"/>
          <w:numId w:val="75"/>
        </w:numPr>
        <w:rPr>
          <w:rFonts w:ascii="Arial" w:cs="Arial" w:eastAsia="Arial" w:hAnsi="Arial"/>
          <w:sz w:val="18"/>
          <w:szCs w:val="18"/>
          <w:color w:val="auto"/>
        </w:rPr>
      </w:pPr>
      <w:r>
        <w:rPr>
          <w:rFonts w:ascii="Arial" w:cs="Arial" w:eastAsia="Arial" w:hAnsi="Arial"/>
          <w:sz w:val="17"/>
          <w:szCs w:val="17"/>
          <w:color w:val="auto"/>
        </w:rPr>
        <w:t xml:space="preserve">(i) Upon (A) the occurrence of a Benchmark Transition Event or (B) a determination by the First Lien Administrative Agent that neither of the alternatives under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of the definition of “Benchmark Replacement” are available, the Benchmark Replacement will replace the then-current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First Lien Administrative Agent has not received, by such time, written notice of objection to such Benchmark Replacement from Lenders comprising the Required Lenders (and any such objection shall be conclusive and binding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in the event that the then-current Benchmark at the time of such Benchmark Transition Event is not a SOFR-based rate, the Benchmark Replacement therefor shall be determined in accordance with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of the definition of Benchmark Replacement, unless the First Lien Administrative Agent determines that neither of such alternative rates is available.</w:t>
      </w:r>
    </w:p>
    <w:p>
      <w:pPr>
        <w:spacing w:after="0" w:line="180" w:lineRule="exact"/>
        <w:rPr>
          <w:rFonts w:ascii="Arial" w:cs="Arial" w:eastAsia="Arial" w:hAnsi="Arial"/>
          <w:sz w:val="18"/>
          <w:szCs w:val="18"/>
          <w:color w:val="auto"/>
        </w:rPr>
      </w:pPr>
    </w:p>
    <w:p>
      <w:pPr>
        <w:jc w:val="both"/>
        <w:ind w:left="1280" w:firstLine="4"/>
        <w:spacing w:after="0" w:line="286" w:lineRule="auto"/>
        <w:tabs>
          <w:tab w:leader="none" w:pos="1550" w:val="left"/>
        </w:tabs>
        <w:numPr>
          <w:ilvl w:val="1"/>
          <w:numId w:val="75"/>
        </w:numPr>
        <w:rPr>
          <w:rFonts w:ascii="Arial" w:cs="Arial" w:eastAsia="Arial" w:hAnsi="Arial"/>
          <w:sz w:val="17"/>
          <w:szCs w:val="17"/>
          <w:color w:val="auto"/>
        </w:rPr>
      </w:pPr>
      <w:r>
        <w:rPr>
          <w:rFonts w:ascii="Arial" w:cs="Arial" w:eastAsia="Arial" w:hAnsi="Arial"/>
          <w:sz w:val="17"/>
          <w:szCs w:val="17"/>
          <w:color w:val="auto"/>
        </w:rPr>
        <w:t>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65" w:lineRule="exact"/>
        <w:rPr>
          <w:rFonts w:ascii="Arial" w:cs="Arial" w:eastAsia="Arial" w:hAnsi="Arial"/>
          <w:sz w:val="17"/>
          <w:szCs w:val="17"/>
          <w:color w:val="auto"/>
        </w:rPr>
      </w:pPr>
    </w:p>
    <w:p>
      <w:pPr>
        <w:jc w:val="both"/>
        <w:ind w:firstLine="656"/>
        <w:spacing w:after="0" w:line="269" w:lineRule="auto"/>
        <w:tabs>
          <w:tab w:leader="none" w:pos="1290" w:val="left"/>
        </w:tabs>
        <w:numPr>
          <w:ilvl w:val="0"/>
          <w:numId w:val="75"/>
        </w:numPr>
        <w:rPr>
          <w:rFonts w:ascii="Arial" w:cs="Arial" w:eastAsia="Arial" w:hAnsi="Arial"/>
          <w:sz w:val="18"/>
          <w:szCs w:val="18"/>
          <w:color w:val="auto"/>
        </w:rPr>
      </w:pPr>
      <w:r>
        <w:rPr>
          <w:rFonts w:ascii="Arial" w:cs="Arial" w:eastAsia="Arial" w:hAnsi="Arial"/>
          <w:sz w:val="17"/>
          <w:szCs w:val="17"/>
          <w:color w:val="auto"/>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First Lien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178" w:lineRule="exact"/>
        <w:rPr>
          <w:rFonts w:ascii="Arial" w:cs="Arial" w:eastAsia="Arial" w:hAnsi="Arial"/>
          <w:sz w:val="18"/>
          <w:szCs w:val="18"/>
          <w:color w:val="auto"/>
        </w:rPr>
      </w:pPr>
    </w:p>
    <w:p>
      <w:pPr>
        <w:jc w:val="both"/>
        <w:ind w:firstLine="656"/>
        <w:spacing w:after="0" w:line="254" w:lineRule="auto"/>
        <w:tabs>
          <w:tab w:leader="none" w:pos="1287" w:val="left"/>
        </w:tabs>
        <w:numPr>
          <w:ilvl w:val="0"/>
          <w:numId w:val="75"/>
        </w:numPr>
        <w:rPr>
          <w:rFonts w:ascii="Arial" w:cs="Arial" w:eastAsia="Arial" w:hAnsi="Arial"/>
          <w:sz w:val="19"/>
          <w:szCs w:val="19"/>
          <w:color w:val="auto"/>
        </w:rPr>
      </w:pPr>
      <w:r>
        <w:rPr>
          <w:rFonts w:ascii="Arial" w:cs="Arial" w:eastAsia="Arial" w:hAnsi="Arial"/>
          <w:sz w:val="18"/>
          <w:szCs w:val="18"/>
          <w:color w:val="auto"/>
        </w:rPr>
        <w:t>In connection with the implementation and administration of a Benchmark Replacement, the First Lien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91" w:lineRule="exact"/>
        <w:rPr>
          <w:rFonts w:ascii="Arial" w:cs="Arial" w:eastAsia="Arial" w:hAnsi="Arial"/>
          <w:sz w:val="19"/>
          <w:szCs w:val="19"/>
          <w:color w:val="auto"/>
        </w:rPr>
      </w:pPr>
    </w:p>
    <w:p>
      <w:pPr>
        <w:jc w:val="both"/>
        <w:ind w:firstLine="656"/>
        <w:spacing w:after="0" w:line="253" w:lineRule="auto"/>
        <w:tabs>
          <w:tab w:leader="none" w:pos="1290" w:val="left"/>
        </w:tabs>
        <w:numPr>
          <w:ilvl w:val="0"/>
          <w:numId w:val="75"/>
        </w:numPr>
        <w:rPr>
          <w:rFonts w:ascii="Arial" w:cs="Arial" w:eastAsia="Arial" w:hAnsi="Arial"/>
          <w:sz w:val="19"/>
          <w:szCs w:val="19"/>
          <w:color w:val="auto"/>
        </w:rPr>
      </w:pPr>
      <w:r>
        <w:rPr>
          <w:rFonts w:ascii="Arial" w:cs="Arial" w:eastAsia="Arial" w:hAnsi="Arial"/>
          <w:sz w:val="18"/>
          <w:szCs w:val="18"/>
          <w:color w:val="auto"/>
        </w:rPr>
        <w:t xml:space="preserve">The First Lien Administrative Agent will promptly notify the Borrower and the Lenders of (i) the implementation of any Benchmark Replacement and (ii) the effectiveness of any Benchmark Replacement Conforming Changes. Any determination, decision or election that may be made by the First Lien Administrative Agent pursuant to this </w:t>
      </w:r>
      <w:r>
        <w:rPr>
          <w:rFonts w:ascii="Arial" w:cs="Arial" w:eastAsia="Arial" w:hAnsi="Arial"/>
          <w:sz w:val="18"/>
          <w:szCs w:val="18"/>
          <w:u w:val="single" w:color="auto"/>
          <w:color w:val="auto"/>
        </w:rPr>
        <w:t>Section 2.14(d)</w:t>
      </w:r>
      <w:r>
        <w:rPr>
          <w:rFonts w:ascii="Arial" w:cs="Arial" w:eastAsia="Arial" w:hAnsi="Arial"/>
          <w:sz w:val="18"/>
          <w:szCs w:val="18"/>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sole discretion and without consent from any other party hereto, except, in each case, as expressly required pursuant to this </w:t>
      </w:r>
      <w:r>
        <w:rPr>
          <w:rFonts w:ascii="Arial" w:cs="Arial" w:eastAsia="Arial" w:hAnsi="Arial"/>
          <w:sz w:val="18"/>
          <w:szCs w:val="18"/>
          <w:u w:val="single" w:color="auto"/>
          <w:color w:val="auto"/>
        </w:rPr>
        <w:t>Section 2.14(d)</w:t>
      </w:r>
      <w:r>
        <w:rPr>
          <w:rFonts w:ascii="Arial" w:cs="Arial" w:eastAsia="Arial" w:hAnsi="Arial"/>
          <w:sz w:val="18"/>
          <w:szCs w:val="18"/>
          <w:color w:val="auto"/>
        </w:rPr>
        <w:t>.</w:t>
      </w:r>
    </w:p>
    <w:p>
      <w:pPr>
        <w:spacing w:after="0" w:line="190" w:lineRule="exact"/>
        <w:rPr>
          <w:rFonts w:ascii="Arial" w:cs="Arial" w:eastAsia="Arial" w:hAnsi="Arial"/>
          <w:sz w:val="19"/>
          <w:szCs w:val="19"/>
          <w:color w:val="auto"/>
        </w:rPr>
      </w:pPr>
    </w:p>
    <w:p>
      <w:pPr>
        <w:jc w:val="both"/>
        <w:ind w:firstLine="656"/>
        <w:spacing w:after="0" w:line="254" w:lineRule="auto"/>
        <w:tabs>
          <w:tab w:leader="none" w:pos="1296" w:val="left"/>
        </w:tabs>
        <w:numPr>
          <w:ilvl w:val="0"/>
          <w:numId w:val="75"/>
        </w:numPr>
        <w:rPr>
          <w:rFonts w:ascii="Arial" w:cs="Arial" w:eastAsia="Arial" w:hAnsi="Arial"/>
          <w:sz w:val="19"/>
          <w:szCs w:val="19"/>
          <w:color w:val="auto"/>
        </w:rPr>
      </w:pPr>
      <w:r>
        <w:rPr>
          <w:rFonts w:ascii="Arial" w:cs="Arial" w:eastAsia="Arial" w:hAnsi="Arial"/>
          <w:sz w:val="18"/>
          <w:szCs w:val="18"/>
          <w:color w:val="auto"/>
        </w:rPr>
        <w:t>At any time (including in connection with the implementation of a Benchmark Replacement), (i) if the then-current Benchmark is a term rate (including Term SOFR or LIBOR), then the First Lien Administrative Agent may remove any tenor of such Benchmark that is unavailable or non-representative for Benchmark (including Benchmark Replacement) settings and (ii) the First Lien Administrative Agent may reinstate any such previously removed tenor for Benchmark (including Benchmark Replacement) settings.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21" w:right="339" w:bottom="1440" w:gutter="0" w:footer="0" w:header="0"/>
        </w:sectPr>
      </w:pPr>
    </w:p>
    <w:bookmarkStart w:id="86" w:name="page87"/>
    <w:bookmarkEnd w:id="86"/>
    <w:p>
      <w:pPr>
        <w:ind w:right="20" w:firstLine="656"/>
        <w:spacing w:after="0" w:line="264" w:lineRule="auto"/>
        <w:tabs>
          <w:tab w:leader="none" w:pos="1287" w:val="left"/>
        </w:tabs>
        <w:numPr>
          <w:ilvl w:val="0"/>
          <w:numId w:val="76"/>
        </w:numPr>
        <w:rPr>
          <w:rFonts w:ascii="Arial" w:cs="Arial" w:eastAsia="Arial" w:hAnsi="Arial"/>
          <w:sz w:val="19"/>
          <w:szCs w:val="19"/>
          <w:color w:val="auto"/>
        </w:rPr>
      </w:pPr>
      <w:r>
        <w:rPr>
          <w:rFonts w:ascii="Arial" w:cs="Arial" w:eastAsia="Arial" w:hAnsi="Arial"/>
          <w:sz w:val="18"/>
          <w:szCs w:val="18"/>
          <w:color w:val="auto"/>
        </w:rPr>
        <w:t>With respect to any Eurodollar Loans whose interest is determined by reference to the Adjusted LIBO Rate, the Adjusted BA Rate, Daily Simple RFR or Adjusted EURIBOR, as applicable, subject to Section 2.16, if, on or prior to the first day of any Interest Period:</w:t>
      </w:r>
    </w:p>
    <w:p>
      <w:pPr>
        <w:spacing w:after="0" w:line="179" w:lineRule="exact"/>
        <w:rPr>
          <w:rFonts w:ascii="Arial" w:cs="Arial" w:eastAsia="Arial" w:hAnsi="Arial"/>
          <w:sz w:val="19"/>
          <w:szCs w:val="19"/>
          <w:color w:val="auto"/>
        </w:rPr>
      </w:pPr>
    </w:p>
    <w:p>
      <w:pPr>
        <w:jc w:val="both"/>
        <w:ind w:left="740" w:firstLine="645"/>
        <w:spacing w:after="0" w:line="282" w:lineRule="auto"/>
        <w:tabs>
          <w:tab w:leader="none" w:pos="1944" w:val="left"/>
        </w:tabs>
        <w:numPr>
          <w:ilvl w:val="2"/>
          <w:numId w:val="76"/>
        </w:numPr>
        <w:rPr>
          <w:rFonts w:ascii="Arial" w:cs="Arial" w:eastAsia="Arial" w:hAnsi="Arial"/>
          <w:sz w:val="17"/>
          <w:szCs w:val="17"/>
          <w:color w:val="auto"/>
        </w:rPr>
      </w:pPr>
      <w:r>
        <w:rPr>
          <w:rFonts w:ascii="Arial" w:cs="Arial" w:eastAsia="Arial" w:hAnsi="Arial"/>
          <w:sz w:val="16"/>
          <w:szCs w:val="16"/>
          <w:color w:val="auto"/>
        </w:rPr>
        <w:t>the Administrative Agent determines (which determination shall be conclusive and binding absent manifest error) that (A) by reason of circumstances affecting the London or other applicable offshore interbank market for the applicable Alternative Currency, the applicable Adjusted LIBO Rate, the Adjusted BA Rate, Daily Simple RFR or Adjusted EURIBOR cannot be determined pursuant to the definition thereof, including because the Screen Rate for the applicable Alternative Currency is not available or published on a current basis or</w:t>
      </w:r>
    </w:p>
    <w:p>
      <w:pPr>
        <w:ind w:left="740" w:hanging="3"/>
        <w:spacing w:after="0" w:line="290" w:lineRule="auto"/>
        <w:tabs>
          <w:tab w:leader="none" w:pos="1055" w:val="left"/>
        </w:tabs>
        <w:numPr>
          <w:ilvl w:val="1"/>
          <w:numId w:val="76"/>
        </w:numPr>
        <w:rPr>
          <w:rFonts w:ascii="Arial" w:cs="Arial" w:eastAsia="Arial" w:hAnsi="Arial"/>
          <w:sz w:val="17"/>
          <w:szCs w:val="17"/>
          <w:color w:val="auto"/>
        </w:rPr>
      </w:pPr>
      <w:r>
        <w:rPr>
          <w:rFonts w:ascii="Arial" w:cs="Arial" w:eastAsia="Arial" w:hAnsi="Arial"/>
          <w:sz w:val="17"/>
          <w:szCs w:val="17"/>
          <w:color w:val="auto"/>
        </w:rPr>
        <w:t>a fundamental change has occurred in the foreign exchange or interbank markets with respect to such Alternative Currency (including changes in national or international financial, political or economic conditions or currency exchange rates or exchange controls), or</w:t>
      </w:r>
    </w:p>
    <w:p>
      <w:pPr>
        <w:spacing w:after="0" w:line="161" w:lineRule="exact"/>
        <w:rPr>
          <w:rFonts w:ascii="Arial" w:cs="Arial" w:eastAsia="Arial" w:hAnsi="Arial"/>
          <w:sz w:val="17"/>
          <w:szCs w:val="17"/>
          <w:color w:val="auto"/>
        </w:rPr>
      </w:pPr>
    </w:p>
    <w:p>
      <w:pPr>
        <w:jc w:val="both"/>
        <w:ind w:left="740" w:firstLine="645"/>
        <w:spacing w:after="0" w:line="287" w:lineRule="auto"/>
        <w:tabs>
          <w:tab w:leader="none" w:pos="1943" w:val="left"/>
        </w:tabs>
        <w:numPr>
          <w:ilvl w:val="2"/>
          <w:numId w:val="77"/>
        </w:numPr>
        <w:rPr>
          <w:rFonts w:ascii="Arial" w:cs="Arial" w:eastAsia="Arial" w:hAnsi="Arial"/>
          <w:sz w:val="17"/>
          <w:szCs w:val="17"/>
          <w:color w:val="auto"/>
        </w:rPr>
      </w:pPr>
      <w:r>
        <w:rPr>
          <w:rFonts w:ascii="Arial" w:cs="Arial" w:eastAsia="Arial" w:hAnsi="Arial"/>
          <w:sz w:val="16"/>
          <w:szCs w:val="16"/>
          <w:color w:val="auto"/>
        </w:rPr>
        <w:t>the Required Lenders determine that for any reason in connection with any request for a Eurodollar Loans whose interest is determined by reference to the Adjusted LIBO Rate, the Adjusted BA Rate, Daily Simple RFR or Adjusted EURIBOR, as applicable, or a conversion thereto or a continuation thereof that deposits in the applicable Alternative Currency are not being offered to banks in the London or other applicable offshore interbank market for the applicable Alternative Currency, amount and Interest Period of such Eurodollar Loans whose interest is determined by reference to the Adjusted LIBO Rate, the Adjusted BA Rate, Daily Simple RFR or Adjusted EURIBOR, as applicable, or the Adjusted LIBO Rate, the Adjusted BA Rate, Daily Simple RFR or Adjusted EURIBOR, as applicable, for any requested Alternative Currency or Interest Period with respect to a proposed Eurodollar Loan does not adequately and fairly reflect the cost to such Lenders of funding such Eurodollar Loan, and, in each case, the Required Lenders have provided notice of such determination to the Administrative Agent,</w:t>
      </w:r>
    </w:p>
    <w:p>
      <w:pPr>
        <w:spacing w:after="0" w:line="170" w:lineRule="exact"/>
        <w:rPr>
          <w:rFonts w:ascii="Arial" w:cs="Arial" w:eastAsia="Arial" w:hAnsi="Arial"/>
          <w:sz w:val="17"/>
          <w:szCs w:val="17"/>
          <w:color w:val="auto"/>
        </w:rPr>
      </w:pPr>
    </w:p>
    <w:p>
      <w:pPr>
        <w:jc w:val="both"/>
        <w:ind w:firstLine="656"/>
        <w:spacing w:after="0" w:line="267" w:lineRule="auto"/>
        <w:tabs>
          <w:tab w:leader="none" w:pos="1287" w:val="left"/>
        </w:tabs>
        <w:numPr>
          <w:ilvl w:val="0"/>
          <w:numId w:val="78"/>
        </w:numPr>
        <w:rPr>
          <w:rFonts w:ascii="Arial" w:cs="Arial" w:eastAsia="Arial" w:hAnsi="Arial"/>
          <w:sz w:val="18"/>
          <w:szCs w:val="18"/>
          <w:color w:val="auto"/>
        </w:rPr>
      </w:pPr>
      <w:r>
        <w:rPr>
          <w:rFonts w:ascii="Arial" w:cs="Arial" w:eastAsia="Arial" w:hAnsi="Arial"/>
          <w:sz w:val="17"/>
          <w:szCs w:val="17"/>
          <w:color w:val="auto"/>
        </w:rPr>
        <w:t xml:space="preserve">the Administrative Agent will promptly so notify the Borrower and each Lender, as applicable. Thereafter, the obligation of the Lenders to make or maintain Eurodollar Loans whose interest is determined by reference to the Adjusted LIBO Rate, the Adjusted BA Rate, Daily Simple RFR or Adjusted EURIBOR, as applicable, in each such Alternative Currency shall be suspended (to the extent of the affected Eurodollar Loan or Interest Periods) until the Administrative Agent (upon the instruction of the Required Lenders) revokes such notice. Upon receipt of such notice, the Borrower may revoke any pending request for a borrowing of, conversion to or continuation of Eurodollar Loans whose interest is determined by reference to the Adjusted LIBO Rate, the Adjusted BA Rate, Daily Simple RFR or Adjusted EURIBOR, as applicable, in each such affected Alternative Currency (to the extent of the affected Eurodollar Loan or Interest Periods) or, failing that, (A) then such request shall be ineffective and (B) any outstanding affected Eurodollar Loans, at the Borrower’s election, shall either (1) be converted into ABR Loans denominated in Dollars (in an amount equal to the Dollar Equivalent of such Alternative Currency) at the end of the applicable Interest Period or (2) be prepaid in full at the end of the applicable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election is made by the Borrower by the earlier of (x) the date that is three Business Days after receipt by the Borrower of such notice and (y) the last day of the current Interest Period for the applicable Eurodollar Loan, the Borrower shall be deemed to have elected clause (1) above. Upon any such prepayment or conversion, the Borrower shall also pay accrued interest on the amount so prepaid or converted, together with any additional amounts required pursuant to Section 2.15.</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5"/>
          <w:szCs w:val="15"/>
          <w:u w:val="single" w:color="auto"/>
          <w:color w:val="auto"/>
        </w:rPr>
        <w:t>Increased Costs</w:t>
      </w:r>
      <w:r>
        <w:rPr>
          <w:rFonts w:ascii="Arial" w:cs="Arial" w:eastAsia="Arial" w:hAnsi="Arial"/>
          <w:sz w:val="15"/>
          <w:szCs w:val="15"/>
          <w:color w:val="auto"/>
        </w:rPr>
        <w:t>.</w:t>
      </w:r>
    </w:p>
    <w:p>
      <w:pPr>
        <w:spacing w:after="0" w:line="225" w:lineRule="exact"/>
        <w:rPr>
          <w:sz w:val="20"/>
          <w:szCs w:val="20"/>
          <w:color w:val="auto"/>
        </w:rPr>
      </w:pPr>
    </w:p>
    <w:p>
      <w:pPr>
        <w:ind w:left="1940" w:hanging="636"/>
        <w:spacing w:after="0"/>
        <w:tabs>
          <w:tab w:leader="none" w:pos="19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21" w:right="339" w:bottom="1440" w:gutter="0" w:footer="0" w:header="0"/>
        </w:sectPr>
      </w:pPr>
    </w:p>
    <w:bookmarkStart w:id="87" w:name="page88"/>
    <w:bookmarkEnd w:id="87"/>
    <w:p>
      <w:pPr>
        <w:jc w:val="both"/>
        <w:ind w:firstLine="915"/>
        <w:spacing w:after="0" w:line="263" w:lineRule="auto"/>
        <w:tabs>
          <w:tab w:leader="none" w:pos="1293"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 the Adjusted BA Rate, Adjusted EURIBOR or Daily Simple RFR, as applicable); or</w:t>
      </w:r>
    </w:p>
    <w:p>
      <w:pPr>
        <w:spacing w:after="0" w:line="183" w:lineRule="exact"/>
        <w:rPr>
          <w:rFonts w:ascii="Arial" w:cs="Arial" w:eastAsia="Arial" w:hAnsi="Arial"/>
          <w:sz w:val="18"/>
          <w:szCs w:val="18"/>
          <w:color w:val="auto"/>
        </w:rPr>
      </w:pPr>
    </w:p>
    <w:p>
      <w:pPr>
        <w:ind w:firstLine="915"/>
        <w:spacing w:after="0" w:line="277" w:lineRule="auto"/>
        <w:tabs>
          <w:tab w:leader="none" w:pos="1289"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impose on any Lender or any Issuing Bank or the London interbank market any other condition, cost or expense (other than Taxes) affecting this Agreement or Eurodollar Loans made by such Lender or any Letter of Credit or participation therein;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the result of any of the foregoing shall be to increase the cost to such Lender of making or maintaining any Eurodollar Loan or RFR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w:t>
      </w:r>
    </w:p>
    <w:p>
      <w:pPr>
        <w:spacing w:after="0" w:line="178" w:lineRule="exact"/>
        <w:rPr>
          <w:sz w:val="20"/>
          <w:szCs w:val="20"/>
          <w:color w:val="auto"/>
        </w:rPr>
      </w:pPr>
    </w:p>
    <w:p>
      <w:pPr>
        <w:jc w:val="both"/>
        <w:ind w:firstLine="1304"/>
        <w:spacing w:after="0" w:line="271" w:lineRule="auto"/>
        <w:tabs>
          <w:tab w:leader="none" w:pos="1938"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78" w:lineRule="exact"/>
        <w:rPr>
          <w:rFonts w:ascii="Arial" w:cs="Arial" w:eastAsia="Arial" w:hAnsi="Arial"/>
          <w:sz w:val="17"/>
          <w:szCs w:val="17"/>
          <w:color w:val="auto"/>
        </w:rPr>
      </w:pPr>
    </w:p>
    <w:p>
      <w:pPr>
        <w:jc w:val="both"/>
        <w:ind w:firstLine="1304"/>
        <w:spacing w:after="0" w:line="259" w:lineRule="auto"/>
        <w:tabs>
          <w:tab w:leader="none" w:pos="1941"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certificate of a Lender or an Issuing Bank setting forth the amount or amounts necessary to compensate such Lender or Issuing Bank or its holding company in reasonable detail, as the case may be, as specified in paragraph (a) or (b) of this Section 2.15 delivered to the Borrower shall be conclusive absent manifest error. The Borrower shall pay such Lender or Issuing Bank, as the case may be, the amount shown as due on any such certificate within 15 days after receipt thereof.</w:t>
      </w:r>
    </w:p>
    <w:p>
      <w:pPr>
        <w:spacing w:after="0" w:line="186" w:lineRule="exact"/>
        <w:rPr>
          <w:rFonts w:ascii="Arial" w:cs="Arial" w:eastAsia="Arial" w:hAnsi="Arial"/>
          <w:sz w:val="18"/>
          <w:szCs w:val="18"/>
          <w:color w:val="auto"/>
        </w:rPr>
      </w:pPr>
    </w:p>
    <w:p>
      <w:pPr>
        <w:jc w:val="both"/>
        <w:ind w:firstLine="1304"/>
        <w:spacing w:after="0" w:line="293" w:lineRule="auto"/>
        <w:tabs>
          <w:tab w:leader="none" w:pos="1938"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Issuing Bank to demand compensation pursuant to this Section 2.15 shall not constitute a waiver of such Lender’s or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Issuing Bank pursuant to this Section 2.15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64" w:lineRule="exact"/>
        <w:rPr>
          <w:rFonts w:ascii="Arial" w:cs="Arial" w:eastAsia="Arial" w:hAnsi="Arial"/>
          <w:sz w:val="16"/>
          <w:szCs w:val="16"/>
          <w:color w:val="auto"/>
        </w:rPr>
      </w:pPr>
    </w:p>
    <w:p>
      <w:pPr>
        <w:jc w:val="both"/>
        <w:ind w:firstLine="1304"/>
        <w:spacing w:after="0" w:line="301" w:lineRule="auto"/>
        <w:tabs>
          <w:tab w:leader="none" w:pos="1941"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no Lender or Issuing Bank shall demand compensation for any increased cost or reduction pursuant to this Section 2.15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21" w:right="339" w:bottom="1440" w:gutter="0" w:footer="0" w:header="0"/>
        </w:sectPr>
      </w:pPr>
    </w:p>
    <w:bookmarkStart w:id="88" w:name="page89"/>
    <w:bookmarkEnd w:id="88"/>
    <w:p>
      <w:pPr>
        <w:ind w:left="1300"/>
        <w:spacing w:after="0"/>
        <w:tabs>
          <w:tab w:leader="none" w:pos="2580" w:val="left"/>
        </w:tabs>
        <w:rPr>
          <w:sz w:val="20"/>
          <w:szCs w:val="20"/>
          <w:color w:val="auto"/>
        </w:rPr>
      </w:pPr>
      <w:r>
        <w:rPr>
          <w:rFonts w:ascii="Arial" w:cs="Arial" w:eastAsia="Arial" w:hAnsi="Arial"/>
          <w:sz w:val="18"/>
          <w:szCs w:val="18"/>
          <w:color w:val="auto"/>
        </w:rPr>
        <w:t>SECTION 2.16</w:t>
      </w:r>
      <w:r>
        <w:rPr>
          <w:sz w:val="20"/>
          <w:szCs w:val="20"/>
          <w:color w:val="auto"/>
        </w:rPr>
        <w:tab/>
      </w:r>
      <w:r>
        <w:rPr>
          <w:rFonts w:ascii="Arial" w:cs="Arial" w:eastAsia="Arial" w:hAnsi="Arial"/>
          <w:sz w:val="16"/>
          <w:szCs w:val="16"/>
          <w:u w:val="single" w:color="auto"/>
          <w:color w:val="auto"/>
        </w:rPr>
        <w:t>Break Funding Payments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w:t>
      </w:r>
    </w:p>
    <w:p>
      <w:pPr>
        <w:jc w:val="both"/>
        <w:ind w:firstLine="8"/>
        <w:spacing w:after="0" w:line="267" w:lineRule="auto"/>
        <w:tabs>
          <w:tab w:leader="none" w:pos="268"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failure to borrow, convert, continue or prepay any Revolving Loan on the date specified in any notice delivered pursuant hereto (regardless of whether such notice may be revoked under Section 2.11(f) and is revoked in accordance therewith) or (d) the assignment of any Eurodollar Loan other than on the last day of the Interest Period applicable thereto as a result of a request by the Borrower pursuant to Section 2.19 or Section 9.02(c), then, in any such event, the Borrower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 to the Lenders under this Section 2.16, each Lender shall be deemed to have funded each Eurodollar Loan made by it at the Adjusted LIBO Rate, the Adjusted BA Rate, Daily Simple RFR or Adjusted EURIBOR, as applicable, for such Loan by a matching deposit or other borrowing in the applicable interbank eurodollar market or Canadian money market, as applicable, for a comparable amount and for a comparable period, whether or not such Eurodollar Loan was in fact so funded. A certificate of any Lender setting forth in reasonable detail any amount or amounts that such Lender is entitled to receive pursuant to this Section 2.16 and the reasons therefor delivered to the Borrower shall be prima facie evidence of such amounts. The Borrower shall pay such Lender the amount shown as due on any such certificate within 15 days after receipt of such demand. Notwithstanding the foregoing, this Section 2.16 will not apply to losses, costs or expenses resulting from Taxes, as to which Section 2.17 shall govern. Notwithstanding the foregoing, no Lender shall demand compensation pursuant to this Section 2.16 if it shall not at the time be the general policy or practice of such Lender to demand such compensation in similar circumstances under comparable provisions of other credit agreements.</w:t>
      </w:r>
    </w:p>
    <w:p>
      <w:pPr>
        <w:spacing w:after="0" w:line="18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89" w:lineRule="auto"/>
        <w:tabs>
          <w:tab w:leader="none" w:pos="1941"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and all payments by or on account of any obligation of any Loan Party under any First Lien Loan Document shall be made free and clear of and without deduction for any Taxes, except as required by applicable Requirements of Law. If the applicable withholding agent (including, for the avoidance of doubt, the First Lien Administrative Agent or any Loan Party) shall be required by applicable Requirements of Law (as determined in the good faith discretion of the applicable withholding agent) to deduct any Taxes from such payments, then the applicable withholding agent shall make such withholding or deductions and shall timely pay the full amount withheld or deducted to the relevant Governmental Authority in accordance with applicable Requirements of Law, and if such Taxes are Indemnified Taxes or Other Taxes, then the amount payable by the applicable Loan Party shall be increased as necessary so that after all such required deductions have been made (including such withholding or deductions applicable to additional amounts payable under this Section 2.17), each Lender (or, in the case of a payment made to the First Lien Administrative Agent for its own account, the First Lien Administrative Agent) receives an amount equal to the sum it would have received had no such withholding or deductions been made.</w:t>
      </w:r>
    </w:p>
    <w:p>
      <w:pPr>
        <w:spacing w:after="0" w:line="166" w:lineRule="exact"/>
        <w:rPr>
          <w:rFonts w:ascii="Arial" w:cs="Arial" w:eastAsia="Arial" w:hAnsi="Arial"/>
          <w:sz w:val="16"/>
          <w:szCs w:val="16"/>
          <w:color w:val="auto"/>
        </w:rPr>
      </w:pPr>
    </w:p>
    <w:p>
      <w:pPr>
        <w:jc w:val="both"/>
        <w:ind w:firstLine="1304"/>
        <w:spacing w:after="0" w:line="263" w:lineRule="auto"/>
        <w:tabs>
          <w:tab w:leader="none" w:pos="1938"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Without limiting the provisions of paragraph (a) above, the Borrower shall timely pay any Other Taxes to the relevant Governmental Authority in accordance with applicable Requirements of Law, or at the option of the First Lien Administrative Agent timely reimburse it for the payment of, any Other Taxes.</w:t>
      </w:r>
    </w:p>
    <w:p>
      <w:pPr>
        <w:spacing w:after="0" w:line="183" w:lineRule="exact"/>
        <w:rPr>
          <w:rFonts w:ascii="Arial" w:cs="Arial" w:eastAsia="Arial" w:hAnsi="Arial"/>
          <w:sz w:val="18"/>
          <w:szCs w:val="18"/>
          <w:color w:val="auto"/>
        </w:rPr>
      </w:pPr>
    </w:p>
    <w:p>
      <w:pPr>
        <w:jc w:val="both"/>
        <w:ind w:firstLine="1304"/>
        <w:spacing w:after="0" w:line="272" w:lineRule="auto"/>
        <w:tabs>
          <w:tab w:leader="none" w:pos="1941"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Borrower shall indemnify the First Lien Administrative Agent and each Lender within 30 days after written demand therefor, for the full amount of any Indemnified Taxes or Other Taxes paid by the First Lien Administrative Agent or such Lender as the case may be, on or with respect to any payment by or on account of any obligation of any Loan Party under any First Lien Loan Document and any Other Taxes paid by the First Lien Administrative Agent or such Lender,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21" w:right="339" w:bottom="1440" w:gutter="0" w:footer="0" w:header="0"/>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t>copy to the First Lien Administrative Agent), or by the First Lien Administrative Agent on its own behalf or on behalf of a Lender, shall be conclusive absent manifest error.</w:t>
      </w:r>
    </w:p>
    <w:p>
      <w:pPr>
        <w:spacing w:after="0" w:line="170" w:lineRule="exact"/>
        <w:rPr>
          <w:sz w:val="20"/>
          <w:szCs w:val="20"/>
          <w:color w:val="auto"/>
        </w:rPr>
      </w:pPr>
    </w:p>
    <w:p>
      <w:pPr>
        <w:jc w:val="both"/>
        <w:ind w:firstLine="1304"/>
        <w:spacing w:after="0" w:line="268" w:lineRule="auto"/>
        <w:tabs>
          <w:tab w:leader="none" w:pos="1938" w:val="left"/>
        </w:tabs>
        <w:numPr>
          <w:ilvl w:val="0"/>
          <w:numId w:val="84"/>
        </w:numPr>
        <w:rPr>
          <w:rFonts w:ascii="Arial" w:cs="Arial" w:eastAsia="Arial" w:hAnsi="Arial"/>
          <w:sz w:val="17"/>
          <w:szCs w:val="17"/>
          <w:color w:val="auto"/>
        </w:rPr>
      </w:pPr>
      <w:r>
        <w:rPr>
          <w:rFonts w:ascii="Arial" w:cs="Arial" w:eastAsia="Arial" w:hAnsi="Arial"/>
          <w:sz w:val="17"/>
          <w:szCs w:val="17"/>
          <w:color w:val="auto"/>
        </w:rPr>
        <w:t>To the extent required by any applicable Requirements of Law (as determined in good faith by the First Lien Administrative Agent), the First Lien Administrative Agent may deduct or withhold from any payment to any Lender an amount equivalent to any applicable withholding Tax. If the Internal Revenue Service or any other Governmental Authority of the United States or other jurisdiction asserts a claim that the First Lien Administrative Agent did not properly withhold Tax from amounts paid to or for the account of any Lender for any reason (including because the appropriate form was not delivered or not properly executed, or because such Lender failed to notify the First Lien Administrative Agent of a change in circumstance that rendered the exemption from, or reduction of withholding Tax ineffective), such Lender shall indemnify and hold harmless the First Lien Administrative Agent (to the extent that the First Lien Administrative Agent has not already been reimbursed by the Loan Parties pursuant to Section 2.17(c) and without limiting any obligation of the Loan Parties to do so pursuant to such Section) fully for all amounts paid, directly or indirectly, by the First Lien Administrative Agent as Taxes or otherwise, together with all expenses incurred, including legal expenses, and any other out-of-pocket expenses, whether or not such Taxes were correctly or legally imposed or asserted by the relevant Governmental Authority. A certificate as to the amount of such payment or liability delivered to any Lender by the First Lien Administrative Agent shall be conclusive absent manifest error. Each Lender hereby authorizes the First Lien Administrative Agent to set off and apply any and all amounts at any time owing to such Lender under this Agreement or any other First Lien Loan Document against any amount due to the First Lien Administrative Agent under this Section 2.17(d). The agreements in this Section 2.17(d) shall survive the resignation and/or replacement of the First Lien Administrative Agent, any assignment of rights by, or the replacement of, a Lender, any assignment of rights by a Loan Party, the termination of this Agreement and the repayment, satisfaction or discharge of all other obligations under any First Lien Loan Document.</w:t>
      </w:r>
    </w:p>
    <w:p>
      <w:pPr>
        <w:spacing w:after="0" w:line="179" w:lineRule="exact"/>
        <w:rPr>
          <w:rFonts w:ascii="Arial" w:cs="Arial" w:eastAsia="Arial" w:hAnsi="Arial"/>
          <w:sz w:val="17"/>
          <w:szCs w:val="17"/>
          <w:color w:val="auto"/>
        </w:rPr>
      </w:pPr>
    </w:p>
    <w:p>
      <w:pPr>
        <w:jc w:val="both"/>
        <w:ind w:firstLine="1304"/>
        <w:spacing w:after="0" w:line="259" w:lineRule="auto"/>
        <w:tabs>
          <w:tab w:leader="none" w:pos="1941"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 soon as practicable after any payment of any Taxes by a Loan Party to a Governmental Authority pursuant to this Section, the Borrower shall deliver to the First Lien Administrative Agent the original or a certified copy of a receipt issued by such Governmental Authority evidencing such payment, a copy of the return reporting such payment or other evidence of such payment reasonably satisfactory to the First Lien Administrative Agent.</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1935" w:val="left"/>
        </w:tabs>
        <w:numPr>
          <w:ilvl w:val="0"/>
          <w:numId w:val="84"/>
        </w:numPr>
        <w:rPr>
          <w:rFonts w:ascii="Arial" w:cs="Arial" w:eastAsia="Arial" w:hAnsi="Arial"/>
          <w:sz w:val="16"/>
          <w:szCs w:val="16"/>
          <w:color w:val="auto"/>
        </w:rPr>
      </w:pPr>
      <w:r>
        <w:rPr>
          <w:rFonts w:ascii="Arial" w:cs="Arial" w:eastAsia="Arial" w:hAnsi="Arial"/>
          <w:sz w:val="16"/>
          <w:szCs w:val="16"/>
          <w:color w:val="auto"/>
        </w:rPr>
        <w:t>(1) Each Lender shall, at such times as are reasonably requested by Borrower or the First Lien Administrative Agent, provide the Borrower and the First Lien Administrative Agent with any properly completed and executed documentation prescribed by any Requirement of Law, or reasonably requested by the Borrower or the First Lien Administrative Agent, certifying as to any entitlement of such Lender to an exemption from, or reduction in, any withholding Tax with respect to any payments to be made to such Lender under the First Lien Loan Documents. In addition, any Lender, if reasonably requested by the Borrower or the First Lien Administrative Agent, shall deliver such other documentation prescribed by any Requirement of Law or reasonably requested by the Borrower or the First Lien Administrative Agent as will enable the Borrower or the First Lien Administrative Agent to determine whether or not such Lender is subject to backup withholding or information reporting requirements. Each such Lender shall, whenever a lapse in time or change in circumstances renders any such documentation expired, obsolete or inaccurate in any respect (including any specific documentation required below in this Section 2.17(f)), deliver promptly to the Borrower and the First Lien Administrative Agent updated or other appropriate documentation (including any new documentation reasonably requested by the applicable withholding agent) or promptly notify the Borrower and the First Lien Administrative Agent in writing of its legal ineligibility to do so. Unless the applicable withholding agent has received forms or other documents satisfactory to it indicating that payments under any First Lien Loan Document to or for a Lender are not subject to withholding Tax or are subject to Tax at a rate reduced by an applicable Tax treaty, the Borrower, the First Lien Administrative Agent or other applicable withholding agent shall withhold amounts required to be withheld by applicable law from such payments at the applicable statutory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21" w:right="339" w:bottom="1440" w:gutter="0" w:footer="0" w:header="0"/>
        </w:sectPr>
      </w:pPr>
    </w:p>
    <w:bookmarkStart w:id="90" w:name="page91"/>
    <w:bookmarkEnd w:id="90"/>
    <w:p>
      <w:pPr>
        <w:ind w:left="1560" w:hanging="256"/>
        <w:spacing w:after="0"/>
        <w:tabs>
          <w:tab w:leader="none" w:pos="15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225" w:lineRule="exact"/>
        <w:rPr>
          <w:rFonts w:ascii="Arial" w:cs="Arial" w:eastAsia="Arial" w:hAnsi="Arial"/>
          <w:sz w:val="18"/>
          <w:szCs w:val="18"/>
          <w:color w:val="auto"/>
        </w:rPr>
      </w:pPr>
    </w:p>
    <w:p>
      <w:pPr>
        <w:jc w:val="both"/>
        <w:ind w:firstLine="915"/>
        <w:spacing w:after="0" w:line="259" w:lineRule="auto"/>
        <w:tabs>
          <w:tab w:leader="none" w:pos="1293"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Lender that is a United States person (as defined in Section 7701(a)(30) of the Code) shall deliver to the Borrower and the First Lien Administrative Agent on or before the date on which it becomes a party to this Agreement (and from time to time thereafter upon the reasonable request of the Borrower or the First Lien Administrative Agent) two properly completed and duly signed copies of Internal Revenue Service Form W-9 (or any successor form) certifying that such Lender is exempt from U.S. federal backup withholding Tax.</w:t>
      </w:r>
    </w:p>
    <w:p>
      <w:pPr>
        <w:spacing w:after="0" w:line="187" w:lineRule="exact"/>
        <w:rPr>
          <w:sz w:val="20"/>
          <w:szCs w:val="20"/>
          <w:color w:val="auto"/>
        </w:rPr>
      </w:pPr>
    </w:p>
    <w:p>
      <w:pPr>
        <w:jc w:val="both"/>
        <w:ind w:left="660" w:firstLine="644"/>
        <w:spacing w:after="0" w:line="263" w:lineRule="auto"/>
        <w:tabs>
          <w:tab w:leader="none" w:pos="1801"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Foreign Lender shall deliver to the Borrower and the First Lien Administrative Agent on or before the date on which it becomes a party to this Agreement (and from time to time thereafter upon the reasonable request of the Borrower or the First Lien Administrative Agent) whichever of the following is applicable:</w:t>
      </w:r>
    </w:p>
    <w:p>
      <w:pPr>
        <w:spacing w:after="0" w:line="183" w:lineRule="exact"/>
        <w:rPr>
          <w:rFonts w:ascii="Arial" w:cs="Arial" w:eastAsia="Arial" w:hAnsi="Arial"/>
          <w:sz w:val="18"/>
          <w:szCs w:val="18"/>
          <w:color w:val="auto"/>
        </w:rPr>
      </w:pPr>
    </w:p>
    <w:p>
      <w:pPr>
        <w:ind w:left="1300" w:right="20" w:firstLine="652"/>
        <w:spacing w:after="0" w:line="277" w:lineRule="auto"/>
        <w:tabs>
          <w:tab w:leader="none" w:pos="2426" w:val="left"/>
        </w:tabs>
        <w:numPr>
          <w:ilvl w:val="1"/>
          <w:numId w:val="87"/>
        </w:numPr>
        <w:rPr>
          <w:rFonts w:ascii="Arial" w:cs="Arial" w:eastAsia="Arial" w:hAnsi="Arial"/>
          <w:sz w:val="18"/>
          <w:szCs w:val="18"/>
          <w:color w:val="auto"/>
        </w:rPr>
      </w:pPr>
      <w:r>
        <w:rPr>
          <w:rFonts w:ascii="Arial" w:cs="Arial" w:eastAsia="Arial" w:hAnsi="Arial"/>
          <w:sz w:val="18"/>
          <w:szCs w:val="18"/>
          <w:color w:val="auto"/>
        </w:rPr>
        <w:t>two properly completed and duly signed copies of Internal Revenue Service Form W-8BEN-E (or any successor forms) claiming eligibility for benefits of an income Tax treaty to which the United States of America is a party,</w:t>
      </w:r>
    </w:p>
    <w:p>
      <w:pPr>
        <w:spacing w:after="0" w:line="170" w:lineRule="exact"/>
        <w:rPr>
          <w:rFonts w:ascii="Arial" w:cs="Arial" w:eastAsia="Arial" w:hAnsi="Arial"/>
          <w:sz w:val="18"/>
          <w:szCs w:val="18"/>
          <w:color w:val="auto"/>
        </w:rPr>
      </w:pPr>
    </w:p>
    <w:p>
      <w:pPr>
        <w:ind w:left="2380" w:hanging="428"/>
        <w:spacing w:after="0"/>
        <w:tabs>
          <w:tab w:leader="none" w:pos="2380" w:val="left"/>
        </w:tabs>
        <w:numPr>
          <w:ilvl w:val="1"/>
          <w:numId w:val="87"/>
        </w:numPr>
        <w:rPr>
          <w:rFonts w:ascii="Arial" w:cs="Arial" w:eastAsia="Arial" w:hAnsi="Arial"/>
          <w:sz w:val="17"/>
          <w:szCs w:val="17"/>
          <w:color w:val="auto"/>
        </w:rPr>
      </w:pPr>
      <w:r>
        <w:rPr>
          <w:rFonts w:ascii="Arial" w:cs="Arial" w:eastAsia="Arial" w:hAnsi="Arial"/>
          <w:sz w:val="17"/>
          <w:szCs w:val="17"/>
          <w:color w:val="auto"/>
        </w:rPr>
        <w:t>two properly completed and duly signed copies of Internal Revenue Service Form W-8ECI (or any successor forms),</w:t>
      </w:r>
    </w:p>
    <w:p>
      <w:pPr>
        <w:spacing w:after="0" w:line="236" w:lineRule="exact"/>
        <w:rPr>
          <w:rFonts w:ascii="Arial" w:cs="Arial" w:eastAsia="Arial" w:hAnsi="Arial"/>
          <w:sz w:val="17"/>
          <w:szCs w:val="17"/>
          <w:color w:val="auto"/>
        </w:rPr>
      </w:pPr>
    </w:p>
    <w:p>
      <w:pPr>
        <w:jc w:val="both"/>
        <w:ind w:left="1300" w:firstLine="652"/>
        <w:spacing w:after="0" w:line="259" w:lineRule="auto"/>
        <w:tabs>
          <w:tab w:leader="none" w:pos="2462"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871(h) or Section 881(c) of the Code, (x) two properly completed and duly signed certificates, substantially in the form of Exhibit N (any such certificate a “</w:t>
      </w:r>
      <w:r>
        <w:rPr>
          <w:rFonts w:ascii="Arial" w:cs="Arial" w:eastAsia="Arial" w:hAnsi="Arial"/>
          <w:sz w:val="18"/>
          <w:szCs w:val="18"/>
          <w:u w:val="single" w:color="auto"/>
          <w:color w:val="auto"/>
        </w:rPr>
        <w:t>United States Tax Compliance Certificate</w:t>
      </w:r>
      <w:r>
        <w:rPr>
          <w:rFonts w:ascii="Arial" w:cs="Arial" w:eastAsia="Arial" w:hAnsi="Arial"/>
          <w:sz w:val="18"/>
          <w:szCs w:val="18"/>
          <w:color w:val="auto"/>
        </w:rPr>
        <w:t>”), and (y) two properly completed and duly signed copies of Internal Revenue Service Form W-8BEN-E (or any successor forms),</w:t>
      </w:r>
    </w:p>
    <w:p>
      <w:pPr>
        <w:spacing w:after="0" w:line="186" w:lineRule="exact"/>
        <w:rPr>
          <w:rFonts w:ascii="Arial" w:cs="Arial" w:eastAsia="Arial" w:hAnsi="Arial"/>
          <w:sz w:val="18"/>
          <w:szCs w:val="18"/>
          <w:color w:val="auto"/>
        </w:rPr>
      </w:pPr>
    </w:p>
    <w:p>
      <w:pPr>
        <w:jc w:val="both"/>
        <w:ind w:left="1300" w:firstLine="652"/>
        <w:spacing w:after="0" w:line="272" w:lineRule="auto"/>
        <w:tabs>
          <w:tab w:leader="none" w:pos="2535" w:val="left"/>
        </w:tabs>
        <w:numPr>
          <w:ilvl w:val="1"/>
          <w:numId w:val="87"/>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W-8BEN-E, United States Tax Compliance Certificate, Form W-9, Form W-8IMY (or other successor forms) and/or any other required information from each beneficial owner that would be required under this Section 2.17 if such beneficial owner were a Lender,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w:t>
      </w:r>
    </w:p>
    <w:p>
      <w:pPr>
        <w:spacing w:after="0" w:line="177" w:lineRule="exact"/>
        <w:rPr>
          <w:rFonts w:ascii="Arial" w:cs="Arial" w:eastAsia="Arial" w:hAnsi="Arial"/>
          <w:sz w:val="17"/>
          <w:szCs w:val="17"/>
          <w:color w:val="auto"/>
        </w:rPr>
      </w:pPr>
    </w:p>
    <w:p>
      <w:pPr>
        <w:jc w:val="both"/>
        <w:ind w:left="1300" w:firstLine="652"/>
        <w:spacing w:after="0" w:line="259" w:lineRule="auto"/>
        <w:tabs>
          <w:tab w:leader="none" w:pos="2362" w:val="left"/>
        </w:tabs>
        <w:numPr>
          <w:ilvl w:val="1"/>
          <w:numId w:val="87"/>
        </w:numPr>
        <w:rPr>
          <w:rFonts w:ascii="Arial" w:cs="Arial" w:eastAsia="Arial" w:hAnsi="Arial"/>
          <w:sz w:val="18"/>
          <w:szCs w:val="18"/>
          <w:color w:val="auto"/>
        </w:rPr>
      </w:pPr>
      <w:r>
        <w:rPr>
          <w:rFonts w:ascii="Arial" w:cs="Arial" w:eastAsia="Arial" w:hAnsi="Arial"/>
          <w:sz w:val="18"/>
          <w:szCs w:val="18"/>
          <w:color w:val="auto"/>
        </w:rPr>
        <w:t>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and the First Lien Administrative Agent to determine the withholding or deduction required to be made.</w:t>
      </w:r>
    </w:p>
    <w:p>
      <w:pPr>
        <w:spacing w:after="0" w:line="186" w:lineRule="exact"/>
        <w:rPr>
          <w:rFonts w:ascii="Arial" w:cs="Arial" w:eastAsia="Arial" w:hAnsi="Arial"/>
          <w:sz w:val="18"/>
          <w:szCs w:val="18"/>
          <w:color w:val="auto"/>
        </w:rPr>
      </w:pPr>
    </w:p>
    <w:p>
      <w:pPr>
        <w:jc w:val="both"/>
        <w:ind w:left="660" w:firstLine="644"/>
        <w:spacing w:after="0" w:line="290" w:lineRule="auto"/>
        <w:tabs>
          <w:tab w:leader="none" w:pos="1874"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a payment made to any Lender or other recipient under any First Lien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Borrower and the First Lien Administrative Agent at the time or times prescribed by law and at such time or times reasonably requested by the Borrower or the First Lien Administrative Agent such documentation prescribed by applicable Requirements of Law (including as prescribed by Section 1471(b)(3)(C)(i) of the Code) and such additional documentation reasonably requested by the Borrower or the First Lien Administrative Agent as may be necessary for the Borrower and the First Lien Administrative Agent to comply with their obligations under FATCA and to determine whether such recipient has or has not complied with such recipient’s obligations under FATCA and, if necessary, to determine the amount to deduct and withhold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21" w:right="339" w:bottom="1440" w:gutter="0" w:footer="0" w:header="0"/>
        </w:sectPr>
      </w:pPr>
    </w:p>
    <w:bookmarkStart w:id="91" w:name="page92"/>
    <w:bookmarkEnd w:id="91"/>
    <w:p>
      <w:pPr>
        <w:ind w:left="660"/>
        <w:spacing w:after="0" w:line="277" w:lineRule="auto"/>
        <w:rPr>
          <w:sz w:val="20"/>
          <w:szCs w:val="20"/>
          <w:color w:val="auto"/>
        </w:rPr>
      </w:pPr>
      <w:r>
        <w:rPr>
          <w:rFonts w:ascii="Arial" w:cs="Arial" w:eastAsia="Arial" w:hAnsi="Arial"/>
          <w:sz w:val="18"/>
          <w:szCs w:val="18"/>
          <w:color w:val="auto"/>
        </w:rPr>
        <w:t>from such payment. Solely for purposes of this clause (iii), “FATCA” shall include any amendments made to FATCA after the date of this Agreement.</w:t>
      </w:r>
    </w:p>
    <w:p>
      <w:pPr>
        <w:spacing w:after="0" w:line="170" w:lineRule="exact"/>
        <w:rPr>
          <w:sz w:val="20"/>
          <w:szCs w:val="20"/>
          <w:color w:val="auto"/>
        </w:rPr>
      </w:pPr>
    </w:p>
    <w:p>
      <w:pPr>
        <w:ind w:left="660" w:firstLine="186"/>
        <w:spacing w:after="0" w:line="277" w:lineRule="auto"/>
        <w:tabs>
          <w:tab w:leader="none" w:pos="1298"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Notwithstanding any other provision of this clause (f), a Lender shall not be required to deliver any form or certification that such Lender is not legally eligible to deliver (other than such documentation set forth in clauses (f)(i), (ii) and (iii)).</w:t>
      </w:r>
    </w:p>
    <w:p>
      <w:pPr>
        <w:spacing w:after="0" w:line="170" w:lineRule="exact"/>
        <w:rPr>
          <w:rFonts w:ascii="Arial" w:cs="Arial" w:eastAsia="Arial" w:hAnsi="Arial"/>
          <w:sz w:val="18"/>
          <w:szCs w:val="18"/>
          <w:color w:val="auto"/>
        </w:rPr>
      </w:pPr>
    </w:p>
    <w:p>
      <w:pPr>
        <w:ind w:left="660" w:firstLine="282"/>
        <w:spacing w:after="0" w:line="308" w:lineRule="auto"/>
        <w:tabs>
          <w:tab w:leader="none" w:pos="1442" w:val="left"/>
        </w:tabs>
        <w:numPr>
          <w:ilvl w:val="1"/>
          <w:numId w:val="88"/>
        </w:numPr>
        <w:rPr>
          <w:rFonts w:ascii="Arial" w:cs="Arial" w:eastAsia="Arial" w:hAnsi="Arial"/>
          <w:sz w:val="17"/>
          <w:szCs w:val="17"/>
          <w:color w:val="auto"/>
        </w:rPr>
      </w:pPr>
      <w:r>
        <w:rPr>
          <w:rFonts w:ascii="Arial" w:cs="Arial" w:eastAsia="Arial" w:hAnsi="Arial"/>
          <w:sz w:val="17"/>
          <w:szCs w:val="17"/>
          <w:color w:val="auto"/>
        </w:rPr>
        <w:t>Each Lender hereby authorizes the First Lien Administrative Agent to deliver to the Loan Parties and to any successor First Lien Administrative Agent any documentation provided by such Lender to the First Lien Administrative Agent pursuant to this Section 2.17(f).</w:t>
      </w:r>
    </w:p>
    <w:p>
      <w:pPr>
        <w:spacing w:after="0" w:line="146" w:lineRule="exact"/>
        <w:rPr>
          <w:rFonts w:ascii="Arial" w:cs="Arial" w:eastAsia="Arial" w:hAnsi="Arial"/>
          <w:sz w:val="17"/>
          <w:szCs w:val="17"/>
          <w:color w:val="auto"/>
        </w:rPr>
      </w:pPr>
    </w:p>
    <w:p>
      <w:pPr>
        <w:jc w:val="both"/>
        <w:ind w:firstLine="1304"/>
        <w:spacing w:after="0" w:line="286" w:lineRule="auto"/>
        <w:tabs>
          <w:tab w:leader="none" w:pos="1938" w:val="left"/>
        </w:tabs>
        <w:numPr>
          <w:ilvl w:val="2"/>
          <w:numId w:val="88"/>
        </w:numPr>
        <w:rPr>
          <w:rFonts w:ascii="Arial" w:cs="Arial" w:eastAsia="Arial" w:hAnsi="Arial"/>
          <w:sz w:val="16"/>
          <w:szCs w:val="16"/>
          <w:color w:val="auto"/>
        </w:rPr>
      </w:pPr>
      <w:r>
        <w:rPr>
          <w:rFonts w:ascii="Arial" w:cs="Arial" w:eastAsia="Arial" w:hAnsi="Arial"/>
          <w:sz w:val="16"/>
          <w:szCs w:val="16"/>
          <w:color w:val="auto"/>
        </w:rPr>
        <w:t xml:space="preserve">If the First Lien Administrative Agent or a Lender (or any other party, if applicable) receives a refund (whether received in cash or as applied as an offset against Taxes due) of any Indemnified Taxes or Other Taxes as to which it has been indemnified by the Borrower (or any other Loan Party, if applicable) or with respect to which the Borrower has paid additional amounts pursuant to this Section 2.17, it shall pay over an amount equal to such refund to the Borrower (but only to the extent of indemnity payments made, or additional amounts paid, by the Borrower under this Section 2.17 with respect to the Indemnified Taxes or Other Taxes giving rise to such refund), net of all out-of-pocket expenses (including Taxes) of the First Lien Administrative Agent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First Lien Administrative Agent or such Lender, agrees promptly to repay the amount paid over to the Borrower (plus any penalties, interest or other charges imposed by the relevant Governmental Authority) to the First Lien Administrative Agent or such Lender in the event the First Lien Administrative Agent or such Lender is required to repay such refund to such Governmental Authority. The First Lien Administrative Agent or such Lender, as the case may be, shall, at the Borrower’s request, provide the Borrower with a copy of any notice of assessment or other evidence of the requirement to repay such refund received from the relevant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First Lien Administrative Agent or such Lender may delete any information therein that the First Lien Administrative Agent or such Lender deems confidential). Notwithstanding anything to the contrary, this Section 2.17(g) shall not be construed to require the First Lien Administrative Agent or any Lender to make available its Tax returns (or any other information relating to Taxes which it deems confidential) to any Loan Party or any other person.</w:t>
      </w:r>
    </w:p>
    <w:p>
      <w:pPr>
        <w:spacing w:after="0" w:line="170" w:lineRule="exact"/>
        <w:rPr>
          <w:rFonts w:ascii="Arial" w:cs="Arial" w:eastAsia="Arial" w:hAnsi="Arial"/>
          <w:sz w:val="16"/>
          <w:szCs w:val="16"/>
          <w:color w:val="auto"/>
        </w:rPr>
      </w:pPr>
    </w:p>
    <w:p>
      <w:pPr>
        <w:jc w:val="both"/>
        <w:ind w:firstLine="1304"/>
        <w:spacing w:after="0" w:line="263" w:lineRule="auto"/>
        <w:tabs>
          <w:tab w:leader="none" w:pos="1938" w:val="left"/>
        </w:tabs>
        <w:numPr>
          <w:ilvl w:val="2"/>
          <w:numId w:val="88"/>
        </w:numPr>
        <w:rPr>
          <w:rFonts w:ascii="Arial" w:cs="Arial" w:eastAsia="Arial" w:hAnsi="Arial"/>
          <w:sz w:val="18"/>
          <w:szCs w:val="18"/>
          <w:color w:val="auto"/>
        </w:rPr>
      </w:pPr>
      <w:r>
        <w:rPr>
          <w:rFonts w:ascii="Arial" w:cs="Arial" w:eastAsia="Arial" w:hAnsi="Arial"/>
          <w:sz w:val="18"/>
          <w:szCs w:val="18"/>
          <w:color w:val="auto"/>
        </w:rPr>
        <w:t>The agreements in this Section 2.17 shall survive the resignation or replacement of the First Lien Administrative Agent or any assignment of rights by, or the replacement of, a Lender, the termination of this Agreement and the payment of the Loans and all other amounts payable hereunder.</w:t>
      </w:r>
    </w:p>
    <w:p>
      <w:pPr>
        <w:spacing w:after="0" w:line="183" w:lineRule="exact"/>
        <w:rPr>
          <w:rFonts w:ascii="Arial" w:cs="Arial" w:eastAsia="Arial" w:hAnsi="Arial"/>
          <w:sz w:val="18"/>
          <w:szCs w:val="18"/>
          <w:color w:val="auto"/>
        </w:rPr>
      </w:pPr>
    </w:p>
    <w:p>
      <w:pPr>
        <w:ind w:firstLine="1304"/>
        <w:spacing w:after="0" w:line="277" w:lineRule="auto"/>
        <w:tabs>
          <w:tab w:leader="none" w:pos="1938" w:val="left"/>
        </w:tabs>
        <w:numPr>
          <w:ilvl w:val="2"/>
          <w:numId w:val="88"/>
        </w:numPr>
        <w:rPr>
          <w:rFonts w:ascii="Arial" w:cs="Arial" w:eastAsia="Arial" w:hAnsi="Arial"/>
          <w:sz w:val="18"/>
          <w:szCs w:val="18"/>
          <w:color w:val="auto"/>
        </w:rPr>
      </w:pPr>
      <w:r>
        <w:rPr>
          <w:rFonts w:ascii="Arial" w:cs="Arial" w:eastAsia="Arial" w:hAnsi="Arial"/>
          <w:sz w:val="18"/>
          <w:szCs w:val="18"/>
          <w:color w:val="auto"/>
        </w:rPr>
        <w:t>For purposes of this Section 2.17, the term “Lender” shall include any Issuing Bank and the Swingline Lender and the term “applicable Requirements of Law” includes FATCA.</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2.18</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1941"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Borrower shall make each payment required to be made by it under any First Lien Loan Document (whether of principal, interest, fees or reimbursement of LC Disbursements, or of amounts payable under Section 2.15, 2.16 or 2.17, or otherwise) prior to the time expressly required hereunder or under such other First Lien Loan Document for such payment (or, if no such time is expressly required, prior to 2:00 p.m., New York City time or, in the case of prepayment of any Borrowing in an Alternative Currency (other than Canadian Dollars), London, England time), on the date when due, in immediately available funds, without condition or deduction for any counterclaim, recoupment or setoff. Any amounts received after such time on any date may, in the discretion of the First Lien Administrative Agent, be deemed to have been received on the next succeeding Business Day for purposes of calculating interest thereon. Except as otherwise expressly provided herein and except with respect to principal of or interest on Loans denominated in an Alternative Currency, all such payments shall be made in Dollars to such account as may be specified by the First Lien Administrative Agent. Except as otherwise expressly provided herein and except with respect to principal of or interest on Loans denominated in Dollars, all payments by the Borrower hereunder with respect to principal of and interest on Loans denominated in Alternative Currency shall be made in such Alternative Currency to such account as may be specified by the First Lien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21" w:right="339" w:bottom="1440" w:gutter="0" w:footer="0" w:header="0"/>
        </w:sectPr>
      </w:pPr>
    </w:p>
    <w:bookmarkStart w:id="92" w:name="page93"/>
    <w:bookmarkEnd w:id="92"/>
    <w:p>
      <w:pPr>
        <w:jc w:val="both"/>
        <w:spacing w:after="0" w:line="268" w:lineRule="auto"/>
        <w:rPr>
          <w:sz w:val="20"/>
          <w:szCs w:val="20"/>
          <w:color w:val="auto"/>
        </w:rPr>
      </w:pPr>
      <w:r>
        <w:rPr>
          <w:rFonts w:ascii="Arial" w:cs="Arial" w:eastAsia="Arial" w:hAnsi="Arial"/>
          <w:sz w:val="17"/>
          <w:szCs w:val="17"/>
          <w:color w:val="auto"/>
        </w:rPr>
        <w:t>If, for any reason, the Borrower is prohibited by any Requirements of Law from making any required payment hereunder in an Alternative Currency, the Borrower shall make such payment in Dollars in the Dollar Amount of the Alternative Currency payment amount (it being agreed that, for purposes of this sentence, the Dollar Amount shall be the amount that any Lender notifies to the First Lien Administrative Agent as the amount, as determined by such Lender in good faith, such Lender requires to purchase the Alternative Currency payment amount). Payments to be made directly to any Issuing Bank or the Swingline Lender shall be made as expressly provided herein and except that payments pursuant to Sections 2.15, 2.16, 2.17 and 9.03 shall be made directly to the Persons entitled thereto and payments pursuant to other First Lien Loan Documents shall be made to the Persons specified therein. The First Lien Administrative Agent shall distribute any such payments received by it for the account of any other Person to the appropriate recipient promptly following receipt thereof. Except as otherwise provided herein, if any payment under any First Lien Loan Document shall be due on a day that is not a Business Day, the date for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w:t>
      </w:r>
    </w:p>
    <w:p>
      <w:pPr>
        <w:spacing w:after="0" w:line="186" w:lineRule="exact"/>
        <w:rPr>
          <w:sz w:val="20"/>
          <w:szCs w:val="20"/>
          <w:color w:val="auto"/>
        </w:rPr>
      </w:pPr>
    </w:p>
    <w:p>
      <w:pPr>
        <w:jc w:val="both"/>
        <w:ind w:firstLine="1304"/>
        <w:spacing w:after="0" w:line="275" w:lineRule="auto"/>
        <w:tabs>
          <w:tab w:leader="none" w:pos="1938"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If at any time insufficient funds are received by and available to the First Lien Administrative Agent to pay fully all amounts of principal, unreimbursed LC Disbursements, interest and fees then due hereunder, such funds shall be applied (i)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towards payment of interest and fees then due hereunder, ratably among the parties entitled thereto in accordance with the amounts of interest and fees then due to such parties, and (ii) </w:t>
      </w:r>
      <w:r>
        <w:rPr>
          <w:rFonts w:ascii="Arial" w:cs="Arial" w:eastAsia="Arial" w:hAnsi="Arial"/>
          <w:sz w:val="17"/>
          <w:szCs w:val="17"/>
          <w:u w:val="single" w:color="auto"/>
          <w:color w:val="auto"/>
        </w:rPr>
        <w:t>second</w:t>
      </w:r>
      <w:r>
        <w:rPr>
          <w:rFonts w:ascii="Arial" w:cs="Arial" w:eastAsia="Arial" w:hAnsi="Arial"/>
          <w:sz w:val="17"/>
          <w:szCs w:val="17"/>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76" w:lineRule="exact"/>
        <w:rPr>
          <w:rFonts w:ascii="Arial" w:cs="Arial" w:eastAsia="Arial" w:hAnsi="Arial"/>
          <w:sz w:val="17"/>
          <w:szCs w:val="17"/>
          <w:color w:val="auto"/>
        </w:rPr>
      </w:pPr>
    </w:p>
    <w:p>
      <w:pPr>
        <w:jc w:val="both"/>
        <w:ind w:firstLine="1304"/>
        <w:spacing w:after="0" w:line="285" w:lineRule="auto"/>
        <w:tabs>
          <w:tab w:leader="none" w:pos="1941"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 in the amount of such participation.</w:t>
      </w:r>
    </w:p>
    <w:p>
      <w:pPr>
        <w:spacing w:after="0" w:line="173" w:lineRule="exact"/>
        <w:rPr>
          <w:rFonts w:ascii="Arial" w:cs="Arial" w:eastAsia="Arial" w:hAnsi="Arial"/>
          <w:sz w:val="16"/>
          <w:szCs w:val="16"/>
          <w:color w:val="auto"/>
        </w:rPr>
      </w:pPr>
    </w:p>
    <w:p>
      <w:pPr>
        <w:jc w:val="both"/>
        <w:ind w:firstLine="1304"/>
        <w:spacing w:after="0" w:line="279" w:lineRule="auto"/>
        <w:tabs>
          <w:tab w:leader="none" w:pos="1938" w:val="left"/>
        </w:tabs>
        <w:numPr>
          <w:ilvl w:val="0"/>
          <w:numId w:val="90"/>
        </w:numPr>
        <w:rPr>
          <w:rFonts w:ascii="Arial" w:cs="Arial" w:eastAsia="Arial" w:hAnsi="Arial"/>
          <w:sz w:val="17"/>
          <w:szCs w:val="17"/>
          <w:color w:val="auto"/>
        </w:rPr>
      </w:pPr>
      <w:r>
        <w:rPr>
          <w:rFonts w:ascii="Arial" w:cs="Arial" w:eastAsia="Arial" w:hAnsi="Arial"/>
          <w:sz w:val="17"/>
          <w:szCs w:val="17"/>
          <w:color w:val="auto"/>
        </w:rPr>
        <w:t>Unless the First Lien Administrative Agent shall have received notice from the Borrower prior to the date on which any payment is due to the First Lien Administrative Agent for the account of the Lenders or the Issuing Banks hereunder that the Borrower will not make such payment, the First Lien Administrative Agent may assume that the Borrower has made such payment on such date in accordance herewith and may, in reliance upon such assumption and in its sole discretion, distribute to the Lenders or Issuing Banks, as the case may be,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21" w:right="339" w:bottom="1440" w:gutter="0" w:footer="0" w:header="0"/>
        </w:sectPr>
      </w:pPr>
    </w:p>
    <w:bookmarkStart w:id="93" w:name="page94"/>
    <w:bookmarkEnd w:id="93"/>
    <w:p>
      <w:pPr>
        <w:jc w:val="both"/>
        <w:spacing w:after="0" w:line="255" w:lineRule="auto"/>
        <w:rPr>
          <w:sz w:val="20"/>
          <w:szCs w:val="20"/>
          <w:color w:val="auto"/>
        </w:rPr>
      </w:pPr>
      <w:r>
        <w:rPr>
          <w:rFonts w:ascii="Arial" w:cs="Arial" w:eastAsia="Arial" w:hAnsi="Arial"/>
          <w:sz w:val="18"/>
          <w:szCs w:val="18"/>
          <w:color w:val="auto"/>
        </w:rPr>
        <w:t>amount due. In such event, if the Borrower has not in fact made such payment, then each of the Lenders or Issuing Banks, as the case may be, severally agrees to repay to the First Lien Administrative Agent forthwith on demand the amount so distributed to such Lender or Issuing Bank with interest thereon, for each day from and including the date such amount is distributed to it to but excluding the date of payment to the First Lien Administrative Agent, at the greater of the Federal Funds Effective Rate (if denominated in Dollars or any Alternative Currency (other than Canadian Dollars)) or the BA Rate (if denominated in Canadian Dollars) and a rate determined by the First Lien Administrative Agent in accordance with banking industry rules on interbank compensation.</w:t>
      </w:r>
    </w:p>
    <w:p>
      <w:pPr>
        <w:spacing w:after="0" w:line="192" w:lineRule="exact"/>
        <w:rPr>
          <w:sz w:val="20"/>
          <w:szCs w:val="20"/>
          <w:color w:val="auto"/>
        </w:rPr>
      </w:pPr>
    </w:p>
    <w:p>
      <w:pPr>
        <w:jc w:val="both"/>
        <w:ind w:firstLine="1304"/>
        <w:spacing w:after="0" w:line="255" w:lineRule="auto"/>
        <w:tabs>
          <w:tab w:leader="none" w:pos="1941"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pursuant to Section 2.04(c), Section 2.05(e) or Section 2.05(f), Section 2.06(a) or Section 2.06(b), Section 2.18(d) or Section 9.03(c), then the First Lien Administrative Agent may, in its discretion and in the order determined by the First Lien Administrative Agent (notwithstanding any contrary provision hereof), (i) apply any amounts thereafter received by the First Lien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2.19</w:t>
      </w:r>
      <w:r>
        <w:rPr>
          <w:sz w:val="20"/>
          <w:szCs w:val="20"/>
          <w:color w:val="auto"/>
        </w:rPr>
        <w:tab/>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1" w:lineRule="auto"/>
        <w:tabs>
          <w:tab w:leader="none" w:pos="1941"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any Lender requests compensation under Section 2.15, or if the Borrower is required to pay any additional amount to any Lender or any Governmental Authority for the account of any Lender pursuant to Section 2.17 or any event gives rise to the operation of Section 2.23,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2.15 or 2.17 or mitigate the applicability of Section 2.23,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78" w:lineRule="exact"/>
        <w:rPr>
          <w:rFonts w:ascii="Arial" w:cs="Arial" w:eastAsia="Arial" w:hAnsi="Arial"/>
          <w:sz w:val="17"/>
          <w:szCs w:val="17"/>
          <w:color w:val="auto"/>
        </w:rPr>
      </w:pPr>
    </w:p>
    <w:p>
      <w:pPr>
        <w:jc w:val="both"/>
        <w:ind w:firstLine="1304"/>
        <w:spacing w:after="0" w:line="285" w:lineRule="auto"/>
        <w:tabs>
          <w:tab w:leader="none" w:pos="1938"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Section 2.15 or gives notice under Section 2.23, (ii) the Borrower is required to pay any additional amount to any Lender or to any Governmental Authority for the account of any Lender pursuant to Section 2.17, (iii) any Lender is or becomes a Disqualified Lender or (iv) any Lender is a Defaulting Lender, then the Borrower may, at its sole expense and effort, upon notice to such Lender and the First Lien Administrative Agent, require such Lender to assign and delegate, without recourse (in accordance with and subject to the restrictions contained in Section 9.04), all its interests, rights (other than its existing rights to payments pursuant to Section 2.15 or Section 2.17) and obligations under this Agreement and the other First Lien Loan Documents to an Eligible Assignee that shall assume such obligations (which assignee may be another Lender, if a Lender accepts such assignment and delegation);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have received the prior written consent of the First Lien Administrative Agent to the extent such consent would be required under Section 9.04(b)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First Lien Administrative Agent the processing and recordation fee specified in Section 9.04(b)(ii) and (D) in the case of any such assignment resulting from a claim for compensation under Section 2.15, or payments required to be made pursuant to Section 2.17 or a notice given under Section 2.23,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21" w:right="339" w:bottom="1440" w:gutter="0" w:footer="0" w:header="0"/>
        </w:sectPr>
      </w:pPr>
    </w:p>
    <w:bookmarkStart w:id="94" w:name="page95"/>
    <w:bookmarkEnd w:id="94"/>
    <w:p>
      <w:pPr>
        <w:jc w:val="both"/>
        <w:ind w:right="20"/>
        <w:spacing w:after="0" w:line="277" w:lineRule="auto"/>
        <w:rPr>
          <w:sz w:val="20"/>
          <w:szCs w:val="20"/>
          <w:color w:val="auto"/>
        </w:rPr>
      </w:pPr>
      <w:r>
        <w:rPr>
          <w:rFonts w:ascii="Arial" w:cs="Arial" w:eastAsia="Arial" w:hAnsi="Arial"/>
          <w:sz w:val="18"/>
          <w:szCs w:val="18"/>
          <w:color w:val="auto"/>
        </w:rPr>
        <w:t>Assignment and Assumption executed by the Borrower, the First Lien Administrative Agent and the assignee and that the Lender required to make such assignment need not be a party thereto.</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2.20</w:t>
      </w:r>
      <w:r>
        <w:rPr>
          <w:sz w:val="20"/>
          <w:szCs w:val="20"/>
          <w:color w:val="auto"/>
        </w:rPr>
        <w:tab/>
      </w:r>
      <w:r>
        <w:rPr>
          <w:rFonts w:ascii="Arial" w:cs="Arial" w:eastAsia="Arial" w:hAnsi="Arial"/>
          <w:sz w:val="16"/>
          <w:szCs w:val="16"/>
          <w:u w:val="single" w:color="auto"/>
          <w:color w:val="auto"/>
        </w:rPr>
        <w:t>Incremental Credit Extensions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(f)a) The Borrower may at any time or from time to time on one or more occasions after the Effective Date, by written notice delivered to the First Lien Administrative Agent, request (i) one or more Classes of term loans (each a “</w:t>
      </w:r>
      <w:r>
        <w:rPr>
          <w:rFonts w:ascii="Arial" w:cs="Arial" w:eastAsia="Arial" w:hAnsi="Arial"/>
          <w:sz w:val="17"/>
          <w:szCs w:val="17"/>
          <w:u w:val="single" w:color="auto"/>
          <w:color w:val="auto"/>
        </w:rPr>
        <w:t>First Lien Incremental Term Facility</w:t>
      </w:r>
      <w:r>
        <w:rPr>
          <w:rFonts w:ascii="Arial" w:cs="Arial" w:eastAsia="Arial" w:hAnsi="Arial"/>
          <w:sz w:val="17"/>
          <w:szCs w:val="17"/>
          <w:color w:val="auto"/>
        </w:rPr>
        <w:t>”), (ii) one or more additional term loans of the same Class of any existing Class of term loans previously entered into pursuant to clause (i) (each an “</w:t>
      </w:r>
      <w:r>
        <w:rPr>
          <w:rFonts w:ascii="Arial" w:cs="Arial" w:eastAsia="Arial" w:hAnsi="Arial"/>
          <w:sz w:val="17"/>
          <w:szCs w:val="17"/>
          <w:u w:val="single" w:color="auto"/>
          <w:color w:val="auto"/>
        </w:rPr>
        <w:t>First Lien</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Incremental Term Increase</w:t>
      </w:r>
      <w:r>
        <w:rPr>
          <w:rFonts w:ascii="Arial" w:cs="Arial" w:eastAsia="Arial" w:hAnsi="Arial"/>
          <w:sz w:val="17"/>
          <w:szCs w:val="17"/>
          <w:color w:val="auto"/>
        </w:rPr>
        <w:t>”), (iii) one or more increases in the amount of the Revolving Commitments of any Class (each such increase, an “</w:t>
      </w:r>
      <w:r>
        <w:rPr>
          <w:rFonts w:ascii="Arial" w:cs="Arial" w:eastAsia="Arial" w:hAnsi="Arial"/>
          <w:sz w:val="17"/>
          <w:szCs w:val="17"/>
          <w:u w:val="single" w:color="auto"/>
          <w:color w:val="auto"/>
        </w:rPr>
        <w:t>Incremental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Revolving Commitment Increase</w:t>
      </w:r>
      <w:r>
        <w:rPr>
          <w:rFonts w:ascii="Arial" w:cs="Arial" w:eastAsia="Arial" w:hAnsi="Arial"/>
          <w:sz w:val="17"/>
          <w:szCs w:val="17"/>
          <w:color w:val="auto"/>
        </w:rPr>
        <w:t>”) and/or (iv) one or more additional Classes of Revolving Commitments (the “</w:t>
      </w:r>
      <w:r>
        <w:rPr>
          <w:rFonts w:ascii="Arial" w:cs="Arial" w:eastAsia="Arial" w:hAnsi="Arial"/>
          <w:sz w:val="17"/>
          <w:szCs w:val="17"/>
          <w:u w:val="single" w:color="auto"/>
          <w:color w:val="auto"/>
        </w:rPr>
        <w:t>Additional/Replacement Revolving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Commitments</w:t>
      </w:r>
      <w:r>
        <w:rPr>
          <w:rFonts w:ascii="Arial" w:cs="Arial" w:eastAsia="Arial" w:hAnsi="Arial"/>
          <w:sz w:val="17"/>
          <w:szCs w:val="17"/>
          <w:color w:val="auto"/>
        </w:rPr>
        <w:t>,” and, together with any First Lien Incremental Term Facility, First Lien Incremental Term Increase and the Incremental Revolving Commitment Increases, the “</w:t>
      </w:r>
      <w:r>
        <w:rPr>
          <w:rFonts w:ascii="Arial" w:cs="Arial" w:eastAsia="Arial" w:hAnsi="Arial"/>
          <w:sz w:val="17"/>
          <w:szCs w:val="17"/>
          <w:u w:val="single" w:color="auto"/>
          <w:color w:val="auto"/>
        </w:rPr>
        <w:t>First Lien Incremental Facilities</w:t>
      </w:r>
      <w:r>
        <w:rPr>
          <w:rFonts w:ascii="Arial" w:cs="Arial" w:eastAsia="Arial" w:hAnsi="Arial"/>
          <w:sz w:val="17"/>
          <w:szCs w:val="17"/>
          <w:color w:val="auto"/>
        </w:rPr>
        <w:t>” and any Loans thereunder, the “</w:t>
      </w:r>
      <w:r>
        <w:rPr>
          <w:rFonts w:ascii="Arial" w:cs="Arial" w:eastAsia="Arial" w:hAnsi="Arial"/>
          <w:sz w:val="17"/>
          <w:szCs w:val="17"/>
          <w:u w:val="single" w:color="auto"/>
          <w:color w:val="auto"/>
        </w:rPr>
        <w:t>Incremental Loans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the effectiveness of any Incremental Facility Amendment referred to below and at the time that any such First Lien Incremental Facility is made or effected, no Event of Default (except, in the case of the incurrence or provision of any First Lien Incremental Facility in connection with a Limited Condition Transaction, no Event of Default at the time of such Limited Condition Transaction) shall have occurred and be continuing. Notwithstanding anything to the contrary herein, the aggregate principal amount of the First Lien Incremental Facilities that can be incurred at any time shall not exceed the Incremental Cap at such time. Each First Lien Incremental Facility shall be in a minimum principal amount of $5,000,000 and integral multiples of $1,000,000 in excess thereof if such Incremental Facilities are denominated in Dollars (unless the Borrower and the First Lien Administrative Agent otherwise agree);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 may be less than $5,000,000 and to the extent such amount represents all the remaining availability under the aggregate principal amount of First Lien Incremental Facilities set forth above.</w:t>
      </w:r>
    </w:p>
    <w:p>
      <w:pPr>
        <w:spacing w:after="0" w:line="182"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(f)b) The First Lien Incremental Term Facilities (a) shall (i) if secured, be secured only by the Collateral securing the Secured Obligations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basis and (ii) only be guaranteed by the Loan Parties, (b) shall not mature earlier than the Revolving Maturity Date (except in the case of customary bridge loans) and (c) shall have a maturity date, an amortization schedule, interest rates (including through fixed interest rates), “most favored nation” provisions (if any), interest margins, rate floors, upfront fees, funding discounts, original issue discounts, financial covenants (if any), prepayment terms and premiums and other terms and conditions as determined by the Borrower and the Additional Term Lenders thereunder . Any Incremental Term Facility shall be on terms and pursuant to documentation as determined by the Borrower and the Additional Term Lenders providing such Incremental Term Facility, subject to the restrictions and exceptions set forth above; provided that to the extent such terms and documentation are not consistent with the Revolving Loans (except to the extent otherwise permitted above and, for the avoidance of doubt, for any mandatory prepayments and limitations on further First Lien Incremental Term Facilities benefiting a proposed First Lien Incremental Term Facility), the covenants, events of default and guarantees of any First Lien Incremental Term Facility shall not be, taken as a whole, materially more restrictive to the Borrower under the Revolving Loan unless (1) the Lenders also receive the benefit of any such more restrictive terms (it being understood to the extent that any covenant is added for the benefit of any First Lien Incremental Term Facility, no consent shall be required from the Administrative Agent or any Lender to the extent that such covenant is also added for the benefit of the existing Revolving Loan), (2) any such provisions apply only after the latest maturity date of the Revolving Loan or (3) such terms shall be reasonably satisfactory to the Administrative Agent and the Borrower (including, in connection with any Incremental Amendment establishing any Term Loans, permitting the assignment of such Term Loans to the Borrower and its affiliates and to amend the voting provisions in this Agreement to include “net short” lender provisions applicable to the Term Loans in a form reasonably acceptable to the Administrative Agent). Any First Lien Incremental Term Increase shall be on the same terms and pursuant to the same documentation applicable to the Term Loans (except with respect to matters contemplated by clause (c) above).</w:t>
      </w:r>
    </w:p>
    <w:p>
      <w:pPr>
        <w:spacing w:after="0" w:line="390" w:lineRule="exact"/>
        <w:rPr>
          <w:sz w:val="20"/>
          <w:szCs w:val="20"/>
          <w:color w:val="auto"/>
        </w:rPr>
      </w:pPr>
    </w:p>
    <w:p>
      <w:pPr>
        <w:jc w:val="both"/>
        <w:ind w:firstLine="1304"/>
        <w:spacing w:after="0" w:line="263" w:lineRule="auto"/>
        <w:tabs>
          <w:tab w:leader="none" w:pos="17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First Lien Incremental Term Increases shall be treated the same as the Class of Term Loans being increased (including with respect to maturity date thereof), shall be considered to be part of the Class of Term Loans being increased;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pricing, interest rate margins, “most favored nation”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21" w:right="339" w:bottom="1440" w:gutter="0" w:footer="0" w:header="0"/>
        </w:sectPr>
      </w:pPr>
    </w:p>
    <w:bookmarkStart w:id="95" w:name="page96"/>
    <w:bookmarkEnd w:id="95"/>
    <w:p>
      <w:pPr>
        <w:spacing w:after="0" w:line="308" w:lineRule="auto"/>
        <w:rPr>
          <w:sz w:val="20"/>
          <w:szCs w:val="20"/>
          <w:color w:val="auto"/>
        </w:rPr>
      </w:pPr>
      <w:r>
        <w:rPr>
          <w:rFonts w:ascii="Arial" w:cs="Arial" w:eastAsia="Arial" w:hAnsi="Arial"/>
          <w:sz w:val="17"/>
          <w:szCs w:val="17"/>
          <w:color w:val="auto"/>
        </w:rPr>
        <w:t>provisions and rate floors on the Class of Term Loans being increased may be increased and additional upfront or similar fees may be payable to the lenders providing the First Lien Incremental Term Increase (without any requirement to pay such fees to any existing Term Lenders).</w:t>
      </w:r>
    </w:p>
    <w:p>
      <w:pPr>
        <w:spacing w:after="0" w:line="146" w:lineRule="exact"/>
        <w:rPr>
          <w:sz w:val="20"/>
          <w:szCs w:val="20"/>
          <w:color w:val="auto"/>
        </w:rPr>
      </w:pPr>
    </w:p>
    <w:p>
      <w:pPr>
        <w:ind w:right="160" w:firstLine="1304"/>
        <w:spacing w:after="0" w:line="255" w:lineRule="auto"/>
        <w:tabs>
          <w:tab w:leader="none" w:pos="1682"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Incremental Revolving Commitment Increases shall be treated the same as the Class of Revolving Commitments being increased (including with respect to maturity date thereof), shall be considered to be part of the Class of Revolving Loans being increased and shall be on the same terms applicable to the Revolving Loans (excluding upfront fees and customary arranger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pricing, interest rate margins, “most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w:t>
      </w:r>
    </w:p>
    <w:p>
      <w:pPr>
        <w:spacing w:after="0" w:line="192" w:lineRule="exact"/>
        <w:rPr>
          <w:rFonts w:ascii="Arial" w:cs="Arial" w:eastAsia="Arial" w:hAnsi="Arial"/>
          <w:sz w:val="18"/>
          <w:szCs w:val="18"/>
          <w:color w:val="auto"/>
        </w:rPr>
      </w:pPr>
    </w:p>
    <w:p>
      <w:pPr>
        <w:jc w:val="both"/>
        <w:ind w:firstLine="1304"/>
        <w:spacing w:after="0" w:line="284" w:lineRule="auto"/>
        <w:tabs>
          <w:tab w:leader="none" w:pos="1757"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The Additional/Replacement Revolving Commitments (a) shall (i) rank equal or junior in right of payment with the Revolving Loans, (ii) if secured, be secured only by the Collateral securing the Secured Obligations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basis and (iii) only be guaranteed by the Loan Parties, (b) shall not mature earlier than the Revolving Maturity Date (except in the case of customary bridge loans) and shall require no scheduled amortization or mandatory commitment reduction prior to the Revolving Maturity Date, (c) 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Borrower and the lenders of such commitments, (d) shall contain borrowing, repayment and termination of Commitment procedures as determined by the Borrower and the lenders of such commitments, (e)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First Lien Administrative Agent, and (f) may otherwise have terms and conditions different from those of the Revolving Commitments and the Revolving Loans made under this Agreement (including currency denomination);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the terms and documentation with respect to such Additional/Replacement Revolving Commitments are not consistent with the existing Revolving Commitments (except with respect to matters contemplated by clauses (b), (c), (d) and (e) above), the covenants, events of default and guarantees of any such Additional/Replacement Revolving Commitments shall not be materially more restrictive to the Borrower, when taken as a whole, than the terms of the Revolving Commitments unless (1) Lenders under Revolving Commitments also receive the benefit of such more restrictive terms (it being understood that, to the extent that any financial maintenance covenant is added for the benefit of any Additional/Replacement Revolving Commitment, no consent shall be required from the First Lien Administrative Agent or any of the Revolving Lenders to the extent that such financial maintenance covenant is also added for the benefit of the existing Revolving Commitments), (2) any such provisions apply after the Revolving Maturity Date or (3) such terms shall be reasonably satisfactory to the First Lien Administrative Agent and the Borrower. Any Additional/Replacement Revolving Commitments shall be on terms and pursuant to documentation as determined by the Borrower and the Additional/Replacement Revolving Lenders providing such Additional/Replacement Revolving Commitments, subject to the restrictions set forth above.</w:t>
      </w:r>
    </w:p>
    <w:p>
      <w:pPr>
        <w:spacing w:after="0" w:line="392" w:lineRule="exact"/>
        <w:rPr>
          <w:rFonts w:ascii="Arial" w:cs="Arial" w:eastAsia="Arial" w:hAnsi="Arial"/>
          <w:sz w:val="16"/>
          <w:szCs w:val="16"/>
          <w:color w:val="auto"/>
        </w:rPr>
      </w:pPr>
    </w:p>
    <w:p>
      <w:pPr>
        <w:jc w:val="both"/>
        <w:ind w:firstLine="1304"/>
        <w:spacing w:after="0" w:line="293" w:lineRule="auto"/>
        <w:tabs>
          <w:tab w:leader="none" w:pos="1791" w:val="left"/>
        </w:tabs>
        <w:numPr>
          <w:ilvl w:val="0"/>
          <w:numId w:val="94"/>
        </w:numPr>
        <w:rPr>
          <w:rFonts w:ascii="Arial" w:cs="Arial" w:eastAsia="Arial" w:hAnsi="Arial"/>
          <w:sz w:val="16"/>
          <w:szCs w:val="16"/>
          <w:color w:val="auto"/>
        </w:rPr>
      </w:pPr>
      <w:r>
        <w:rPr>
          <w:rFonts w:ascii="Arial" w:cs="Arial" w:eastAsia="Arial" w:hAnsi="Arial"/>
          <w:sz w:val="16"/>
          <w:szCs w:val="16"/>
          <w:color w:val="auto"/>
        </w:rPr>
        <w:t>First Lien Incremental Facilities shall become Commitments and Loans, as applicable, under this Agreement pursuant to an amendment (an “</w:t>
      </w:r>
      <w:r>
        <w:rPr>
          <w:rFonts w:ascii="Arial" w:cs="Arial" w:eastAsia="Arial" w:hAnsi="Arial"/>
          <w:sz w:val="16"/>
          <w:szCs w:val="16"/>
          <w:u w:val="single" w:color="auto"/>
          <w:color w:val="auto"/>
        </w:rPr>
        <w:t>Incremental Facility Amendment</w:t>
      </w:r>
      <w:r>
        <w:rPr>
          <w:rFonts w:ascii="Arial" w:cs="Arial" w:eastAsia="Arial" w:hAnsi="Arial"/>
          <w:sz w:val="16"/>
          <w:szCs w:val="16"/>
          <w:color w:val="auto"/>
        </w:rPr>
        <w:t xml:space="preserve">”) to this Agreement and, as appropriate, the other First Lien Loan Documents, executed by the Borrower, each Lender agreeing to provide such Commitment or Loan, if any, each Additional Lender, if any, and the First Lien Administrative Agent. Any Incremental Facility Amendment may provide for the issuance of Letters of Credit for the account of the Borrower, pursuant to any Incremental Revolving Commitment Increase or Additional/Replacement Revolving Commitments established thereby, in each case on terms substantially equivalent to the terms applicable to Letters of Credit under the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Issuing Bank shall be required to act as “issuing bank” and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21" w:right="339" w:bottom="1440" w:gutter="0" w:footer="0" w:header="0"/>
        </w:sectPr>
      </w:pPr>
    </w:p>
    <w:bookmarkStart w:id="96" w:name="page97"/>
    <w:bookmarkEnd w:id="96"/>
    <w:p>
      <w:pPr>
        <w:jc w:val="both"/>
        <w:spacing w:after="0" w:line="267" w:lineRule="auto"/>
        <w:rPr>
          <w:sz w:val="20"/>
          <w:szCs w:val="20"/>
          <w:color w:val="auto"/>
        </w:rPr>
      </w:pPr>
      <w:r>
        <w:rPr>
          <w:rFonts w:ascii="Arial" w:cs="Arial" w:eastAsia="Arial" w:hAnsi="Arial"/>
          <w:sz w:val="17"/>
          <w:szCs w:val="17"/>
          <w:color w:val="auto"/>
        </w:rPr>
        <w:t xml:space="preserve">Swingline Lender shall be required to act as “swingline lender” under any such Incremental Facility Amendment without its written consent. A First Lien Incremental Facility may be provided, subject to the prior written consent of the Borrower (not to be unreasonably withheld), by any existing Lender (it being understood that no existing Lender shall be required participate in any First Lien Incremental Facility or, unless it agrees, be obligated to provide any First Lien Incremental Facilities) or by any Additional Lender. Any loan under a First Lien Incremental Facility shall be a “Loan” for all purposes of this Agreement and the other First Lien Loan Documents. The Incremental Facility Amendment may, subject to Section 2.20(b), without the consent of any other Lenders, effect such amendments to this Agreement and the other First Lien Loan Documents as may be necessary, in the reasonable opinion of the First Lien Administrative Agent and the Borrower, to effect the provisions of this Section 2.20 (including, in connection with an Incremental Revolving Commitment Increase or Additional/Replacement Revolving Commitments, to reallocate Revolving Exposure on a pro rata basis among the relevant Revolving Lenders and, in connection with an Incremental Amendment establishing any Term Loans, to permit the assignment of such Term Loans to the Borrower and its affiliates and to amend the voting provisions in the Agreement to include “net short” lender provisions). In addition, if so provided in the relevant Incremental Facility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Incremental Facility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Section 2.20. The Borrower will use the proceeds of the First Lien Incremental Term Loans, Incremental Revolving Commitment Increases and Additional/Replacement Revolving Commitments for any purpose not prohibited by this Agreement.</w:t>
      </w:r>
    </w:p>
    <w:p>
      <w:pPr>
        <w:spacing w:after="0" w:line="187" w:lineRule="exact"/>
        <w:rPr>
          <w:sz w:val="20"/>
          <w:szCs w:val="20"/>
          <w:color w:val="auto"/>
        </w:rPr>
      </w:pPr>
    </w:p>
    <w:p>
      <w:pPr>
        <w:ind w:left="1700" w:hanging="396"/>
        <w:spacing w:after="0"/>
        <w:tabs>
          <w:tab w:leader="none" w:pos="17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Notwithstanding anything to the contrary, this Section 2.20 shall supersede any provisions in Section 2.18 or Section 9.02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contrary.</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2.21</w:t>
      </w:r>
      <w:r>
        <w:rPr>
          <w:sz w:val="20"/>
          <w:szCs w:val="20"/>
          <w:color w:val="auto"/>
        </w:rPr>
        <w:tab/>
      </w:r>
      <w:r>
        <w:rPr>
          <w:rFonts w:ascii="Arial" w:cs="Arial" w:eastAsia="Arial" w:hAnsi="Arial"/>
          <w:sz w:val="16"/>
          <w:szCs w:val="16"/>
          <w:u w:val="single" w:color="auto"/>
          <w:color w:val="auto"/>
        </w:rPr>
        <w:t>Refinancing Amendments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At any time after the Effective Date, the Borrower may obtain, from any Lender or any Additional Lender, Credit Agreement Refinancing Indebtedness in respect of (i) all or any portion of the Term Loans then outstanding under this Agreement (which for purposes of this clause (i) will be deemed to include any then outstanding Other First Lien Term Loans), (ii) all or any portion of the Revolving Loans (or unused Revolving Commitments) under this Agreement (which for purposes of this clause (ii) will be deemed to include any then outstanding other Revolving Loans and Other Revolving Commitments) and (iii) all or any portion of Incremental Equivalent Debt, in the form of (x) Other First Lien Term Loans or Other First Lien Term Commitments or (y) Other Revolving Loans or Other Revolving Commitments, as the case may be, in each case pursuant to a Refinancing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Credit Agreement Refinancing Indebtedness (i) will only be available in the event that an additional Class of Loans is added to this Agreement (ii) will be unsecured or will be secured by the Collateral on a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or junior basis with the Secured Obligations (and if secured, subject to the terms of the First/Second Lien Intercreditor Agreement and/or a Customary Intercreditor Agreement, as applicable), (iii) will have such pricing and optional prepayment terms as may be agreed by the Borrower and the Lenders thereof, and (iv) the Net Proceeds of such Credit Agreement Refinancing Indebtedness shall be applied, substantially concurrently with the incurrence thereof, to the reduction of Revolving Commitments being so refinanced or the prepayment, satisfaction and discharge or redemption of outstanding Incremental Equivalent Debt, as the case may be. The effectiveness of any Refinancing Amendment shall be subject to the satisfaction on the date thereof of the conditions as agreed between the lenders providing such Credit Agreement Refinancing Indebtedness and the Borrower and, to the extent reasonably requested by the First Lien Administrative Agent, receipt by the First Lien Administrative Agent of legal opinions, board resolutions, officers’ certificates and/or reaffirmation agreements consistent with those delivered on the Effective Date under Section 4.01 (other than changes to such legal opinions resulting from a Change in Law, change in fact or change to counsel’s form of opinion reasonably satisfactory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21" w:right="339" w:bottom="1440" w:gutter="0" w:footer="0" w:header="0"/>
        </w:sectPr>
      </w:pPr>
    </w:p>
    <w:bookmarkStart w:id="97" w:name="page98"/>
    <w:bookmarkEnd w:id="97"/>
    <w:p>
      <w:pPr>
        <w:jc w:val="both"/>
        <w:spacing w:after="0" w:line="285" w:lineRule="auto"/>
        <w:rPr>
          <w:sz w:val="20"/>
          <w:szCs w:val="20"/>
          <w:color w:val="auto"/>
        </w:rPr>
      </w:pPr>
      <w:r>
        <w:rPr>
          <w:rFonts w:ascii="Arial" w:cs="Arial" w:eastAsia="Arial" w:hAnsi="Arial"/>
          <w:sz w:val="16"/>
          <w:szCs w:val="16"/>
          <w:color w:val="auto"/>
        </w:rPr>
        <w:t xml:space="preserve">First Lien Administrative Agent). Each Class of Credit Agreement Refinancing Indebtedness incurred under this Section 2.21 shall be in an aggregate principal amount that is (x) not less than $10,000,000 in the case of Other Term Loans or $10,000,000 in the case of Other Revolving Loans and (y) an integral multiple of $1,000,000 in excess thereof (in each case unless the Borrower and the First Lien Administrative Agent otherwise agree). Any Refinancing Amendment may provide for the issuance of Letters of Credit for the account of the Borrower, or the provision to the Borrower of Swingline Loans, pursuant to any Other Revolving Commitments established thereby, in each case on terms substantially equivalent to the terms applicable to Letters of Credit and Swingline Loans under the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Issuing Bank or Swingline Lender shall be required to act as “issuing bank” or “swingline lender” under any such Refinancing Amendment without its written consent. The First Lien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First Lien Term Loans, Other Revolving Loans, Other Revolving Commitments and/or Other First Lien Term Commitments). Any Refinancing Amendment may, without the consent of any other Lenders, effect such amendments to this Agreement and the other First Lien Loan Documents as may be necessary or appropriate, in the reasonable opinion of the First Lien Administrative Agent and the Borrower, to effect the provisions of this Section 2.21 (including, in connection with an Incremental Revolving Commitment Increase or Additional/Replacement Revolving Commitments, to reallocate Revolving Exposure on a pro rata basis among the relevant Revolving Lenders).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385" w:lineRule="exact"/>
        <w:rPr>
          <w:sz w:val="20"/>
          <w:szCs w:val="20"/>
          <w:color w:val="auto"/>
        </w:rPr>
      </w:pPr>
    </w:p>
    <w:p>
      <w:pPr>
        <w:ind w:left="1300" w:right="2400" w:firstLine="4"/>
        <w:spacing w:after="0" w:line="500" w:lineRule="auto"/>
        <w:tabs>
          <w:tab w:leader="none" w:pos="194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This Section 2.21 shall supersede any provisions in Section 2.18 or Section 9.02 to the contrary. SECTION 2.22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 w:lineRule="exact"/>
        <w:rPr>
          <w:sz w:val="20"/>
          <w:szCs w:val="20"/>
          <w:color w:val="auto"/>
        </w:rPr>
      </w:pPr>
    </w:p>
    <w:p>
      <w:pPr>
        <w:ind w:firstLine="1304"/>
        <w:spacing w:after="0" w:line="277" w:lineRule="auto"/>
        <w:tabs>
          <w:tab w:leader="none" w:pos="1941"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0" w:lineRule="exact"/>
        <w:rPr>
          <w:rFonts w:ascii="Arial" w:cs="Arial" w:eastAsia="Arial" w:hAnsi="Arial"/>
          <w:sz w:val="18"/>
          <w:szCs w:val="18"/>
          <w:color w:val="auto"/>
        </w:rPr>
      </w:pPr>
    </w:p>
    <w:p>
      <w:pPr>
        <w:ind w:right="20" w:firstLine="915"/>
        <w:spacing w:after="0" w:line="277" w:lineRule="auto"/>
        <w:tabs>
          <w:tab w:leader="none" w:pos="129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set forth in Section 9.02.</w:t>
      </w:r>
    </w:p>
    <w:p>
      <w:pPr>
        <w:spacing w:after="0" w:line="170" w:lineRule="exact"/>
        <w:rPr>
          <w:rFonts w:ascii="Arial" w:cs="Arial" w:eastAsia="Arial" w:hAnsi="Arial"/>
          <w:sz w:val="18"/>
          <w:szCs w:val="18"/>
          <w:color w:val="auto"/>
        </w:rPr>
      </w:pPr>
    </w:p>
    <w:p>
      <w:pPr>
        <w:jc w:val="both"/>
        <w:ind w:firstLine="915"/>
        <w:spacing w:after="0" w:line="269" w:lineRule="auto"/>
        <w:tabs>
          <w:tab w:leader="none" w:pos="1289"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Reallocation of Payments</w:t>
      </w:r>
      <w:r>
        <w:rPr>
          <w:rFonts w:ascii="Arial" w:cs="Arial" w:eastAsia="Arial" w:hAnsi="Arial"/>
          <w:sz w:val="17"/>
          <w:szCs w:val="17"/>
          <w:color w:val="auto"/>
        </w:rPr>
        <w:t xml:space="preserve">. Subject to the last sentence of Section 2.11(f), any payment of principal, interest, fees or other amounts received by the First Lien Administrative Agent for the account of that Defaulting Lender (whether voluntary or mandatory, at maturity, pursuant to Article VII or otherwise, and including any amounts made available to the First Lien Administrative Agent by that Defaulting Lender pursuant to Section 9.08), shall be applied at such time or times as may be determined by the First Lien Administrative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that Defaulting Lender to the First Lien Administrative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in the case of a Revolving Lender, to the payment on a pro rata basis of any amounts owing by that Defaulting Lender to each Issuing Bank and the Swingline Lender hereunder;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as the Borrower may request (so long as no Default or Event of Default exists), to the funding of any Loan in respect of which that Defaulting Lender has failed to fund its portion thereof as required by this Agreement, as determined by the First Lien Administrative Agent;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in the case of a Revolving Lender, if so determined by the First Lien Administrative Agent and the Borrower, to be held in a non-interest bearing deposit account and released in order to satisfy obligations of that Defaulting Lender to fund Loans under this Agreement; </w:t>
      </w:r>
      <w:r>
        <w:rPr>
          <w:rFonts w:ascii="Arial" w:cs="Arial" w:eastAsia="Arial" w:hAnsi="Arial"/>
          <w:sz w:val="17"/>
          <w:szCs w:val="17"/>
          <w:u w:val="single" w:color="auto"/>
          <w:color w:val="auto"/>
        </w:rPr>
        <w:t>fifth</w:t>
      </w:r>
      <w:r>
        <w:rPr>
          <w:rFonts w:ascii="Arial" w:cs="Arial" w:eastAsia="Arial" w:hAnsi="Arial"/>
          <w:sz w:val="17"/>
          <w:szCs w:val="17"/>
          <w:color w:val="auto"/>
        </w:rPr>
        <w:t>, to the payment of any amounts owing to the Lenders, the Issuing Banks or the Swingline Lender as a result of any judgment of a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21" w:right="339" w:bottom="1440" w:gutter="0" w:footer="0" w:header="0"/>
        </w:sectPr>
      </w:pPr>
    </w:p>
    <w:bookmarkStart w:id="98" w:name="page99"/>
    <w:bookmarkEnd w:id="98"/>
    <w:p>
      <w:pPr>
        <w:jc w:val="both"/>
        <w:spacing w:after="0" w:line="289" w:lineRule="auto"/>
        <w:rPr>
          <w:sz w:val="20"/>
          <w:szCs w:val="20"/>
          <w:color w:val="auto"/>
        </w:rPr>
      </w:pPr>
      <w:r>
        <w:rPr>
          <w:rFonts w:ascii="Arial" w:cs="Arial" w:eastAsia="Arial" w:hAnsi="Arial"/>
          <w:sz w:val="16"/>
          <w:szCs w:val="16"/>
          <w:color w:val="auto"/>
        </w:rPr>
        <w:t xml:space="preserve">competent jurisdiction obtained by any Lender, such Issuing Bank or the Swingline Lender against that Defaulting Lender as a result of that Defaulting Lender’s breach of its obligations under this Agreement;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Section 2.05(j) or this Section 2.22(a)(ii). Any payments, prepayments or other amounts paid or payable to a Defaulting Lender that are applied (or held) to pay amounts owed by a Defaulting Lender or to post cash collateral pursuant to Section 2.05(j) shall be deemed paid to and redirected by that Defaulting Lender, and each Lender irrevocably consents hereto.</w:t>
      </w:r>
    </w:p>
    <w:p>
      <w:pPr>
        <w:spacing w:after="0" w:line="166" w:lineRule="exact"/>
        <w:rPr>
          <w:sz w:val="20"/>
          <w:szCs w:val="20"/>
          <w:color w:val="auto"/>
        </w:rPr>
      </w:pPr>
    </w:p>
    <w:p>
      <w:pPr>
        <w:jc w:val="both"/>
        <w:ind w:firstLine="915"/>
        <w:spacing w:after="0" w:line="311" w:lineRule="auto"/>
        <w:tabs>
          <w:tab w:leader="none" w:pos="1285"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That Defaulting Lender (x) shall not be entitled to receive or accrue any commitment fee pursuant to Section 2.12(a)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Section 2.12(b).</w:t>
      </w:r>
    </w:p>
    <w:p>
      <w:pPr>
        <w:spacing w:after="0" w:line="148" w:lineRule="exact"/>
        <w:rPr>
          <w:rFonts w:ascii="Arial" w:cs="Arial" w:eastAsia="Arial" w:hAnsi="Arial"/>
          <w:sz w:val="16"/>
          <w:szCs w:val="16"/>
          <w:color w:val="auto"/>
        </w:rPr>
      </w:pPr>
    </w:p>
    <w:p>
      <w:pPr>
        <w:jc w:val="both"/>
        <w:ind w:firstLine="915"/>
        <w:spacing w:after="0" w:line="254" w:lineRule="auto"/>
        <w:tabs>
          <w:tab w:leader="none" w:pos="1288"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xml:space="preserve">. During any period in which there is a Defaulting Lender, for purposes of computing the amount of the obligation of each non-Defaulting Lender to acquire, refinance or fund participations in Swingline Loans and Letters of Credit pursuant to Sections 2.04 and 2.05 and the payments of participation fees pursuant to Section 2.12(b), the “Applicable Percentage” of each non-Defaulting Lender shall be computed without giving effect to the Revolving Commitment of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obligation of each non-Defaulting Lender to acquire, refinance or fund participations in Letters of Credit and Swingline Loans shall not exceed the positive difference, if any, of (1) the Revolving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aggregate principal amount of the Revolving Loans of that non-Defaulting Lender.</w:t>
      </w:r>
    </w:p>
    <w:p>
      <w:pPr>
        <w:spacing w:after="0" w:line="194" w:lineRule="exact"/>
        <w:rPr>
          <w:rFonts w:ascii="Arial" w:cs="Arial" w:eastAsia="Arial" w:hAnsi="Arial"/>
          <w:sz w:val="18"/>
          <w:szCs w:val="18"/>
          <w:color w:val="auto"/>
        </w:rPr>
      </w:pPr>
    </w:p>
    <w:p>
      <w:pPr>
        <w:jc w:val="both"/>
        <w:ind w:firstLine="915"/>
        <w:spacing w:after="0" w:line="259" w:lineRule="auto"/>
        <w:tabs>
          <w:tab w:leader="none" w:pos="129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If the reallocation described in clause (iv) above cannot, or can only partially, be effected, the Borrower shall, without prejudice to any right or remedy available to it hereunder or under law, (x) first, prepay Swingline Loans in an amount equal to the Swingline Lenders’ Defaulting Lender Fronting Exposure and (y) second, cash collateralize the Issuing Banks’ Applicable Fronting Exposure in accordance with the procedures set forth in Section 2.05(j).</w:t>
      </w:r>
    </w:p>
    <w:p>
      <w:pPr>
        <w:spacing w:after="0" w:line="186" w:lineRule="exact"/>
        <w:rPr>
          <w:rFonts w:ascii="Arial" w:cs="Arial" w:eastAsia="Arial" w:hAnsi="Arial"/>
          <w:sz w:val="18"/>
          <w:szCs w:val="18"/>
          <w:color w:val="auto"/>
        </w:rPr>
      </w:pPr>
    </w:p>
    <w:p>
      <w:pPr>
        <w:jc w:val="both"/>
        <w:ind w:firstLine="1304"/>
        <w:spacing w:after="0" w:line="287" w:lineRule="auto"/>
        <w:tabs>
          <w:tab w:leader="none" w:pos="1938"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the First Lien Administrative Agent, Swingline Lender and each Issuing Bank agree in writing in their reasonable discretion that a Defaulting Lender should no longer be deemed to be a Defaulting Lender, the First Lien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such Class of the other applicable Lenders or take such other actions as the First Lien Administrative Agent may determine to be necessary to cause the applicable Loans and funded and unfunded participations in Letters of Credit and Swingline Loans of such Class to be held on a pro rata basis by the applicable Lenders of such Class in accordance with their Applicable Percentages (without giving effect to Section 2.22(a)(iv) or the proviso to the definition thereof), whereupon that Lender will cease to be a Defaulting Lender with respect to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2.23</w:t>
      </w:r>
      <w:r>
        <w:rPr>
          <w:sz w:val="20"/>
          <w:szCs w:val="20"/>
          <w:color w:val="auto"/>
        </w:rPr>
        <w:tab/>
      </w:r>
      <w:r>
        <w:rPr>
          <w:rFonts w:ascii="Arial" w:cs="Arial" w:eastAsia="Arial" w:hAnsi="Arial"/>
          <w:sz w:val="17"/>
          <w:szCs w:val="17"/>
          <w:u w:val="single" w:color="auto"/>
          <w:color w:val="auto"/>
        </w:rPr>
        <w:t>Illegality</w:t>
      </w:r>
      <w:r>
        <w:rPr>
          <w:rFonts w:ascii="Arial" w:cs="Arial" w:eastAsia="Arial" w:hAnsi="Arial"/>
          <w:sz w:val="17"/>
          <w:szCs w:val="17"/>
          <w:color w:val="auto"/>
        </w:rPr>
        <w:t>.</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If any Lender determines that any law has made it unlawful, or that any Governmental Authority has asserted that it is unlawful, for any Lender to make, maintain or fund Loans whose interest is determined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21" w:right="339" w:bottom="1440" w:gutter="0" w:footer="0" w:header="0"/>
        </w:sectPr>
      </w:pPr>
    </w:p>
    <w:bookmarkStart w:id="99" w:name="page100"/>
    <w:bookmarkEnd w:id="99"/>
    <w:p>
      <w:pPr>
        <w:jc w:val="both"/>
        <w:spacing w:after="0" w:line="283" w:lineRule="auto"/>
        <w:rPr>
          <w:sz w:val="20"/>
          <w:szCs w:val="20"/>
          <w:color w:val="auto"/>
        </w:rPr>
      </w:pPr>
      <w:r>
        <w:rPr>
          <w:rFonts w:ascii="Arial" w:cs="Arial" w:eastAsia="Arial" w:hAnsi="Arial"/>
          <w:sz w:val="16"/>
          <w:szCs w:val="16"/>
          <w:color w:val="auto"/>
        </w:rPr>
        <w:t xml:space="preserve">reference to the Adjusted LIBO Rate, the Adjusted BA Rate, Daily Simple RFR or Adjusted EURIBOR (whether denominated in Dollars or an Alternative Currency), or to determine or charge interest rates based upon the Adjusted LIBO Rate, the Adjusted BA Rate, Daily Simple RFR or Adjusted EURIBOR, then, on notice thereof by such Lender to Borrower through the First Lien Administrative Agent, (i) any obligation of such Lender to make or continue Eurodollar Loans in the affected currency or currencies or to convert ABR Loans to Eurodollar Loans in the affected currency or currencies shall be suspended, and (ii) if such notice asserts the illegality of such Lender making or maintaining ABR Loans the interest rate on which is determined by reference to the Adjusted LIBO Rate component of the Alternate Base Rate or the Adjusted BA Rate component of the Canadian Base Rate, the interest rate on such ABR Loans of such Lender shall, if necessary to avoid such illegality, be determined by the First Lien Administrative Agent without reference to the Adjusted LIBO Rate component of the Alternate Base Rate or the Adjusted BA Rate component of the Canadian Base Rate, as applicable, in each case until such Lender notifies the First Lien Administrative Agent and the Borrower that the circumstances giving rise to such determination no longer exist. Upon receipt of such notice, (x) the Borrower shall, upon three Business Days’ notice from such Lender (with a copy to the First Lien Administrative Agent), prepay or (I) if applicable and such Loans are denominated in Dollars or Canadian Dollars, convert all Eurodollar Loans denominated in Dollars or Canadian Dollars of such Lender to ABR Loans (the interest rate on which ABR Loans of such Lender shall, if necessary to avoid such illegality, be determined by the First Lien Administrative Agent without reference to the Adjusted LIBO Rate component of the Alternate Base Rate or the Adjusted BA Rate component of the Canadian Base Rate, as applicable), either on the last day of the Interest Period therefor, if such Lender may lawfully continue to maintain such Eurodollar Loans to such day, or immediately, if such Lender may not lawfully continue to maintain such Eurodollar Loans, or (II) if applicable and such Loans are denominated in an Alternative Currency (other than Canadian Dollars), to the extent the Borrower and the applicable Lenders agree, convert such Loans to Loans bearing interest at an alternative rate mutually acceptable to the Borrower and all of the applicable Lenders, in each case, either on the last day of the Interest Period therefor, if such Lender may lawfully continue to maintain such Eurodollar Loans to such day, or immediately, if such Lender may not lawfully continue to maintain such Eurodollar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and the applicable Lender cannot agree within a reasonable time on an alternative rate for such Loans denominated in an Alternative Currency (other than Canadian Dollars), the Borrower may, at its discretion, either (i) prepay such Loans or (ii) maintain such Loans outstanding, in which case, the interest rate payable to the applicable Lender on such Loans will be the rate determined by such Lender as its cost of funds to fund a Borrowing of such Loans with maturities comparable to the Interest Period applicable thereto plus the Applicable Rate unless the maintenance of such Loans outstanding on such basis would not stop the conditions described in the first sentence of this Section 2.23 from existing (in which case the Borrower shall be required to prepay such Loans), and (y) if such notice asserts the illegality of such Lender determining or charging interest rates based upon the Adjusted LIBO Rate or the Adjusted BA Rate, the First Lien Administrative Agent shall during the period of such suspension compute the Alternate Base Rate or the Canadian Base Rate, as applicable, applicable to such Lender without reference to the Adjusted LIBO Rate component or the Adjusted BA Rate component, as applicable, thereof until the First Lien Administrative Agent is advised in writing by such Lender that it is no longer illegal for such Lender to determine or charge interest rates based upon the Adjusted LIBO Rate or the Adjusted BA Rate, as applicable. Each Lender agrees to notify the First Lien Administrative Agent and the Borrower in writing promptly upon becoming aware that it is no longer illegal for such Lender to determine or charge interest rates based upon the Adjusted LIBO Rate, the Adjusted BA Rate, Daily Simple RFR or Adjusted EURIBOR. Upon any such prepayment or conversion, the Borrower shall also pay accrued interest on the amount so prepaid or converted.</w:t>
      </w:r>
    </w:p>
    <w:p>
      <w:pPr>
        <w:spacing w:after="0" w:line="200" w:lineRule="exact"/>
        <w:rPr>
          <w:sz w:val="20"/>
          <w:szCs w:val="20"/>
          <w:color w:val="auto"/>
        </w:rPr>
      </w:pPr>
    </w:p>
    <w:p>
      <w:pPr>
        <w:spacing w:after="0" w:line="20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2.24</w:t>
      </w:r>
      <w:r>
        <w:rPr>
          <w:sz w:val="20"/>
          <w:szCs w:val="20"/>
          <w:color w:val="auto"/>
        </w:rPr>
        <w:tab/>
      </w:r>
      <w:r>
        <w:rPr>
          <w:rFonts w:ascii="Arial" w:cs="Arial" w:eastAsia="Arial" w:hAnsi="Arial"/>
          <w:sz w:val="17"/>
          <w:szCs w:val="17"/>
          <w:u w:val="single" w:color="auto"/>
          <w:color w:val="auto"/>
        </w:rPr>
        <w:t>Loan Modification Offers</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293" w:lineRule="auto"/>
        <w:tabs>
          <w:tab w:leader="none" w:pos="194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At any time after the Effective Date, the Borrower may on one or more occasions, by written notice to the First Lien Administrative Agent, make one or more offers (each, a “</w:t>
      </w:r>
      <w:r>
        <w:rPr>
          <w:rFonts w:ascii="Arial" w:cs="Arial" w:eastAsia="Arial" w:hAnsi="Arial"/>
          <w:sz w:val="16"/>
          <w:szCs w:val="16"/>
          <w:u w:val="single" w:color="auto"/>
          <w:color w:val="auto"/>
        </w:rPr>
        <w:t>Loan Modification Offer</w:t>
      </w:r>
      <w:r>
        <w:rPr>
          <w:rFonts w:ascii="Arial" w:cs="Arial" w:eastAsia="Arial" w:hAnsi="Arial"/>
          <w:sz w:val="16"/>
          <w:szCs w:val="16"/>
          <w:color w:val="auto"/>
        </w:rPr>
        <w:t>”) to all the Lenders of one or more Classes (each Class subject to such a Loan Modification Offer, an “</w:t>
      </w:r>
      <w:r>
        <w:rPr>
          <w:rFonts w:ascii="Arial" w:cs="Arial" w:eastAsia="Arial" w:hAnsi="Arial"/>
          <w:sz w:val="16"/>
          <w:szCs w:val="16"/>
          <w:u w:val="single" w:color="auto"/>
          <w:color w:val="auto"/>
        </w:rPr>
        <w:t>Affected Class</w:t>
      </w:r>
      <w:r>
        <w:rPr>
          <w:rFonts w:ascii="Arial" w:cs="Arial" w:eastAsia="Arial" w:hAnsi="Arial"/>
          <w:sz w:val="16"/>
          <w:szCs w:val="16"/>
          <w:color w:val="auto"/>
        </w:rPr>
        <w:t>”) to effect one or more Permitted Amendments relating to such Affected Class pursuant to procedures reasonably specified by the First Lien Administrative Agent and reasonably acceptable to the Borrower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21" w:right="339" w:bottom="1440" w:gutter="0" w:footer="0" w:header="0"/>
        </w:sectPr>
      </w:pPr>
    </w:p>
    <w:bookmarkStart w:id="100" w:name="page101"/>
    <w:bookmarkEnd w:id="100"/>
    <w:p>
      <w:pPr>
        <w:jc w:val="both"/>
        <w:spacing w:after="0" w:line="263" w:lineRule="auto"/>
        <w:rPr>
          <w:sz w:val="20"/>
          <w:szCs w:val="20"/>
          <w:color w:val="auto"/>
        </w:rPr>
      </w:pPr>
      <w:r>
        <w:rPr>
          <w:rFonts w:ascii="Arial" w:cs="Arial" w:eastAsia="Arial" w:hAnsi="Arial"/>
          <w:sz w:val="18"/>
          <w:szCs w:val="18"/>
          <w:color w:val="auto"/>
        </w:rPr>
        <w:t>Commitments of the Lenders of the Affected Class that accept the applicable Loan Modification Offer (such Lenders, the “</w:t>
      </w:r>
      <w:r>
        <w:rPr>
          <w:rFonts w:ascii="Arial" w:cs="Arial" w:eastAsia="Arial" w:hAnsi="Arial"/>
          <w:sz w:val="18"/>
          <w:szCs w:val="18"/>
          <w:u w:val="single" w:color="auto"/>
          <w:color w:val="auto"/>
        </w:rPr>
        <w:t>Accepting Lenders</w:t>
      </w:r>
      <w:r>
        <w:rPr>
          <w:rFonts w:ascii="Arial" w:cs="Arial" w:eastAsia="Arial" w:hAnsi="Arial"/>
          <w:sz w:val="18"/>
          <w:szCs w:val="18"/>
          <w:color w:val="auto"/>
        </w:rPr>
        <w:t>”) and, in the case of any Accepting Lender, only with respect to such Lender’s Loans and Commitments of such Affected Class as to which such Lender’s acceptance has been made.</w:t>
      </w:r>
    </w:p>
    <w:p>
      <w:pPr>
        <w:spacing w:after="0" w:line="184" w:lineRule="exact"/>
        <w:rPr>
          <w:sz w:val="20"/>
          <w:szCs w:val="20"/>
          <w:color w:val="auto"/>
        </w:rPr>
      </w:pPr>
    </w:p>
    <w:p>
      <w:pPr>
        <w:jc w:val="both"/>
        <w:ind w:firstLine="1304"/>
        <w:spacing w:after="0" w:line="270" w:lineRule="auto"/>
        <w:tabs>
          <w:tab w:leader="none" w:pos="193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A Permitted Amendment shall be effected pursuant to a Loan Modification Agreement executed and delivered by Holdings, the Borrower, each applicable Accepting Lender and the First Lien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Permitted Amendment shall become effective unless Holdings and the Borrower shall have delivered to the First Lien Administrative Agent such legal opinions, board resolutions, secretary’s certificates, officer’s certificates and other documents as shall be reasonably requested by the First Lien Administrative Agent in connection therewith. The First Lien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First Lien Loan Documents as may be necessary or appropriate, in the opinion of the First Lien Administrative Agent, to give effect to the provisions of this Section 2.24, including any amendments necessary to treat the applicable Loans and/or Commitments of the Accepting Lenders as a new “Class” of loans and/or commitments hereunder.</w:t>
      </w:r>
    </w:p>
    <w:p>
      <w:pPr>
        <w:spacing w:after="0" w:line="180" w:lineRule="exact"/>
        <w:rPr>
          <w:rFonts w:ascii="Arial" w:cs="Arial" w:eastAsia="Arial" w:hAnsi="Arial"/>
          <w:sz w:val="17"/>
          <w:szCs w:val="17"/>
          <w:color w:val="auto"/>
        </w:rPr>
      </w:pPr>
    </w:p>
    <w:p>
      <w:pPr>
        <w:jc w:val="both"/>
        <w:ind w:firstLine="1304"/>
        <w:spacing w:after="0" w:line="287" w:lineRule="auto"/>
        <w:tabs>
          <w:tab w:leader="none" w:pos="194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in connection with any proposed Loan Modification Offer, any Lender declines to consent to such Loan Modification Offer on the terms and by the deadline set forth in such Loan Modification Offer (each such Lender, a “</w:t>
      </w:r>
      <w:r>
        <w:rPr>
          <w:rFonts w:ascii="Arial" w:cs="Arial" w:eastAsia="Arial" w:hAnsi="Arial"/>
          <w:sz w:val="16"/>
          <w:szCs w:val="16"/>
          <w:u w:val="single" w:color="auto"/>
          <w:color w:val="auto"/>
        </w:rPr>
        <w:t>Non-Accepting Lender</w:t>
      </w:r>
      <w:r>
        <w:rPr>
          <w:rFonts w:ascii="Arial" w:cs="Arial" w:eastAsia="Arial" w:hAnsi="Arial"/>
          <w:sz w:val="16"/>
          <w:szCs w:val="16"/>
          <w:color w:val="auto"/>
        </w:rPr>
        <w:t xml:space="preserve">”) then the Borrower may, on notice to the First Lien Administrative Agent and the Non-Accepting Lender, (i) replace such Non-Accepting Lender in whole or in part by causing such Lender to (and such Lender shall be obligated to) assign and delegate, without recourse (in accordance with and subject to the restrictions contained in Section 9.04) all or any part of its interests, rights and obligations under this Agreement in respect of the Loans and Commitments of the Affected Class to one or more Eligible Assignees (which Eligible Assignee may be another Lender, if a Lender accepts such assignment); provided that neither the First Lien Administrative Agent nor any Lender shall have any obligation to the Borrower to find a replacement Lender;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Section 2.24(c), accrued interest thereon, accrued fees and all other amounts (including any amounts under Section 2.11(a)(i)) payable to it hereunder from the Eligible Assignee (to the extent of such outstanding principal and accrued interest and fees) and (c) unless waived, the Borrower or such Eligible Assignee shall have paid to the First Lien Administrative Agent the processing and recordation fee specified in Section 9.04(b).</w:t>
      </w:r>
    </w:p>
    <w:p>
      <w:pPr>
        <w:spacing w:after="0" w:line="167" w:lineRule="exact"/>
        <w:rPr>
          <w:rFonts w:ascii="Arial" w:cs="Arial" w:eastAsia="Arial" w:hAnsi="Arial"/>
          <w:sz w:val="16"/>
          <w:szCs w:val="16"/>
          <w:color w:val="auto"/>
        </w:rPr>
      </w:pPr>
    </w:p>
    <w:p>
      <w:pPr>
        <w:ind w:left="1940" w:hanging="636"/>
        <w:spacing w:after="0"/>
        <w:tabs>
          <w:tab w:leader="none" w:pos="19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Notwithstanding anything to the contrary, this Section 2.24 shall supersede any provisions in Section 2.18 or Section 9.02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Holdings and the Borrower represents and warrants to the Lenders that:</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3. 01</w:t>
      </w:r>
      <w:r>
        <w:rPr>
          <w:sz w:val="20"/>
          <w:szCs w:val="20"/>
          <w:color w:val="auto"/>
        </w:rPr>
        <w:tab/>
      </w:r>
      <w:r>
        <w:rPr>
          <w:rFonts w:ascii="Arial" w:cs="Arial" w:eastAsia="Arial" w:hAnsi="Arial"/>
          <w:sz w:val="16"/>
          <w:szCs w:val="16"/>
          <w:u w:val="single" w:color="auto"/>
          <w:color w:val="auto"/>
        </w:rPr>
        <w:t>Organization; Powers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Each of Holdings, the Borrower and its Restricted Subsidiaries is (a) duly organized or incorporated, validly existing and in good standing (to the extent such concept exists in the relevant jurisdictions) under the laws of the jurisdiction of its organization, (b) has the corporate or other organizational power and authority to carry on its business as now conducted and to execute, deliver and perform its obligations under each First Lien Loan Document to which it is a party and (c) is qualified to do business in, and is in good standing in, every jurisdiction where such qualification is required, except in the cases of clause (a) (other than with respect to the Borrower), clause (b) and clause (c), where the failure to do so, individually or in the aggregate,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21" w:right="339" w:bottom="1440" w:gutter="0" w:footer="0" w:header="0"/>
        </w:sectPr>
      </w:pPr>
    </w:p>
    <w:bookmarkStart w:id="101" w:name="page102"/>
    <w:bookmarkEnd w:id="101"/>
    <w:p>
      <w:pPr>
        <w:ind w:left="1300"/>
        <w:spacing w:after="0"/>
        <w:tabs>
          <w:tab w:leader="none" w:pos="25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This Agreement has been duly authorized, executed and delivered by each of Holdings and the Borrower and constitutes, and each other First Lien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Except as set forth on Schedule 3.03, the First Lien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First Lien Loan Documents, (b) will not violate (i) the Organizational Documents of, or (ii) any Requirements of Law applicable to, Holdings, the Borrower or any Restricted Subsidiary, (c) will not violate or result in a default under any indenture or other agreement or instrument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Subsidiary(other than Liens created under the First Lien Loan Documents) except (in the case of each of clauses (a), (b)(ii) and (c)) to the extent that the failure to obtain or make such consent, approval, registration, filing or action, or such violation, default or right, as the case may be, individually or in the aggregate, would not reasonably be expected to have a Material Adverse Effect.</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Financial Condition; No Material Adverse Effect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194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and (ii) fairly present in all material respects the financial condition of the Borrower and its Subsidiaries as of the respective dates thereof and their results of operations and cash flows for the period covered thereby in accordance with GAAP consistently applied throughout the period covered thereby, except as otherwise expressly noted therein.</w:t>
      </w:r>
    </w:p>
    <w:p>
      <w:pPr>
        <w:spacing w:after="0" w:line="186" w:lineRule="exact"/>
        <w:rPr>
          <w:rFonts w:ascii="Arial" w:cs="Arial" w:eastAsia="Arial" w:hAnsi="Arial"/>
          <w:sz w:val="18"/>
          <w:szCs w:val="18"/>
          <w:color w:val="auto"/>
        </w:rPr>
      </w:pPr>
    </w:p>
    <w:p>
      <w:pPr>
        <w:ind w:left="1940" w:hanging="636"/>
        <w:spacing w:after="0"/>
        <w:tabs>
          <w:tab w:leader="none" w:pos="19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Material Adverse Effect.</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Each of Holdings, the Borrower and the Restricted Subsidiaries has good fee simple, or the equivalent in foreign jurisdictions, title to, or valid leasehold (or license or similar) interests in or other limited property interests in, all its real and personal property material to its business, if any (including all of the Mortgaged Properties), (i) free and clear of all Liens except for Liens permitted by Section 6.02 and (ii) 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194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Except as set forth on Schedule 3.06, there are no actions, suits or proceedings by or before any arbitrator or Governmental Authority pending against or, to the knowledge of Holdings or the Borrower, threatened in writing against or affecting Holdings, the Borrower or any Restricted Subsidiary that would reasonably be expected, individually or in the aggregate,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21" w:right="339" w:bottom="1440" w:gutter="0" w:footer="0" w:header="0"/>
        </w:sectPr>
      </w:pPr>
    </w:p>
    <w:bookmarkStart w:id="102" w:name="page103"/>
    <w:bookmarkEnd w:id="102"/>
    <w:p>
      <w:pPr>
        <w:jc w:val="both"/>
        <w:ind w:firstLine="1304"/>
        <w:spacing w:after="0" w:line="301" w:lineRule="auto"/>
        <w:tabs>
          <w:tab w:leader="none" w:pos="193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Except as set forth on Schedule 3.06, and except with respect to any other matters that, individually or in the aggregate, would not reasonably be expected to result in a Material Adverse Effect, none of Holdings, the Borrower or any Restricted Subsidiary (i) is not in compliance with any Environmental Law or permit, license or approval required under any Environmental Law, (ii) has, to the knowledge of Holdings or the Borrower, become subject to any Environmental Liability or (iii) has received written notice of any claim with respect to any Environmental Liability.</w:t>
      </w:r>
    </w:p>
    <w:p>
      <w:pPr>
        <w:spacing w:after="0" w:line="15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Compliance with Laws and Agreements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Each of Holdings, the Borrower and its Restricted Subsidiaries is in compliance with (a) its Organizational Documents, (b) all Requirements of Law applicable to it or its property and (c) all indentures and other agreements and instruments binding upon it or its property, except, in the case of clauses (b) and (c) of this Section 3.07, where the failure to do so, individually or in the aggregate, would not reasonably be expected to result in a Material Adverse Effect.</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Investment Company Status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None of the Loan Parties is required to register as an “investment company” under the Investment Company Act of 1940, as amended from time to time.</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Except as would not, individually or in the aggregate, reasonably be expected to have a Material Adverse Effect, Holdings, the Borrower and each Restricted Subsidiary (a) have timely filed or caused to be filed all Tax returns and reports required to have been filed and (b) 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Holdings, the Borrower or Restricted Subsidiary, as the case may be, has set aside on its books adequate reserves therefor in accordance with GAAP. There is no proposed Tax assessment, deficiency or other claim against Holdings, the Borrower or any Restricted Subsidiary that would reasonably be expected to, individually or in the aggregate, have a Material Adverse Effect.</w:t>
      </w:r>
    </w:p>
    <w:p>
      <w:pPr>
        <w:spacing w:after="0" w:line="19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7"/>
          <w:szCs w:val="17"/>
          <w:u w:val="single" w:color="auto"/>
          <w:color w:val="auto"/>
        </w:rPr>
        <w:t>ERISA</w:t>
      </w:r>
      <w:r>
        <w:rPr>
          <w:rFonts w:ascii="Arial" w:cs="Arial" w:eastAsia="Arial" w:hAnsi="Arial"/>
          <w:sz w:val="17"/>
          <w:szCs w:val="17"/>
          <w:color w:val="auto"/>
        </w:rPr>
        <w:t>.</w:t>
      </w:r>
    </w:p>
    <w:p>
      <w:pPr>
        <w:spacing w:after="0" w:line="225" w:lineRule="exact"/>
        <w:rPr>
          <w:sz w:val="20"/>
          <w:szCs w:val="20"/>
          <w:color w:val="auto"/>
        </w:rPr>
      </w:pPr>
    </w:p>
    <w:p>
      <w:pPr>
        <w:ind w:firstLine="1304"/>
        <w:spacing w:after="0" w:line="277" w:lineRule="auto"/>
        <w:tabs>
          <w:tab w:leader="none" w:pos="194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result in a Material Adverse Effect, each Plan sponsored by a Loan Party is in compliance with the applicable provisions of ERISA, the Code and other federal or state laws.</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9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Except as would not reasonably be expected, individually or in the aggregate, to result in a Material Adverse Effect, (i) no ERISA Event has occurred during the six year period prior to the date on which this representation is made or deemed made or is reasonably expected to occur and (ii) neither any Loan Party nor, to the knowledge of Holdings and the Borrower, any ERISA Affiliate has engaged in a transaction that would reasonably be expected to be subject to Section 4069 or 4212(c) of ERISA.</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94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Except as would not reasonably be expected, individually or in the aggregate, to result in a Material Adverse Effect, (i) each employee benefit plan (as defined in Section 3(2) of ERISA) sponsored by a Loan Party that is intended to meet the requirements of a “qualified plan” under Section 401(a) of the Code has either received a favorable determination letter from the Internal Revenue Service to the effect that the form of such plan is qualified under Section 401(a) of the Code or is in the form of a prototype or volume submitter plan that has received a favorable opinion letter, in each case from the Internal Revenue Service as to such plan’s qualified status and the trust related thereto has been determined by the Internal Revenue Service to be exempt from federal income tax under Section 501(a) of the Code, or an application for such a letter is currently being processed by the Internal Revenue Service; (ii) to the knowledge of Holdings and the Borrower, no fact or event has occurred that could adversely affect the qualified status of any such employee benefit plan or the exempt status of any such trust;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21" w:right="339" w:bottom="1440" w:gutter="0" w:footer="0" w:header="0"/>
        </w:sectPr>
      </w:pPr>
    </w:p>
    <w:bookmarkStart w:id="103" w:name="page104"/>
    <w:bookmarkEnd w:id="103"/>
    <w:p>
      <w:pPr>
        <w:ind w:firstLine="8"/>
        <w:spacing w:after="0" w:line="277" w:lineRule="auto"/>
        <w:tabs>
          <w:tab w:leader="none" w:pos="34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there are no pending or, to the knowledge of Holdings and the Borrower, threatened (in writing) claims, actions or lawsuits, or action by any Governmental Authority, with respect to any such plan.</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Disclosure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As of the Effective Date, all written factual information and written factual data (other than projections the Borrower and its Subsidiaries and information of a general economic or industry specific nature) furnished by or on behalf of any of Holdings, the Borrower and its Restricted Subsidiaries to the First Lien Administrative Agent, any Joint Lead Arranger or any Lender in connection with the Transactions, when taken as a whole after giving effect to all supplements and updates provided thereto, is correct in all material respects and does not contain any untrue statement of a material fact or omit to state any material fact necessary to make the statements therein not materially misleading in the light of the circumstances under which they were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projections, Holdings and the Borrower represent only that such projections, when taken as a whole, were prepared in good faith based upon assumptions believed by them to be reasonable at the time delivered, it being understood that (i) such projections are merely a prediction as to future events and are not to be viewed as facts, (ii) such projections are subject to significant uncertainties and contingencies, many of which are beyond the control of the Borrower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As of the Effective Date, Schedule 3.12 sets forth the name of, and the ownership interest of Holdings and each of its Subsidiaries in, each Subsidiary of Holdings.</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6"/>
          <w:szCs w:val="16"/>
          <w:u w:val="single" w:color="auto"/>
          <w:color w:val="auto"/>
        </w:rPr>
        <w:t>Intellectual Property; Licenses, Etc.</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Except as would not reasonably be expected to have a Material Adverse Effect, each of Holdings, the Borrower and its Restricted Subsidiaries owns, licenses or possesses the right to use all Intellectual Property that is reasonably necessary for the operation of its business substantially as currently conducted. To the knowledge of Holdings and the Borrower, no Intellectual Property used by Holdings, the Borrower or any Restricted Subsidiary in the operation of its business as currently conducted infringes upon the Intellectual Property of any Person except for such infringements that would not reasonably be expected to have, individually or in the aggregate, a Material Adverse Effect. No claim or litigation regarding any of the Intellectual Property is pending or, to the knowledge of Holdings and the Borrower, threatened in writing against Holdings, the Borrower or any Restricted Subsidiary, which, individually or in the aggregate, would reasonably be expected to have a Material Adverse Effect.</w:t>
      </w:r>
    </w:p>
    <w:p>
      <w:pPr>
        <w:spacing w:after="0" w:line="17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Immediately after the consummation of each of the Transactions to occur on the Effective Date, after taking into account all applicable rights of indemnity and contribution, (a) the sum of the debt (including contingent liabilities) of the Borrower and its subsidiaries, on a consolidated basis, does not exceed the present fair saleable value of the present assets of the Borrower and its Subsidiaries, on a consolidated basis, (b) the capital of the Borrower and its Subsidiaries, on a consolidated basis, is not unreasonably small in relation to their business as contemplated on the Effective Date, (c) the Borrower and its Subsidiaries, on a consolidated basis, have not incurred and do not intend to incur, or believe that they will incur, debts including current obligations, beyond their ability to pay such debts as they become due (whether at maturity or otherwise), and (d) the Borrower and its Subsidiaries, on a consolidated basis, are “solvent” within the meaning given to that term and similar terms under applicable laws relating to fraudulent transfers and conveyances. For purposes of this Section 3.14, the amount of any contingent liability at any time shall be computed as the amount that, in the light of all of the facts and circumstances existing at such time, represents the amount that would reasonably be expected to become an actual or matured liability (irrespective of whether such contingent liabilities meet the criteria for accrual pursuant to Financial Accounting Standards Board Statement No.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21" w:right="339" w:bottom="1440" w:gutter="0" w:footer="0" w:header="0"/>
        </w:sectPr>
      </w:pPr>
    </w:p>
    <w:bookmarkStart w:id="104" w:name="page105"/>
    <w:bookmarkEnd w:id="104"/>
    <w:p>
      <w:pPr>
        <w:ind w:left="1300"/>
        <w:spacing w:after="0"/>
        <w:tabs>
          <w:tab w:leader="none" w:pos="258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Federal Reserve Regulations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None of Holdings, the Borrower or any Restricted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to purchase or carry any margin stock or to refinance any Indebtedness originally incurred for such purpose, or for any other purpose that entails a violation (including on the part of any Lender) of the provisions of Regulations U or X of the Board of Governors.</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The Borrower will use the proceeds of the Revolving Loans and Swingline Loans made, and Letters of Credit issued, on or after the Effective Date for general corporate purposes and working capital purposes, including capital expenditures, to fund Permitted Acquisitions, Permitted Investments, Restricted Payments and other transactions not prohibited by this Agreement.</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u w:val="single" w:color="auto"/>
          <w:color w:val="auto"/>
        </w:rPr>
        <w:t>Patriot Act; Anti-Corruption; Anti-Money Laundering; Sanctions.</w:t>
      </w:r>
    </w:p>
    <w:p>
      <w:pPr>
        <w:spacing w:after="0" w:line="225" w:lineRule="exact"/>
        <w:rPr>
          <w:sz w:val="20"/>
          <w:szCs w:val="20"/>
          <w:color w:val="auto"/>
        </w:rPr>
      </w:pPr>
    </w:p>
    <w:p>
      <w:pPr>
        <w:jc w:val="both"/>
        <w:ind w:firstLine="1304"/>
        <w:spacing w:after="0" w:line="286" w:lineRule="auto"/>
        <w:tabs>
          <w:tab w:leader="none" w:pos="194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Holdings and the Borrower have implemented and maintain in effect, or are subject to, policies and procedures designed to promote and achieve compliance by Holdings, the Borrower and their respective Subsidiaries, and the respective directors, officers, employees and agents of any of the foregoing, with applicable Anti-Corruption Laws, applicable Anti-Money Laundering Laws and applicable Sanctions.</w:t>
      </w:r>
    </w:p>
    <w:p>
      <w:pPr>
        <w:spacing w:after="0" w:line="165" w:lineRule="exact"/>
        <w:rPr>
          <w:rFonts w:ascii="Arial" w:cs="Arial" w:eastAsia="Arial" w:hAnsi="Arial"/>
          <w:sz w:val="17"/>
          <w:szCs w:val="17"/>
          <w:color w:val="auto"/>
        </w:rPr>
      </w:pPr>
    </w:p>
    <w:p>
      <w:pPr>
        <w:jc w:val="both"/>
        <w:ind w:firstLine="1304"/>
        <w:spacing w:after="0" w:line="272" w:lineRule="auto"/>
        <w:tabs>
          <w:tab w:leader="none" w:pos="193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None of Holdings, the Borrower or any of the Subsidiaries or any of their respective directors, officers or, to the Borrower’s knowledge, employees or Affiliates or any of the agents acting on behalf of the Holdings, the Borrower or any of the Subsidiaries in connection with the First Lien Financing Transactions: (i) is a Sanctioned Person; or (ii) conducts any business or engages in any dealings with, involving or for the benefit of any Sanctioned Person or Sanctioned Jurisdiction, in violation of applicable Sanctions. Neither Holdings nor the Borrower will, directly or, to its knowledge, indirectly, use any part of any proceeds of the Loans or lend, contribute, or otherwise make available such proceeds (A) to fund or facilitate any activities or business of, with, involving or for the benefit of any Sanctioned Person or Sanctioned Jurisdiction or (B) in any other manner that would constitute or give rise to a violation of Sanctions by any Person, including any Lender.</w:t>
      </w:r>
    </w:p>
    <w:p>
      <w:pPr>
        <w:spacing w:after="0" w:line="177" w:lineRule="exact"/>
        <w:rPr>
          <w:rFonts w:ascii="Arial" w:cs="Arial" w:eastAsia="Arial" w:hAnsi="Arial"/>
          <w:sz w:val="17"/>
          <w:szCs w:val="17"/>
          <w:color w:val="auto"/>
        </w:rPr>
      </w:pPr>
    </w:p>
    <w:p>
      <w:pPr>
        <w:jc w:val="both"/>
        <w:ind w:firstLine="1304"/>
        <w:spacing w:after="0" w:line="272" w:lineRule="auto"/>
        <w:tabs>
          <w:tab w:leader="none" w:pos="194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None of Holdings, the Borrower or any of the Subsidiaries or any of their respective directors, officers or, to the Borrower’s knowledge, employees or any of the agents acting on behalf of Holdings, the Borrower or any of the Subsidiaries in connection with the First Lien Financing Transactions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or in any manner that would constitute or give rise to a violation of applicable Anti-Corruption Laws.</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193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None of Holdings, the Borrower or any of the Subsidiaries or any of their respective directors, officers or, to the Borrower’s knowledge, employees, agents or Affiliates is or has been, in the past five (5) years, subject to any action, proceeding, litigation, claim or investigation with regard to any actual or alleged violation of Sanctions, Anti-Corruption Laws or Anti-Money Laundering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obligation of each Lender to make Loans and the obligations of each Issuing Bank to issue Letters of Credit hereunder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shall be subject to satisfaction of the following conditions (or waiver thereof in accordance with Section 9.02):</w:t>
      </w:r>
    </w:p>
    <w:p>
      <w:pPr>
        <w:spacing w:after="0" w:line="211" w:lineRule="exact"/>
        <w:rPr>
          <w:sz w:val="20"/>
          <w:szCs w:val="20"/>
          <w:color w:val="auto"/>
        </w:rPr>
      </w:pPr>
    </w:p>
    <w:p>
      <w:pPr>
        <w:jc w:val="both"/>
        <w:ind w:firstLine="1304"/>
        <w:spacing w:after="0" w:line="286" w:lineRule="auto"/>
        <w:tabs>
          <w:tab w:leader="none" w:pos="1941"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First Lien Administrative Agent (or its counsel) shall have received from each party hereto either (i) a counterpart of this Agreement signed on behalf of such party or (ii) otherwise written evidence satisfactory to the First Lien Administrative Agent (which may include facsimile or other electronic transmission of a signed counterpart of this Agreement) that such party has signed a counterpart of this Agreement.</w:t>
      </w:r>
    </w:p>
    <w:p>
      <w:pPr>
        <w:spacing w:after="0" w:line="165" w:lineRule="exact"/>
        <w:rPr>
          <w:rFonts w:ascii="Arial" w:cs="Arial" w:eastAsia="Arial" w:hAnsi="Arial"/>
          <w:sz w:val="17"/>
          <w:szCs w:val="17"/>
          <w:color w:val="auto"/>
        </w:rPr>
      </w:pPr>
    </w:p>
    <w:p>
      <w:pPr>
        <w:jc w:val="both"/>
        <w:ind w:firstLine="1304"/>
        <w:spacing w:after="0" w:line="257" w:lineRule="auto"/>
        <w:tabs>
          <w:tab w:leader="none" w:pos="19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a written opinion (addressed to the First Lien Administrative Agent, the Lenders and the Issuing Banks and dated the Effective Date) of (i) Cleary Gottlieb Steen &amp; Hamilton LLP, New York counsel for the Loan Parties, (ii) Cleary Gottlieb Steen &amp; Hamilton LLP, UK counsel for the Loan Parties and (iii) Young Conaway Stargatt &amp; Taylor LLP, Delaware counsel for the Loan Parties, in each case in form and substance reasonably satisfactory to the First Lien Administrative Agent. Each of Holdings and the Borrower hereby requests such counsel to deliver such opinions.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94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a certificate of each Loan Party, dated the Effective Date, in form and substance reasonably satisfactory to the First Lien Administrative Agent, executed by any Responsible Officer of such Loan Party, and including or attaching the documents referred to in paragraph (d) of this Section 4.01.</w:t>
      </w:r>
    </w:p>
    <w:p>
      <w:pPr>
        <w:spacing w:after="0" w:line="183" w:lineRule="exact"/>
        <w:rPr>
          <w:rFonts w:ascii="Arial" w:cs="Arial" w:eastAsia="Arial" w:hAnsi="Arial"/>
          <w:sz w:val="18"/>
          <w:szCs w:val="18"/>
          <w:color w:val="auto"/>
        </w:rPr>
      </w:pPr>
    </w:p>
    <w:p>
      <w:pPr>
        <w:jc w:val="both"/>
        <w:ind w:firstLine="1304"/>
        <w:spacing w:after="0" w:line="254" w:lineRule="auto"/>
        <w:tabs>
          <w:tab w:leader="none" w:pos="19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First Lien Loan Documents to which it is a party, (iii) copies of resolutions of the Board of Directors of each Loan Party approving and authorizing the execution, delivery and performance of First Lien Loan Documents to which it is a party, certified as of the Effective Date by a secretary, an assistant secretary or a Responsible Officer of such Loan Party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94" w:lineRule="exact"/>
        <w:rPr>
          <w:rFonts w:ascii="Arial" w:cs="Arial" w:eastAsia="Arial" w:hAnsi="Arial"/>
          <w:sz w:val="18"/>
          <w:szCs w:val="18"/>
          <w:color w:val="auto"/>
        </w:rPr>
      </w:pPr>
    </w:p>
    <w:p>
      <w:pPr>
        <w:jc w:val="both"/>
        <w:ind w:firstLine="1304"/>
        <w:spacing w:after="0" w:line="257" w:lineRule="auto"/>
        <w:tabs>
          <w:tab w:leader="none" w:pos="194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First Lien Administrative Agent shall have received (or substantially simultaneously with the initial funding of Loans on the Effective Date, shall receive) all fees and other amounts previously agreed in writing by the Joint Lead Arrangers and the Borrower to be due and payable on or prior to the Effective Date, including, to the extent invoiced at least three (3) Business Days prior to the Effective Date, reimbursement or payment of all reasonable and documented out-of-pocket expenses (including reasonable fees, charges and disbursements of counsel) required to be reimbursed or paid by any Loan Party under any First Lien Loan Document.</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9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Collateral and Guarantee Requirement (in each case other than in accordance with Section 5.14) shall have been satisfied and the First Lien Administrative Agent shall have received a completed Perfection Certificate dated the Effective Date and signed by a Responsible Officer of Holdings and the Borrower, together with all attachments contemplated thereby.</w:t>
      </w:r>
    </w:p>
    <w:p>
      <w:pPr>
        <w:spacing w:after="0" w:line="183" w:lineRule="exact"/>
        <w:rPr>
          <w:rFonts w:ascii="Arial" w:cs="Arial" w:eastAsia="Arial" w:hAnsi="Arial"/>
          <w:sz w:val="18"/>
          <w:szCs w:val="18"/>
          <w:color w:val="auto"/>
        </w:rPr>
      </w:pPr>
    </w:p>
    <w:p>
      <w:pPr>
        <w:ind w:right="20" w:firstLine="1304"/>
        <w:spacing w:after="0" w:line="277" w:lineRule="auto"/>
        <w:tabs>
          <w:tab w:leader="none" w:pos="19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Refinancing shall have been consummated, or substantially concurrently with the initial funding of Loans on the Effective Date, shall be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21" w:right="339" w:bottom="1440" w:gutter="0" w:footer="0" w:header="0"/>
        </w:sectPr>
      </w:pPr>
    </w:p>
    <w:bookmarkStart w:id="106" w:name="page107"/>
    <w:bookmarkEnd w:id="106"/>
    <w:p>
      <w:pPr>
        <w:ind w:left="1940" w:hanging="636"/>
        <w:spacing w:after="0"/>
        <w:tabs>
          <w:tab w:leader="none" w:pos="19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Borrower shall have received at least $200,000,000 of proceeds from the issuance of its Equity Interests.</w:t>
      </w:r>
    </w:p>
    <w:p>
      <w:pPr>
        <w:spacing w:after="0" w:line="225" w:lineRule="exact"/>
        <w:rPr>
          <w:rFonts w:ascii="Arial" w:cs="Arial" w:eastAsia="Arial" w:hAnsi="Arial"/>
          <w:sz w:val="18"/>
          <w:szCs w:val="18"/>
          <w:color w:val="auto"/>
        </w:rPr>
      </w:pPr>
    </w:p>
    <w:p>
      <w:pPr>
        <w:ind w:left="1940" w:hanging="636"/>
        <w:spacing w:after="0"/>
        <w:tabs>
          <w:tab w:leader="none" w:pos="19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93" w:lineRule="auto"/>
        <w:tabs>
          <w:tab w:leader="none" w:pos="193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First Lien Administrative Agent and the Joint Lead Arrangers shall have received, at least three (3) Business Days prior to the Effective Date, (A) all documentation and other information about the Loan Parties as shall have been reasonably requested in writing at least ten (10) Business Days prior to the Effective Date by the First Lien Administrative Agent or the Joint Lead Arrangers that they shall have reasonably determined is required by regulatory authorities under applicable “know your customer” and anti-money laundering rules and regulations, including without limitation the USA PATRIOT Act, and (B) to the extent the Borrower qualifies as a “legal entity customer” under the Beneficial Ownership Regulation, and to the extent requested in writing at least ten (10) Business Days prior to the Effective Date, a beneficial ownership certificate in the form of Exhibit X.</w:t>
      </w:r>
    </w:p>
    <w:p>
      <w:pPr>
        <w:spacing w:after="0" w:line="16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Notwithstanding the foregoing, the obligations of the Lenders to make Loans and of the Issuing Banks to issue Letters of Credit hereunder shall not become effective unless each of the foregoing conditions shall have been satisfied (or waived pursuant to Section 9.02) at or prior to 11:59 p.m., New York City time, on the Effective Date (and, in the event such conditions are not so satisfied or waived, the Commitments shall terminate at such time).</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determining whether the conditions set forth in this Section 4.01 have been satisfied, by releasing its signature page hereto or to an Assignment and Assumption, the First Lien Administrative Agent and each Lender party hereto shall be deemed to have consented to, approved, accepted or be satisfied with each document or other matter required hereunder to be consented to or approved by, or acceptable or satisfactory to, the First Lien Administrative Agent or such Lender, as the case may be.</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Each Credit Event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obligation of each Lender to make a Loan on the occasion of any Borrowing, and of each Issuing Bank to issue, amend, renew or extend any Letter of Credit (other than any initial Borrowing under any First Lien Incremental Facility, is subject to receipt of the request therefor in accordance herewith to the satisfaction of the following conditions (other than in the case of any Borrowing the proceeds of which are used to finance a Limited Condition Transaction as to which an LCT Election has been made, which shall be subject to such conditions as of the LCT Test Date as provided in Section 1.06):</w:t>
      </w:r>
    </w:p>
    <w:p>
      <w:pPr>
        <w:spacing w:after="0" w:line="188" w:lineRule="exact"/>
        <w:rPr>
          <w:sz w:val="20"/>
          <w:szCs w:val="20"/>
          <w:color w:val="auto"/>
        </w:rPr>
      </w:pPr>
    </w:p>
    <w:p>
      <w:pPr>
        <w:ind w:left="660" w:firstLine="644"/>
        <w:spacing w:after="0" w:line="277" w:lineRule="auto"/>
        <w:tabs>
          <w:tab w:leader="none" w:pos="173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the case of any borrowing of Revolving Loans or a Swingline Loan, the First Lien Administrative Agent shall have received a Borrowing Request as required by Section 2.03;</w:t>
      </w:r>
    </w:p>
    <w:p>
      <w:pPr>
        <w:spacing w:after="0" w:line="170" w:lineRule="exact"/>
        <w:rPr>
          <w:rFonts w:ascii="Arial" w:cs="Arial" w:eastAsia="Arial" w:hAnsi="Arial"/>
          <w:sz w:val="18"/>
          <w:szCs w:val="18"/>
          <w:color w:val="auto"/>
        </w:rPr>
      </w:pPr>
    </w:p>
    <w:p>
      <w:pPr>
        <w:jc w:val="both"/>
        <w:ind w:left="660" w:firstLine="644"/>
        <w:spacing w:after="0" w:line="254" w:lineRule="auto"/>
        <w:tabs>
          <w:tab w:leader="none" w:pos="171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each Loan Party set forth in the First Lien Loan Documents (or in the case of any Borrowing the proceeds of which are used to finance a Limited Condition Transaction, customary specified representations) shall be true and correct in all material respects on and as of the date of such Borrowing or the date of issuance, amendment, renewal or extension of such Letter of Credit,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to the extent that such representations and warranties specifically refer to an earlier date, they shall be true and correct in all material respects as of such earlier date;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each case, any representation and warranty that is qualified as to “materiality,” “Material Adverse Effect” or similar language shall be true and correct in all respects on the date of such credit extension or on such earlier date, as the case may be;</w:t>
      </w:r>
    </w:p>
    <w:p>
      <w:pPr>
        <w:spacing w:after="0" w:line="194" w:lineRule="exact"/>
        <w:rPr>
          <w:rFonts w:ascii="Arial" w:cs="Arial" w:eastAsia="Arial" w:hAnsi="Arial"/>
          <w:sz w:val="18"/>
          <w:szCs w:val="18"/>
          <w:color w:val="auto"/>
        </w:rPr>
      </w:pPr>
    </w:p>
    <w:p>
      <w:pPr>
        <w:jc w:val="both"/>
        <w:ind w:left="660" w:firstLine="644"/>
        <w:spacing w:after="0" w:line="263" w:lineRule="auto"/>
        <w:tabs>
          <w:tab w:leader="none" w:pos="176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shall be in Pro Forma Compliance with the Financial Performance Covenant for the Test Period then last ended (regardless of whether such Financial Performance Covenant is applicable at such time and without deducting in calculating the numerator of such Senior Secured First Lien Net Leverage Ratio any cash proceeds thereof); and</w:t>
      </w:r>
    </w:p>
    <w:p>
      <w:pPr>
        <w:spacing w:after="0" w:line="183" w:lineRule="exact"/>
        <w:rPr>
          <w:rFonts w:ascii="Arial" w:cs="Arial" w:eastAsia="Arial" w:hAnsi="Arial"/>
          <w:sz w:val="18"/>
          <w:szCs w:val="18"/>
          <w:color w:val="auto"/>
        </w:rPr>
      </w:pPr>
    </w:p>
    <w:p>
      <w:pPr>
        <w:ind w:left="660" w:firstLine="644"/>
        <w:spacing w:after="0" w:line="277" w:lineRule="auto"/>
        <w:tabs>
          <w:tab w:leader="none" w:pos="174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the case may be, no Default or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21" w:right="339" w:bottom="1440" w:gutter="0" w:footer="0" w:header="0"/>
        </w:sectPr>
      </w:pPr>
    </w:p>
    <w:bookmarkStart w:id="107" w:name="page108"/>
    <w:bookmarkEnd w:id="107"/>
    <w:p>
      <w:pPr>
        <w:ind w:left="660"/>
        <w:spacing w:after="0" w:line="277" w:lineRule="auto"/>
        <w:rPr>
          <w:sz w:val="20"/>
          <w:szCs w:val="20"/>
          <w:color w:val="auto"/>
        </w:rPr>
      </w:pPr>
      <w:r>
        <w:rPr>
          <w:rFonts w:ascii="Arial" w:cs="Arial" w:eastAsia="Arial" w:hAnsi="Arial"/>
          <w:sz w:val="18"/>
          <w:szCs w:val="18"/>
          <w:color w:val="auto"/>
        </w:rPr>
        <w:t>Default shall have occurred and be continuing (or, in the case of the incurrence or provision of any First Lien Incremental Facility in connection with a Limited Condition Transaction, no Event of Default at the time of such Limited Condition Transaction).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conversion or a continuation of a Borrowing shall not constitute a “Borrowing” for purposes of this Section 4.02), other than a Borrowing under any First Lien Incremental Facility, and each issuance, amendment, renewal or extension of a Letter of Credit (other than any issuance, amendment, renewal or extension of a Letter of Credit on the Effective Date) shall be deemed to constitute a representation and warranty by Holdings and the Borrower on the date thereof as to the matters specified in paragraphs (a) and (b) of this Section 4.02 (which deemed representation, in the case of any Borrowing the proceeds of which are used to finance a Limited Condition Transaction as to which an LCT Election has been made, shall be as of the LCT Test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From and after the Effective Date and until the Termination Date, each of Holdings and the Borrower covenants and agrees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Lenders that:</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Financial Statements and Other Information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Borrower will furnish to the First Lien Administrative Agent, on behalf of each Lender:</w:t>
      </w:r>
    </w:p>
    <w:p>
      <w:pPr>
        <w:spacing w:after="0" w:line="225" w:lineRule="exact"/>
        <w:rPr>
          <w:sz w:val="20"/>
          <w:szCs w:val="20"/>
          <w:color w:val="auto"/>
        </w:rPr>
      </w:pPr>
    </w:p>
    <w:p>
      <w:pPr>
        <w:jc w:val="both"/>
        <w:ind w:left="660" w:firstLine="644"/>
        <w:spacing w:after="0" w:line="269" w:lineRule="auto"/>
        <w:tabs>
          <w:tab w:leader="none" w:pos="173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commencing with the financial statements for the fiscal year ended December 31, 2021, on or before the date that is one hundred and ninety (90) days after the end of each fiscal year of the Borrower, audited consolidated balance sheet and audited consolidated statements of operations and comprehensive income, shareholders’ equity and cash flows of Holdings and its Subsidiaries as of the end of and for such year, and related notes thereto,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(other than any exception or explanatory paragraph, but not a qualification, that is expressly and solely with respect to, or expressly and solely resulting from, (A) the Revolving Maturity Date occurring within one year from the time such opinion is delivered or (B) any actual failure to satisfy the Financial Performance Covenant or potential inability to satisfy the Financial Performance Covenant on a future date or in a future period)) to the effect that such consolidated financial statements present fairly in all material respects the financial condition as of the end of and for such year and results of operations and cash flows of the Borrower and its Subsidiaries on a consolidated basis in accordance with GAAP consistently applied;</w:t>
      </w:r>
    </w:p>
    <w:p>
      <w:pPr>
        <w:spacing w:after="0" w:line="181" w:lineRule="exact"/>
        <w:rPr>
          <w:rFonts w:ascii="Arial" w:cs="Arial" w:eastAsia="Arial" w:hAnsi="Arial"/>
          <w:sz w:val="17"/>
          <w:szCs w:val="17"/>
          <w:color w:val="auto"/>
        </w:rPr>
      </w:pPr>
    </w:p>
    <w:p>
      <w:pPr>
        <w:jc w:val="both"/>
        <w:ind w:left="660" w:firstLine="644"/>
        <w:spacing w:after="0" w:line="290" w:lineRule="auto"/>
        <w:tabs>
          <w:tab w:leader="none" w:pos="175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commencing with the financial statements for the fiscal quarter ended June 30, 2021, on or before the date that is forty-five (45) days after the end of each of the first three fiscal quarters of each fiscal year of the Borrower, unaudited consolidated balance sheet and unaudited consolidated statements of operations and comprehensive income, shareholders’ equity and cash flows of Holdings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the Borrower and its Subsidiaries on a consolidated basis in accordance with GAAP consistently applied, subject to normal year-end audit adjustments and the absence of footnotes;</w:t>
      </w:r>
    </w:p>
    <w:p>
      <w:pPr>
        <w:spacing w:after="0" w:line="165" w:lineRule="exact"/>
        <w:rPr>
          <w:rFonts w:ascii="Arial" w:cs="Arial" w:eastAsia="Arial" w:hAnsi="Arial"/>
          <w:sz w:val="16"/>
          <w:szCs w:val="16"/>
          <w:color w:val="auto"/>
        </w:rPr>
      </w:pPr>
    </w:p>
    <w:p>
      <w:pPr>
        <w:ind w:left="660" w:firstLine="644"/>
        <w:spacing w:after="0" w:line="277" w:lineRule="auto"/>
        <w:tabs>
          <w:tab w:leader="none" w:pos="170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simultaneously with the delivery of each set of consolidated financial statements referred to in clauses (a) and (b) above, the related unaudited consolidating financial information reflecting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21" w:right="3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color w:val="auto"/>
        </w:rPr>
        <w:t>adjustments necessary to eliminate the accounts of Unrestricted Subsidiaries (if any) from such consolidated financial statements;</w:t>
      </w:r>
    </w:p>
    <w:p>
      <w:pPr>
        <w:spacing w:after="0" w:line="225" w:lineRule="exact"/>
        <w:rPr>
          <w:sz w:val="20"/>
          <w:szCs w:val="20"/>
          <w:color w:val="auto"/>
        </w:rPr>
      </w:pPr>
    </w:p>
    <w:p>
      <w:pPr>
        <w:jc w:val="both"/>
        <w:ind w:left="660" w:firstLine="644"/>
        <w:spacing w:after="0" w:line="259" w:lineRule="auto"/>
        <w:tabs>
          <w:tab w:leader="none" w:pos="178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 later than five days after any delivery of financial statements under paragraph (a) or (b) above, a certificate of a Financial Officer (i) certifying as to whether a Default then exists and, if a Default does then exist, specifying the details thereof and any action taken or proposed to be taken with respect thereto and (ii) setting forth reasonably detailed calculations demonstrating compliance with the Financial Performance Covenant, if applicable;</w:t>
      </w:r>
    </w:p>
    <w:p>
      <w:pPr>
        <w:spacing w:after="0" w:line="186" w:lineRule="exact"/>
        <w:rPr>
          <w:rFonts w:ascii="Arial" w:cs="Arial" w:eastAsia="Arial" w:hAnsi="Arial"/>
          <w:sz w:val="18"/>
          <w:szCs w:val="18"/>
          <w:color w:val="auto"/>
        </w:rPr>
      </w:pPr>
    </w:p>
    <w:p>
      <w:pPr>
        <w:jc w:val="both"/>
        <w:ind w:left="660" w:firstLine="644"/>
        <w:spacing w:after="0" w:line="279" w:lineRule="auto"/>
        <w:tabs>
          <w:tab w:leader="none" w:pos="179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First Lien Administrative Agent), exhibits to any registration statement and, if applicable, any registration statement on Form S-8) filed by Holdings, the Borrower or any Restricted Subsidiary with the SEC or with any national securities exchange; and</w:t>
      </w:r>
    </w:p>
    <w:p>
      <w:pPr>
        <w:spacing w:after="0" w:line="171" w:lineRule="exact"/>
        <w:rPr>
          <w:rFonts w:ascii="Arial" w:cs="Arial" w:eastAsia="Arial" w:hAnsi="Arial"/>
          <w:sz w:val="17"/>
          <w:szCs w:val="17"/>
          <w:color w:val="auto"/>
        </w:rPr>
      </w:pPr>
    </w:p>
    <w:p>
      <w:pPr>
        <w:jc w:val="both"/>
        <w:ind w:left="660" w:firstLine="644"/>
        <w:spacing w:after="0" w:line="263" w:lineRule="auto"/>
        <w:tabs>
          <w:tab w:leader="none" w:pos="168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Holdings, the Borrower or any Restricted Subsidiary, or compliance with the terms of any First Lien Loan Document, as the First Lien Administrative Agent on its own behalf or on behalf of any Lender may reasonably request in writing.</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Notwithstanding the foregoing, the obligations in paragraphs (a) and (b) of this Section 5.01 may be satisfied with respect to financial information of Holdings and its Subsidiaries by furnishing (A) the Form 10-K or 10-Q (or the equivalent), as applicable, of Holdings filed with the SEC within the applicable time periods required by applicable law and regulations or (B) the applicable financial statements of any direct or indirect parent of Holdings); provided that (i) to the extent such information relates to a parent of Holdings, such information is accompanied by consolidating information, which may be unaudited, that explains in reasonable detail the differences between the information relating to such parent, on the one hand, and the information relating to the Borrower and its Subsidiaries on a standalone basis, on the other hand, and (ii) to the extent such information is in lieu of information required to be provided under Section 5.01(a), such materials are accompanied by a report and opinion of an independent registered public accounting firm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any exception or explanatory paragraph, but not a qualification, that is expressly and solely with respect to, or expressly and solely resulting from, (A) the Revolving Maturity Date occurring within one year from the time such opinion is delivered or (B) any potential failure to satisfy or potential inability to satisfy the Financial Performance Covenant on a future date or in any future period).</w:t>
      </w:r>
    </w:p>
    <w:p>
      <w:pPr>
        <w:spacing w:after="0" w:line="17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Documents required to be delivered pursuant to Section 5.01(a), (b) or (e)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Schedule 9.01 (or otherwise notified pursuant to Section 9.01(d)); or (ii) on which such documents are posted on the Borrower’s behalf on an Internet or intranet website, if any, to which each Lender and the First Lien Administrative Agent have access (whether a commercial, third-party website or whether sponsored by the First Lien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deliver paper copies of such documents to the First Lien Administrative Agent upon its reasonable request until a written notice to cease delivering paper copies is given by the First Lien Administrative Agent and (ii) the Borrower shall notify the First Lien Administrative Agent (by fax or electronic mail) of the posting of any such documents and upon its reasonable request, provide to the First Lien Administrative Agent by electronic mail electronic versions (</w:t>
      </w:r>
      <w:r>
        <w:rPr>
          <w:rFonts w:ascii="Arial" w:cs="Arial" w:eastAsia="Arial" w:hAnsi="Arial"/>
          <w:sz w:val="17"/>
          <w:szCs w:val="17"/>
          <w:u w:val="single" w:color="auto"/>
          <w:color w:val="auto"/>
        </w:rPr>
        <w:t>i.e.</w:t>
      </w:r>
      <w:r>
        <w:rPr>
          <w:rFonts w:ascii="Arial" w:cs="Arial" w:eastAsia="Arial" w:hAnsi="Arial"/>
          <w:sz w:val="17"/>
          <w:szCs w:val="17"/>
          <w:color w:val="auto"/>
        </w:rPr>
        <w:t>, soft copies) of such documents. The First Lien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21" w:right="339" w:bottom="1440" w:gutter="0" w:footer="0" w:header="0"/>
        </w:sectPr>
      </w:pPr>
    </w:p>
    <w:bookmarkStart w:id="109" w:name="page110"/>
    <w:bookmarkEnd w:id="109"/>
    <w:p>
      <w:pPr>
        <w:jc w:val="both"/>
        <w:ind w:firstLine="1296"/>
        <w:spacing w:after="0" w:line="253" w:lineRule="auto"/>
        <w:rPr>
          <w:sz w:val="20"/>
          <w:szCs w:val="20"/>
          <w:color w:val="auto"/>
        </w:rPr>
      </w:pPr>
      <w:r>
        <w:rPr>
          <w:rFonts w:ascii="Arial" w:cs="Arial" w:eastAsia="Arial" w:hAnsi="Arial"/>
          <w:sz w:val="18"/>
          <w:szCs w:val="18"/>
          <w:color w:val="auto"/>
        </w:rPr>
        <w:t>Notwithstanding anything to the contrary herein, neither the Borrower nor any Subsidiary shall be required to deliver, disclose, permit the inspection, examination or making of copies of or excerpts from, or any discussion of, any document, information, or other matter (i) that constitutes trade secrets or proprietary information, (ii) in respect of which disclosure to the First Lien Administrative 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Obligations under this Section 5.01) to any third party, after such Loan Party’s use of commercially reasonable efforts to obtain the consent of such third party (to the extent commercially feasible) or (v) that relates to any investigation by any Governmental Authority to the extent (x) such information is identifiable to a particular individual and the Borrower in good faith determines such information should remain confidential or (y) the information requested is not factual in nature.</w:t>
      </w:r>
    </w:p>
    <w:p>
      <w:pPr>
        <w:spacing w:after="0" w:line="19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Promptly after any Responsible Officer of Holdings or the Borrower obtains actual knowledge thereof, Holdings or the Borrower will furnish to the First Lien Administrative Agent (for distribution to each Lender through the First Lien Administrative Agent) written notice of the following:</w:t>
      </w:r>
    </w:p>
    <w:p>
      <w:pPr>
        <w:spacing w:after="0" w:line="124" w:lineRule="exact"/>
        <w:rPr>
          <w:sz w:val="20"/>
          <w:szCs w:val="20"/>
          <w:color w:val="auto"/>
        </w:rPr>
      </w:pPr>
    </w:p>
    <w:p>
      <w:pPr>
        <w:ind w:left="1680" w:hanging="376"/>
        <w:spacing w:after="0"/>
        <w:tabs>
          <w:tab w:leader="none" w:pos="1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73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to the knowledge of a Financial Officer or another executive officer of Holdings, the Borrower or any Subsidiary, affecting Holdings, the Borrower or any Subsidiary or the receipt of a written notice of Environmental Liability, in each case that would reasonably be expected to result in a Material Adverse Effect; and</w:t>
      </w:r>
    </w:p>
    <w:p>
      <w:pPr>
        <w:spacing w:after="0" w:line="186" w:lineRule="exact"/>
        <w:rPr>
          <w:rFonts w:ascii="Arial" w:cs="Arial" w:eastAsia="Arial" w:hAnsi="Arial"/>
          <w:sz w:val="18"/>
          <w:szCs w:val="18"/>
          <w:color w:val="auto"/>
        </w:rPr>
      </w:pPr>
    </w:p>
    <w:p>
      <w:pPr>
        <w:ind w:left="660" w:firstLine="644"/>
        <w:spacing w:after="0" w:line="277" w:lineRule="auto"/>
        <w:tabs>
          <w:tab w:leader="none" w:pos="176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occurrence of any ERISA Event that would reasonably be expected, individually or in the aggregate, to result in a Material Adverse Effect.</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Each notice delivered under this Section 5.02 shall be accompanied by a written statement of a Responsible Officer of Holdings or the Borrower setting forth the details of the event or development requiring such notice and any action taken or proposed to be taken with respect thereto.</w:t>
      </w:r>
    </w:p>
    <w:p>
      <w:pPr>
        <w:spacing w:after="0" w:line="14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Information Regarding Collateral</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5" w:lineRule="auto"/>
        <w:tabs>
          <w:tab w:leader="none" w:pos="194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Holdings or the Borrower will furnish to the First Lien Administrative Agent prompt (and in any event within thirty (30) days or such longer period as reasonably agreed to by the First Lien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or owns Mortgaged Property in a jurisdiction where an organizational identification number is required to be included in a UCC financing statement for such jurisdiction.</w:t>
      </w:r>
    </w:p>
    <w:p>
      <w:pPr>
        <w:spacing w:after="0" w:line="176" w:lineRule="exact"/>
        <w:rPr>
          <w:rFonts w:ascii="Arial" w:cs="Arial" w:eastAsia="Arial" w:hAnsi="Arial"/>
          <w:sz w:val="17"/>
          <w:szCs w:val="17"/>
          <w:color w:val="auto"/>
        </w:rPr>
      </w:pPr>
    </w:p>
    <w:p>
      <w:pPr>
        <w:jc w:val="both"/>
        <w:ind w:firstLine="1304"/>
        <w:spacing w:after="0" w:line="254" w:lineRule="auto"/>
        <w:tabs>
          <w:tab w:leader="none" w:pos="19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 later than five Business Days after financial statements are required to be delivered pursuant to Section 5.01(a), Holdings or the Borrower shall deliver to the First Lien Administrative Agent a certificate executed by a Responsible Officer of Holdings or the Borrower (i) setting forth the information required pursuant to Paragraphs 1, 7, 8, 9, 10 and 11 of the Perfection Certificate or confirming that there has been no change in such information since the later of (x) the date of the Perfection Certificate delivered on the Effective Date or (y) the date of the most recent certificate delivered pursuant to this Section 5.03, (ii) identifying any (x) new Intermediate Parent or (y) Wholly Owned Restricted Subsidiary that has become, or ceased to be, a Material Subsidiary or an Excluded Subsidiary during the most recently ended fiscal year and (iii) certifying that all notices required to be given prior to the date of such certificate by Section 5.03 have been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21" w:right="339" w:bottom="1440" w:gutter="0" w:footer="0" w:header="0"/>
        </w:sectPr>
      </w:pPr>
    </w:p>
    <w:bookmarkStart w:id="110" w:name="page111"/>
    <w:bookmarkEnd w:id="110"/>
    <w:p>
      <w:pPr>
        <w:ind w:left="1300"/>
        <w:spacing w:after="0"/>
        <w:tabs>
          <w:tab w:leader="none" w:pos="25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Each of Holdings and the Borrower will, and will cause each Restricted Subsidiary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the Borrower) that the failure to do so would not reasonably be expected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any merger, amalgamation, consolidation, liquidation or dissolution permitted under Section 6.03 or any Disposition permitted by Section 6.05.</w:t>
      </w:r>
    </w:p>
    <w:p>
      <w:pPr>
        <w:spacing w:after="0" w:line="16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Payment of Taxes, etc.</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Each of Holdings and the Borrower will, and will cause each Restricted Subsidiary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the Borrower or any of their respective Subsidiaries or (b) the failure to make payment would not reasonably be expected, individually or in the aggregate, to result in a Material Adverse Effect.</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6"/>
          <w:szCs w:val="16"/>
          <w:u w:val="single" w:color="auto"/>
          <w:color w:val="auto"/>
        </w:rPr>
        <w:t>Maintenance of Properties.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Each of Holdings and the Borrower will, and will cause each Restricted Subsidiary to, keep and maintain all tangible property material to the conduct of its business in good working order and condition (casualty, condemnation and ordinary wear and tear excepted), except where the failure to do so would not reasonably be expected to have, individually or in the aggregate, a Material Adverse Effect.</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87" w:lineRule="auto"/>
        <w:tabs>
          <w:tab w:leader="none" w:pos="194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Each of Holdings and the Borrower will, and will cause each Restricted Subsidiary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First Lien Collateral Agent, information presented in reasonable detail as to the insurance so carried. The Borrower shall, and shall cause each Loan Party organized or existing under the laws of a Covered Jurisdiction to, within the term set out under Schedule 5.14, (i) name the First Lien Collateral Agent, on behalf of the Secured Parties, as an additional insured as its interests may appear on each such general liability policy of insurance and each casualty insurance policy belonging to or insuring such Loan Party (other than directors and officers policies, workers compensation policies and business interruption insurance) and (ii) in the case of each property insurance policy belonging to or insuring a Loan Party organized or existing under the laws of a Covered Jurisdiction, include a loss payable clause or mortgagee endorsement, as applicable that names the First Lien Collateral Agent, on behalf of the Secured Parties, as the loss payee or mortgagee, as applicable, thereunder.</w:t>
      </w:r>
    </w:p>
    <w:p>
      <w:pPr>
        <w:spacing w:after="0" w:line="167" w:lineRule="exact"/>
        <w:rPr>
          <w:rFonts w:ascii="Arial" w:cs="Arial" w:eastAsia="Arial" w:hAnsi="Arial"/>
          <w:sz w:val="16"/>
          <w:szCs w:val="16"/>
          <w:color w:val="auto"/>
        </w:rPr>
      </w:pPr>
    </w:p>
    <w:p>
      <w:pPr>
        <w:jc w:val="both"/>
        <w:ind w:firstLine="1304"/>
        <w:spacing w:after="0" w:line="293" w:lineRule="auto"/>
        <w:tabs>
          <w:tab w:leader="none" w:pos="193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If any portion of a building or other improvement included in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under any successor statute thereto), then the Borrower shall, or shall cause each Loan Party to (i) maintain, or cause to be maintained, with insurance companies that Holdings believes (in the good faith judgment of the management of Holdings) are financially sound and responsible at the time the relevant coverage is placed or renewed, flood insurance in an amount and otherwise sufficient to comply with all applicable rules and regulations promulgated pursuant to the Flood Insurance Laws and (ii) furnish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21"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color w:val="auto"/>
        </w:rPr>
        <w:t>to the Lenders, upon written request from the First Lien Collateral Agent, information presented in reasonable detail as to the flood insurance so carried.</w:t>
      </w:r>
    </w:p>
    <w:p>
      <w:pPr>
        <w:spacing w:after="0" w:line="24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Books and Records; Inspection and Audit Rights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Each of Holdings and the Borrower will, and will cause each Restricted Subsidiary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the Borrower or its Restricted Subsidiaries, as the case may be. Each of Holdings and the Borrower will, and will cause each Restricted Subsidiary to, permit any representatives designated by the First Lien Administrative Agent or any Lender, upon reasonable prior notice, to visit and inspect its tangible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representative shall us commercially reasonable efforts to avoid interruption of the normal business operations of the Borrower and its Subsidiaries and (ii) excluding any such visits and inspections during the continuation of an Event of Default, only the First Lien Administrative Agent on behalf of the Lenders may exercise visitation and inspection rights of the First Lien Administrative Agent and the Lenders under this Section 5.08 and the First Lien Administrative Agent shall not exercise such rights more often than one time during any calendar year absent the existence of an Event of Default and such time shall be at the Borrower’s expense;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when an Event of Default exists, the First Lien Administrative Agent or any Lender (or any of their respective representatives or independent contractors) may do any of the foregoing at the expense of the Borrower at any time during normal business hours and upon reasonable advance notice and (b) the First Lien Administrative Agent and the Lenders shall give Holdings and the Borrower the opportunity to participate in any discussions with Holdings’ or the Borrower’s independent public accountants.</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Compliance with Laws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Each of Holdings and the Borrower will, and will cause each Restricted Subsidiary to, comply with all Requirements of Law (including ERISA, Environmental Laws and the USA PATRIOT Act) with respect to it, its property and operations, except where the failure to do so, individually or in the aggregate, would not reasonably be expected to result in a Material Adverse Effect.</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Use of Proceeds and Letters of Credit</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Borrower will use the proceeds of the Revolving Loans, the Swingline Loans and the Letters of Credit solely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3.16.</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Additional Subsidiaries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194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If (i) any additional Restricted Subsidiary that is not an Excluded Subsidiary organized in a Covered Jurisdiction, is formed or acquired after the Effective Date, (ii) any Restricted Subsidiary ceases to be an Excluded Subsidiary (other than any Immaterial Subsidiary that becomes a Material Subsidiary, which shall be subject to Section 5.11(b)) or (iii) the Borrower, at its option, elects to cause a Subsidiary organized in a Covered Jurisdiction, or to the extent reasonably acceptable to the First Lien Administrative Agent, a subsidiary that is otherwise an Excluded Subsidiary (including any Subsidiary that is not a Wholly Owned Subsidiary or any consolidated Affiliate in which the Borrower and its Subsidiaries own no Equity Interest or that is organized in a non-Covered Jurisdiction) to become a Subsidiary Loan Party, then in each case if (i), (ii) and (iii) Holdings or the Borrower will, within 30 days (or such longer period as may be agreed to by the First Lien Administrative Agent in its reasonable discretion) after (x) such newly formed or acquired Restricted Subsidiary is formed or acquired, (y) such Restricted Subsidiary ceases to be an Excluded Subsidiary or (z) the Borrower has made such election, notify the First Lien Administrative Agent thereof, and will cause such Restricted Subsidiary (unless such Restricted Subsidiary is an Excluded Subsidiary) t to satisfy the Collateral and Guarantee Requirement with respect to such Restricted Subsidiary and with respect to any Equity Interest in or Indebtedness of such Restricted Subsidiary owned by or on behalf of any Loan Party within 30 days after such notice (or such longer period as the First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21" w:right="339" w:bottom="1440" w:gutter="0" w:footer="0" w:header="0"/>
        </w:sectPr>
      </w:pPr>
    </w:p>
    <w:bookmarkStart w:id="112" w:name="page113"/>
    <w:bookmarkEnd w:id="112"/>
    <w:p>
      <w:pPr>
        <w:jc w:val="both"/>
        <w:spacing w:after="0" w:line="259" w:lineRule="auto"/>
        <w:rPr>
          <w:sz w:val="20"/>
          <w:szCs w:val="20"/>
          <w:color w:val="auto"/>
        </w:rPr>
      </w:pPr>
      <w:r>
        <w:rPr>
          <w:rFonts w:ascii="Arial" w:cs="Arial" w:eastAsia="Arial" w:hAnsi="Arial"/>
          <w:sz w:val="18"/>
          <w:szCs w:val="18"/>
          <w:color w:val="auto"/>
        </w:rPr>
        <w:t>Administrative Agent shall reasonably agree). The Borrower shall deliver to the First Lien Administrative Agent a completed Perfection Certificate (or supplement thereof) with respect to such Restricted Subsidiary signed by a Responsible Officer of Holdings or of such applicable Restricted Subsidiary, together with all attachments contemplated thereby concurrently with the satisfaction of the Collateral and Guarantee Requirement with respect to such Restricted Subsidiary.</w:t>
      </w:r>
    </w:p>
    <w:p>
      <w:pPr>
        <w:spacing w:after="0" w:line="187" w:lineRule="exact"/>
        <w:rPr>
          <w:sz w:val="20"/>
          <w:szCs w:val="20"/>
          <w:color w:val="auto"/>
        </w:rPr>
      </w:pPr>
    </w:p>
    <w:p>
      <w:pPr>
        <w:jc w:val="both"/>
        <w:ind w:firstLine="1304"/>
        <w:spacing w:after="0" w:line="259" w:lineRule="auto"/>
        <w:tabs>
          <w:tab w:leader="none" w:pos="193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Within 45 days (or such longer period as otherwise provided in this Agreement or as the First Lien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 to the extent not already satisfied pursuant to Section 5.11(a).</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194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Notwithstanding the foregoing, in the event any Material Real Property would be required to be mortgaged pursuant to this Section 5.11, the applicable Loan Party shall be required to comply with the “Collateral and Guarantee Requirement” as it relates to such Material Real Property within 90 days, following the latter of the date such Subsidiary becomes a Loan Party and the acquisition of such Material Real Property, or such longer time period as agreed by the First Lien Administrative Agent in its reasonable discretion;.</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57" w:lineRule="auto"/>
        <w:tabs>
          <w:tab w:leader="none" w:pos="194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Subject to last paragraph of the definition of “Collateral and Guarantee Requirement”, 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First Lien Administrative Agent or the Required Lenders may reasonably request, to cause the Collateral and Guarantee Requirement to be and remain satisfied, all at the expense of the Loan Parties.</w:t>
      </w:r>
    </w:p>
    <w:p>
      <w:pPr>
        <w:spacing w:after="0" w:line="187" w:lineRule="exact"/>
        <w:rPr>
          <w:rFonts w:ascii="Arial" w:cs="Arial" w:eastAsia="Arial" w:hAnsi="Arial"/>
          <w:sz w:val="18"/>
          <w:szCs w:val="18"/>
          <w:color w:val="auto"/>
        </w:rPr>
      </w:pPr>
    </w:p>
    <w:p>
      <w:pPr>
        <w:jc w:val="both"/>
        <w:ind w:firstLine="1304"/>
        <w:spacing w:after="0" w:line="287" w:lineRule="auto"/>
        <w:tabs>
          <w:tab w:leader="none" w:pos="193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after the Effective Date, any material assets (other than Excluded Assets), including any Material Real Property,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First Lien Administrative Agent thereof, and, if requested by the First Lien Administrative Agent, the Borrower will cause such assets to be subjected to a Lien securing the Secured Obligations and will take and cause the other Loan Parties to take, such actions as shall be necessary and reasonably requested by the First Lien Administrative Agent to grant and perfect such Liens, including actions described in paragraph (a) of this Section and as required pursuant to the “Collateral and Guarantee Requirement,” all at the expense of the Loan Parties and subject to the last paragraph of the definition of the term “Collateral and Guarantee Requirement.” In the event any Material Real Property is mortgaged pursuant to this Section 5.12(b), the Borrower or such other Loan Party, as applicable, shall be required to comply with the “Collateral and Guarantee Requirement” and paragraph (a) of this Section 5.12 within 90 days following the acquisition of such Material Real Property or such longer time period as agreed by the First Lien Administrative Agent in its reasonable discretion.</w:t>
      </w:r>
    </w:p>
    <w:p>
      <w:pPr>
        <w:spacing w:after="0" w:line="17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The Borrower may at any time after the Effective Date designate any Restricted Subsidiary as an Unrestricted Subsidiary or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 that immediately after such designation on a Pro Forma Basis, no Event of Default shall have occurred and be continuing, (ii) immediately after giving effect to such designation, on a Pro Forma Basis, the Total Net Leverage Ratio shall not exceed 4.00 to 1.00 for the most recently ended Test Period and (iii) no Subsidiary may be designated as an Unrestricted Subsidiary or continue as an Unrestricted Subsidiary if it is a “Restricted Subsidiary” for the purpose of any other Material Indebtedness of Holdings or the Borrower. The designation of any Subsidiary as an Unrestricted Subsidiary after the Effective Date shall constitute an Investment by the Borrower therein at the date of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21" w:right="339" w:bottom="1440" w:gutter="0" w:footer="0" w:header="0"/>
        </w:sectPr>
      </w:pPr>
    </w:p>
    <w:bookmarkStart w:id="113" w:name="page114"/>
    <w:bookmarkEnd w:id="113"/>
    <w:p>
      <w:pPr>
        <w:jc w:val="both"/>
        <w:spacing w:after="0" w:line="254" w:lineRule="auto"/>
        <w:rPr>
          <w:sz w:val="20"/>
          <w:szCs w:val="20"/>
          <w:color w:val="auto"/>
        </w:rPr>
      </w:pPr>
      <w:r>
        <w:rPr>
          <w:rFonts w:ascii="Arial" w:cs="Arial" w:eastAsia="Arial" w:hAnsi="Arial"/>
          <w:sz w:val="18"/>
          <w:szCs w:val="18"/>
          <w:color w:val="auto"/>
        </w:rPr>
        <w:t>in an amount equal to the Fair Market Value of the Borrower’s or their respective subsidiaries’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Subsidiaries’ (as applicable) Investment in such Subsidiary. Notwithstanding the foregoing, (i) no Loan Party shall sell, transfer or dispose of, or grant an exclusive license of, Intellectual Property that the Borrower determines in good faith is material to ongoing business of Holdings and its Restricted Subsidiaries taken as a whole (“</w:t>
      </w:r>
      <w:r>
        <w:rPr>
          <w:rFonts w:ascii="Arial" w:cs="Arial" w:eastAsia="Arial" w:hAnsi="Arial"/>
          <w:sz w:val="18"/>
          <w:szCs w:val="18"/>
          <w:u w:val="single" w:color="auto"/>
          <w:color w:val="auto"/>
        </w:rPr>
        <w:t>Material Intellectual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 to an Unrestricted Subsidiary (whether by way of an investment, asset sale or other transfer or by the designation of a Restricted Subsidiary as a unrestricted subsidiary).</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Certain Post-Closing Obligations.</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As promptly as practicable, and in any event within the time periods after the Effective Date specified in Schedule 5.14 or such later date as the First Lien Administrative Agent agrees to in writing, including to reasonably accommodate circumstances unforeseen on the Effective Date, Holdings, the Borrower and each other Loan Party shall deliver the documents or take the actions specified on Schedule 5.14 that would have been required to be delivered or taken on the Effective Date, in each case except to the extent otherwise agreed by the First Lien Administrative Agent pursuant to its authority as set forth in the definition of the term “Collateral and Guarantee Requirement.”</w:t>
      </w:r>
    </w:p>
    <w:p>
      <w:pPr>
        <w:spacing w:after="0" w:line="17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Lines of Business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Holdings, the Borrower and the Restricted Subsidiaries, taken as a whole, will not fundamentally and substantively alter the character of their business, taken as a whole, from the business conducted by them on the Effective Date and other business activities which are extensions thereof or otherwise incidental, reasonably related or ancillary to any of the foregoing</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5.16</w:t>
      </w:r>
      <w:r>
        <w:rPr>
          <w:sz w:val="20"/>
          <w:szCs w:val="20"/>
          <w:color w:val="auto"/>
        </w:rPr>
        <w:tab/>
      </w:r>
      <w:r>
        <w:rPr>
          <w:rFonts w:ascii="Arial" w:cs="Arial" w:eastAsia="Arial" w:hAnsi="Arial"/>
          <w:sz w:val="16"/>
          <w:szCs w:val="16"/>
          <w:u w:val="single" w:color="auto"/>
          <w:color w:val="auto"/>
        </w:rPr>
        <w:t>Anti-Corruption; Anti-Money Laundering; Sanctions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Holdings and the Borrower shall: (i) continue to maintain in effect and enforce, or remain subject to, and shall procure that each of the Subsidiaries continues to maintain in effect and enforces or remains subject to, policies and procedures designed to promote and achieve compliance by Holdings, the Borrower and the Subsidiaries and their respective directors, officers, employees and agents with applicable Anti-Corruption Laws, applicable Anti-Money Laundering Laws and applicable Sanctions; and (ii) promptly notify the Administrative Agent in the event that it or any of its directors, officers or employees becomes subject to any action, proceeding, litigation, claim or investigation with regard to any actual or alleged violation of Sanctions, Anti-Corruption Laws or Anti-Money Laundering Laws.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From and after the Effective Date and until the Termination Date, each of Holdings and the Borrower covenants and agrees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Lenders that:</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Indebtedness; Certain Equity Securities</w:t>
      </w:r>
      <w:r>
        <w:rPr>
          <w:rFonts w:ascii="Arial" w:cs="Arial" w:eastAsia="Arial" w:hAnsi="Arial"/>
          <w:sz w:val="16"/>
          <w:szCs w:val="16"/>
          <w:color w:val="auto"/>
        </w:rPr>
        <w:t>.</w:t>
      </w:r>
    </w:p>
    <w:p>
      <w:pPr>
        <w:spacing w:after="0" w:line="225" w:lineRule="exact"/>
        <w:rPr>
          <w:sz w:val="20"/>
          <w:szCs w:val="20"/>
          <w:color w:val="auto"/>
        </w:rPr>
      </w:pPr>
    </w:p>
    <w:p>
      <w:pPr>
        <w:ind w:left="1940" w:hanging="636"/>
        <w:spacing w:after="0"/>
        <w:tabs>
          <w:tab w:leader="none" w:pos="19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Holdings will not, and will not permit any Restricted Subsidiary to, create, incur, assume or permit to exist any Indebtedness,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except:</w:t>
      </w:r>
    </w:p>
    <w:p>
      <w:pPr>
        <w:spacing w:after="0" w:line="211" w:lineRule="exact"/>
        <w:rPr>
          <w:sz w:val="20"/>
          <w:szCs w:val="20"/>
          <w:color w:val="auto"/>
        </w:rPr>
      </w:pPr>
    </w:p>
    <w:p>
      <w:pPr>
        <w:ind w:right="20" w:firstLine="915"/>
        <w:spacing w:after="0" w:line="277" w:lineRule="auto"/>
        <w:tabs>
          <w:tab w:leader="none" w:pos="129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Indebtedness of Holdings and any of the Restricted Subsidiaries under the First Lien Loan Documents (including any Indebtedness incurred pursuant to Section 2.20 or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21" w:right="339" w:bottom="1440" w:gutter="0" w:footer="0" w:header="0"/>
        </w:sectPr>
      </w:pPr>
    </w:p>
    <w:bookmarkStart w:id="114" w:name="page115"/>
    <w:bookmarkEnd w:id="114"/>
    <w:p>
      <w:pPr>
        <w:ind w:right="20" w:firstLine="915"/>
        <w:spacing w:after="0" w:line="277" w:lineRule="auto"/>
        <w:tabs>
          <w:tab w:leader="none" w:pos="12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Indebtedness, including intercompany Indebtedness, outstanding on the Effective Date and listed on Schedule 6.01, and any Permitted Refinancing thereof;</w:t>
      </w:r>
    </w:p>
    <w:p>
      <w:pPr>
        <w:spacing w:after="0" w:line="170" w:lineRule="exact"/>
        <w:rPr>
          <w:rFonts w:ascii="Arial" w:cs="Arial" w:eastAsia="Arial" w:hAnsi="Arial"/>
          <w:sz w:val="18"/>
          <w:szCs w:val="18"/>
          <w:color w:val="auto"/>
        </w:rPr>
      </w:pPr>
    </w:p>
    <w:p>
      <w:pPr>
        <w:jc w:val="both"/>
        <w:ind w:firstLine="915"/>
        <w:spacing w:after="0" w:line="255" w:lineRule="auto"/>
        <w:tabs>
          <w:tab w:leader="none" w:pos="128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Guarantees by Holdings and any of the Restricted Subsidiaries in respect of Indebtedness of Holdings or any Restricted Subsidiary otherwise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Guarantee is otherwise permitted by Section 6.04, (B) no Guarantee by any Restricted Subsidiary of any Junior Financing shall be permitted unless such Restricted Subsidiary shall have also provided a Guarantee of the First Lien Loan Document Obligations pursuant to the First Lien Guarantee Agreement, and (C) if the Indebtedness being Guaranteed is subordinated to the First Lien Loan Document Obligations, such Guarantee shall be subordinated to the Guarantee of the First Lien Loan Document Obligations on terms at least as favorable to the Lenders as those contained in the subordination of such Indebtedness;</w:t>
      </w:r>
    </w:p>
    <w:p>
      <w:pPr>
        <w:spacing w:after="0" w:line="192" w:lineRule="exact"/>
        <w:rPr>
          <w:rFonts w:ascii="Arial" w:cs="Arial" w:eastAsia="Arial" w:hAnsi="Arial"/>
          <w:sz w:val="18"/>
          <w:szCs w:val="18"/>
          <w:color w:val="auto"/>
        </w:rPr>
      </w:pPr>
    </w:p>
    <w:p>
      <w:pPr>
        <w:jc w:val="both"/>
        <w:ind w:firstLine="915"/>
        <w:spacing w:after="0" w:line="293" w:lineRule="auto"/>
        <w:tabs>
          <w:tab w:leader="none" w:pos="128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Indebtedness of Holdings owing to any Restricted Subsidiary or of any Restricted Subsidiary owing to any other Restricted Subsidiary or Holdings, to the extent permitted by Section 6.04;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Indebtedness of any Loan Party owing to any Restricted Subsidiary that is not a Loan Party shall be subordinated to the First Lien Loan Document Obligations (to the extent any such Indebtedness is outstanding at any time after the date that is sixty (60) days after the Effective Date or such later date as the First Lien Administrative Agent may reasonably agree) (but only to the extent permitted by applicable law and not giving rise to adverse tax consequences) on terms (i) at least as favorable to the Lenders as those set forth in the form of intercompany note attached as Exhibit F or (ii) otherwise reasonably satisfactory to the First Lien Administrative Agent;</w:t>
      </w:r>
    </w:p>
    <w:p>
      <w:pPr>
        <w:spacing w:after="0" w:line="164" w:lineRule="exact"/>
        <w:rPr>
          <w:rFonts w:ascii="Arial" w:cs="Arial" w:eastAsia="Arial" w:hAnsi="Arial"/>
          <w:sz w:val="16"/>
          <w:szCs w:val="16"/>
          <w:color w:val="auto"/>
        </w:rPr>
      </w:pPr>
    </w:p>
    <w:p>
      <w:pPr>
        <w:jc w:val="both"/>
        <w:ind w:firstLine="915"/>
        <w:spacing w:after="0" w:line="291" w:lineRule="auto"/>
        <w:tabs>
          <w:tab w:leader="none" w:pos="129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(A) Indebtedness (including Capital Lease Obligations and purchase money Indebtedness) incurred, issued or assumed by Holdings or any Restricted Subsidiary to finance the acquisition, purchase, lease, construction, repair, replacement or improvement of fixed or capital property, equipment or other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is incurred concurrently with or within 270 days after the applicable acquisition, purchase, lease, construction, repair, replacement or improvement, and (B) any Permitted Refinancing of any Indebtedness set forth in the immediately preceding clause (A) (or successive Permitted Refinancings thereof);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at the time of any such incurrence of Indebtedness and after giving Pro Forma Effect thereto and the use of the proceeds thereof, the aggregate principal amount of Indebtedness that is outstanding in reliance on this clause (v) shall not exceed the greater of (A) $35,200,000 and (B) 20%of Consolidated EBITDA for the most recently ended Test Period as of such time;</w:t>
      </w:r>
    </w:p>
    <w:p>
      <w:pPr>
        <w:spacing w:after="0" w:line="166" w:lineRule="exact"/>
        <w:rPr>
          <w:rFonts w:ascii="Arial" w:cs="Arial" w:eastAsia="Arial" w:hAnsi="Arial"/>
          <w:sz w:val="16"/>
          <w:szCs w:val="16"/>
          <w:color w:val="auto"/>
        </w:rPr>
      </w:pPr>
    </w:p>
    <w:p>
      <w:pPr>
        <w:ind w:left="1300" w:hanging="385"/>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Indebtedness in respect of Swap Agreements incurred in the ordinary course of business and not for speculative purposes;</w:t>
      </w:r>
    </w:p>
    <w:p>
      <w:pPr>
        <w:spacing w:after="0" w:line="225" w:lineRule="exact"/>
        <w:rPr>
          <w:rFonts w:ascii="Arial" w:cs="Arial" w:eastAsia="Arial" w:hAnsi="Arial"/>
          <w:sz w:val="18"/>
          <w:szCs w:val="18"/>
          <w:color w:val="auto"/>
        </w:rPr>
      </w:pPr>
    </w:p>
    <w:p>
      <w:pPr>
        <w:jc w:val="both"/>
        <w:ind w:firstLine="915"/>
        <w:spacing w:after="0" w:line="286" w:lineRule="auto"/>
        <w:tabs>
          <w:tab w:leader="none" w:pos="153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Indebtedness of Holdings, any Restricted Subsidiary or any Person that becomes a Restricted Subsidiary (or of any Person not previously a Restricted Subsidiary that is merged, amalgamated or consolidated with or into Holdings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pari passu basis with the Secured Obligations, (ii) after giving effect to each such incurrence, issuance and/or assumption of such Indebtedness on a Pro Forma Basis, (I) the Senior Secured First Lien Net Leverage Ratio as of such time is less than or equal to, at the Borrower’s option, either (x) 3.50 to 1.00 for the most recently ended Test Period or (y) the Senior Secured First Lien Net Leverage Ratio immediately prior to such Permitted Acquisition or Investment (and related issuance and/or incurrence of Consolidated Senior Secured First Lien Net Indebtedness), (II) Holdings shall be in Pro Forma Compliance with the Financial Performance Covenant for the most recently ended Test Period (regardless of whether such Financial Performance Covenant is applicable at such time) and (III) no Specified Event of Default shall exist or result therefrom (at the time of execution of a binding agreement in respect thereof), and (iii) with respect to any such newly incurred Indebtedness, 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(1) Lenders under the existing Revolving Commitments, also receive the benefit of such more favorable terms (together with,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21" w:right="339" w:bottom="1440" w:gutter="0" w:footer="0" w:header="0"/>
        </w:sectPr>
      </w:pPr>
    </w:p>
    <w:bookmarkStart w:id="115" w:name="page116"/>
    <w:bookmarkEnd w:id="115"/>
    <w:p>
      <w:pPr>
        <w:jc w:val="both"/>
        <w:spacing w:after="0" w:line="267" w:lineRule="auto"/>
        <w:rPr>
          <w:sz w:val="20"/>
          <w:szCs w:val="20"/>
          <w:color w:val="auto"/>
        </w:rPr>
      </w:pPr>
      <w:r>
        <w:rPr>
          <w:rFonts w:ascii="Arial" w:cs="Arial" w:eastAsia="Arial" w:hAnsi="Arial"/>
          <w:sz w:val="17"/>
          <w:szCs w:val="17"/>
          <w:color w:val="auto"/>
        </w:rPr>
        <w:t xml:space="preserve">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also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Holdings and its Restricted Subsidiaries than the Financial Performance Covenant or other corresponding covenant hereunder and (y) only applicable to, or for the benefit of, a revolving credit facility, also added for the benefit of each revolving credit facility hereunder (and not for the benefit of any term loan facility hereunder)), (2) such provisions are applicable only to periods after the Latest Maturity Date at such time, or (3) such terms are otherwise reasonably satisfactory to the First Lien Administrative Agent and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certificate of a Responsible Officer of Holdings delivered to the First Lien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 and (B) any Permitted Refinancing of Indebtedness incurred pursuant to the foregoing subclause (A);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further that the aggregate principal amount of Indebtedness of which the primary obligor or a guarantor is a Restricted Subsidiary that is not a Loan Party outstanding in reliance on this clause (vii)(A)(a) or (vii)(B) (solely with respect to any Permitted Refinancing of any Indebtedness incurred pursuant to clause (vii)(A)(a)) (together with the aggregate principal amount of Indebtedness of which the primary obligor or a guarantor is a Restricted Subsidiary that is not a Loan Party outstanding in reliance on Sections 6.01(a)(viii), 6.01(a)(ix), 6.01(a)(xv) and 6.01(a)(xxi)) shall not exceed, at the time of incurrence thereof and after giving Pro Forma Effect thereto, the greater of (A) $17,600,000 and (B) 10% of Consolidated EBITDA for the most recently ended Test Period as of such time;</w:t>
      </w:r>
    </w:p>
    <w:p>
      <w:pPr>
        <w:spacing w:after="0" w:line="187" w:lineRule="exact"/>
        <w:rPr>
          <w:sz w:val="20"/>
          <w:szCs w:val="20"/>
          <w:color w:val="auto"/>
        </w:rPr>
      </w:pPr>
    </w:p>
    <w:p>
      <w:pPr>
        <w:jc w:val="both"/>
        <w:ind w:firstLine="915"/>
        <w:spacing w:after="0" w:line="283" w:lineRule="auto"/>
        <w:tabs>
          <w:tab w:leader="none" w:pos="1539"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 Indebtedness of Holdings, any Restricted Subsidiary or any Person that becomes a Restricted Subsidiary (or of any Person not previously a Restricted Subsidiary that is merged, amalgamated or consolidated with or into Holdings or a Restricted Subsidiary) either (a) incurred or issued and/or (b) assumed after the Effective Date in connection with any Permitted Acquisition or any other Investment not prohibited by Section 6.04; provided that, with respect to clause (a) above, (i) to the extent such obligor or any guarantor is a Loan Party, such Indebtedness is secured by the Collateral on a junior or subordinated basis to the Secured Obligations, (ii) after giving effect to each such incurrence and/or issuance of such Indebtedness on a Pro Forma Basis, the Senior Secured Net Leverage Ratio as of such time is less than or equal to, at the Borrower’s option, either (x) 4.50 to 1.00 for the most recently ended Test Period or (y) the Senior Secured Net Leverage Ratio immediately prior to such Permitted Acquisition or Investment (and related incurrence and/or issuance of Indebtedness) and (iii) with respect to any such newly incurred Indebtedness, (1) the terms and conditions of such Indebtedness shall be as determined by the Borrower and the lenders providing such Indebtedness (subject to the restrictions and exceptions set forth above) and (2) with respect to clause (b) above, such Indebtedness is and remains the obligation of the Person and/or such Person’s subsidiaries that are acquired and such Indebtedness was not incurred in anticipation of such Permitted Acquisition or Investment;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(viii)(A)(a) or (viii)(B) (solely with respect to any Permitted Refinancing of any Indebtedness incurred pursuant to clause (viii)(A)(a)) (together with the aggregate principal amount of Indebtedness of which the primary obligor or a guarantor is a Restricted Subsidiary that is not a Loan Party outstanding in reliance Sections 6.01(a)(vii), 6.01(a)(ix) 6.01(a)</w:t>
      </w:r>
    </w:p>
    <w:p>
      <w:pPr>
        <w:ind w:left="360" w:hanging="352"/>
        <w:spacing w:after="0"/>
        <w:tabs>
          <w:tab w:leader="none" w:pos="3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and 6.01(a)(xxi)) shall not exceed, at the time of incurrence thereof and after giving Pro Forma Effect thereto, the greater of (A) $17,600,000 and (B)</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 of Consolidated EBITDA for the most recently ended Test Period as of such time ;</w:t>
      </w:r>
    </w:p>
    <w:p>
      <w:pPr>
        <w:spacing w:after="0" w:line="210" w:lineRule="exact"/>
        <w:rPr>
          <w:rFonts w:ascii="Arial" w:cs="Arial" w:eastAsia="Arial" w:hAnsi="Arial"/>
          <w:sz w:val="16"/>
          <w:szCs w:val="16"/>
          <w:color w:val="auto"/>
        </w:rPr>
      </w:pPr>
    </w:p>
    <w:p>
      <w:pPr>
        <w:jc w:val="both"/>
        <w:ind w:right="20" w:firstLine="915"/>
        <w:spacing w:after="0" w:line="263" w:lineRule="auto"/>
        <w:tabs>
          <w:tab w:leader="none" w:pos="153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 Indebtedness of Holdings, any Restricted Subsidiary or any Person that becomes a Restricted Subsidiary (or of any Person not previously a Restricted Subsidiary that is merged, amalgamated or consolidated with or into Holdings or a Restricted Subsidiary) either (a) incurred or issued and/or (b) assumed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21" w:right="339" w:bottom="1440" w:gutter="0" w:footer="0" w:header="0"/>
        </w:sectPr>
      </w:pPr>
    </w:p>
    <w:bookmarkStart w:id="116" w:name="page117"/>
    <w:bookmarkEnd w:id="116"/>
    <w:p>
      <w:pPr>
        <w:jc w:val="both"/>
        <w:spacing w:after="0" w:line="283" w:lineRule="auto"/>
        <w:rPr>
          <w:sz w:val="20"/>
          <w:szCs w:val="20"/>
          <w:color w:val="auto"/>
        </w:rPr>
      </w:pPr>
      <w:r>
        <w:rPr>
          <w:rFonts w:ascii="Arial" w:cs="Arial" w:eastAsia="Arial" w:hAnsi="Arial"/>
          <w:sz w:val="16"/>
          <w:szCs w:val="16"/>
          <w:color w:val="auto"/>
        </w:rPr>
        <w:t xml:space="preserve">the Effective Date in connection with any Permitted Acquisition or any other Investment not prohibited by Section 6.04;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Indebtedness is unsecured, (ii) after giving effect to each such incurrence, issuance and/or assumption of such Indebtedness (X) on a Pro Forma Basis, at the Borrower’s option, either (1) the Total Net Leverage Ratio as of such time is less than or equal to either (x) 4.50 to 1.00 for the most recently ended Test Period or (y) the Total Net Leverage Ratio immediately prior to such Permitted Acquisition or Investment (and related incurrence and/or issuance of Indebtedness) or (2) the Interest Coverage Ratio as of such time is not less than either (x) 2.00 to 1.00 for the most recently ended Test Period or (y) the Interest Coverage Ratio immediately prior to such Permitted Acquisition or Investment (and related incurrence and/or issuance of Indebtedness), (Y) Holdings shall be in Pro Forma Compliance with the Financial Performance Covenant for the most recently ended Test Period (regardless of whether such Financial Performance Covenant is applicable at such time) and (Z) no Specified Event of Default shall exist or result therefrom, and (iii) with respect to any such newly incurred Indebtedness, the covenants, events of default and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(I) Lenders under the existing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First Lien Administrative Agent or any Lender to the extent that such covenant, event of default or guarantee is either (i)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Holdings and its Restricted Subsidiaries than the Financial Performance Covenant or other corresponding covenant hereunder and (y) only applicable to, or for the benefit of, a revolving credit facility, in each case added for the benefit of each revolving credit facility hereunder (and not for the benefit of any term loan facility hereunder)), (II) such provisions are applicable only to periods after the Latest Maturity Date at such time, or (III) such terms are otherwise reasonably satisfactory to the First Lien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First Lien Administrative Agent promptly after the incurrence of such Indebtedness, together with a reasonably detailed description of the material terms and conditions of such resulting Indebtedness or copies of the principal documentation relating thereto, stating that the Borrower has determined in good faith that such terms and conditions satisfy the foregoing requirement, shall be conclusive evidence that such terms and conditions satisfy the foregoing requirement unless the First Lien Administrative Agent notifies the Borrower within five (5) Business Days that it disagrees with such determination (including a reasonable description of the basis upon which it disagrees);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(ix)(A)(a) or (ix)(B) (solely with respect to any Permitted Refinancing of any Indebtedness incurred pursuant to clause (ix)(A)(a)) (together with the aggregate principal amount of Indebtedness of which the primary obligor or a guarantor is a Restricted Subsidiary that is not a Loan Party outstanding in reliance Sections 6.01(a)(vii), 6.01(a)(viii), 6.01(a)(xv) and 6.01(a)(xxi)) shall not exceed, at the time of incurrence thereof and after giving Pro Forma Effect thereto, the greater of (A) $17,600,000 and (B) 10% of Consolidated EBITDA for the most recently ended Test Period as of such time;</w:t>
      </w:r>
    </w:p>
    <w:p>
      <w:pPr>
        <w:spacing w:after="0" w:line="200" w:lineRule="exact"/>
        <w:rPr>
          <w:sz w:val="20"/>
          <w:szCs w:val="20"/>
          <w:color w:val="auto"/>
        </w:rPr>
      </w:pPr>
    </w:p>
    <w:p>
      <w:pPr>
        <w:spacing w:after="0" w:line="203" w:lineRule="exact"/>
        <w:rPr>
          <w:sz w:val="20"/>
          <w:szCs w:val="20"/>
          <w:color w:val="auto"/>
        </w:rPr>
      </w:pPr>
    </w:p>
    <w:p>
      <w:pPr>
        <w:jc w:val="both"/>
        <w:ind w:firstLine="915"/>
        <w:spacing w:after="0" w:line="263" w:lineRule="auto"/>
        <w:tabs>
          <w:tab w:leader="none" w:pos="160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spacing w:after="0" w:line="183" w:lineRule="exact"/>
        <w:rPr>
          <w:rFonts w:ascii="Arial" w:cs="Arial" w:eastAsia="Arial" w:hAnsi="Arial"/>
          <w:sz w:val="18"/>
          <w:szCs w:val="18"/>
          <w:color w:val="auto"/>
        </w:rPr>
      </w:pPr>
    </w:p>
    <w:p>
      <w:pPr>
        <w:ind w:left="1480" w:hanging="565"/>
        <w:spacing w:after="0"/>
        <w:tabs>
          <w:tab w:leader="none" w:pos="14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Settlement Indebtedness;</w:t>
      </w:r>
    </w:p>
    <w:p>
      <w:pPr>
        <w:spacing w:after="0" w:line="225" w:lineRule="exact"/>
        <w:rPr>
          <w:rFonts w:ascii="Arial" w:cs="Arial" w:eastAsia="Arial" w:hAnsi="Arial"/>
          <w:sz w:val="18"/>
          <w:szCs w:val="18"/>
          <w:color w:val="auto"/>
        </w:rPr>
      </w:pPr>
    </w:p>
    <w:p>
      <w:pPr>
        <w:jc w:val="both"/>
        <w:ind w:firstLine="915"/>
        <w:spacing w:after="0" w:line="286" w:lineRule="auto"/>
        <w:tabs>
          <w:tab w:leader="none" w:pos="166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Indebtedness in respect of Cash Management Obligations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21" w:right="339" w:bottom="1440" w:gutter="0" w:footer="0" w:header="0"/>
        </w:sectPr>
      </w:pPr>
    </w:p>
    <w:bookmarkStart w:id="117" w:name="page118"/>
    <w:bookmarkEnd w:id="117"/>
    <w:p>
      <w:pPr>
        <w:jc w:val="both"/>
        <w:ind w:firstLine="915"/>
        <w:spacing w:after="0" w:line="286" w:lineRule="auto"/>
        <w:tabs>
          <w:tab w:leader="none" w:pos="129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any Permitted Acquisition, any other Investment or any Disposition, in each case, permitted under this Agreement;</w:t>
      </w:r>
    </w:p>
    <w:p>
      <w:pPr>
        <w:spacing w:after="0" w:line="165" w:lineRule="exact"/>
        <w:rPr>
          <w:rFonts w:ascii="Arial" w:cs="Arial" w:eastAsia="Arial" w:hAnsi="Arial"/>
          <w:sz w:val="17"/>
          <w:szCs w:val="17"/>
          <w:color w:val="auto"/>
        </w:rPr>
      </w:pPr>
    </w:p>
    <w:p>
      <w:pPr>
        <w:jc w:val="both"/>
        <w:ind w:firstLine="915"/>
        <w:spacing w:after="0" w:line="271" w:lineRule="auto"/>
        <w:tabs>
          <w:tab w:leader="none" w:pos="128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Indebtedness of Holdings or any Restricted Subsidiary or any Person that becomes a Restricted Subsidiary after the Effective Date (or of any Person not previously a Restricted Subsidiary that is merged, amalgamated or consolidated with or into Holdings or any Restricted Subsidiary) which Indebtedness is either (A) unsecured or (B) (x) if the issuer or any guarantor of such Indebtedness is a Loan Party and such Indebtedness is secured, then such Indebtedness is secured on a junior basis to the Secured Obligations and the agent for the holders of which have entered into the First/Second Lien Intercreditor Agreement and/or Customary Intercreditor Agreement reflecting such ranking or (y) if neither the issuer of such Indebtedness nor any guarantor of such Indebtedness is a Loan Party, secured;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the incurrence thereof and after giving Pro Forma Effect thereto, the aggregate principal amount of Indebtedness outstanding in reliance on this clause (xiv) shall not exceed the greater of (A) $44,000,000 and (B) 25% of Consolidated EBITDA for the most recently ended Test Period as of such time;</w:t>
      </w:r>
    </w:p>
    <w:p>
      <w:pPr>
        <w:spacing w:after="0" w:line="178" w:lineRule="exact"/>
        <w:rPr>
          <w:rFonts w:ascii="Arial" w:cs="Arial" w:eastAsia="Arial" w:hAnsi="Arial"/>
          <w:sz w:val="17"/>
          <w:szCs w:val="17"/>
          <w:color w:val="auto"/>
        </w:rPr>
      </w:pPr>
    </w:p>
    <w:p>
      <w:pPr>
        <w:jc w:val="both"/>
        <w:ind w:firstLine="915"/>
        <w:spacing w:after="0" w:line="284" w:lineRule="auto"/>
        <w:tabs>
          <w:tab w:leader="none" w:pos="128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(A) Indebtedness of Holdings or any of the Restricted Subsidiaries or any Person that becomes a Restricted Subsidiary after the Effective Date (or of any Person not previously a Restricted Subsidiary that is merged, amalgamated or consolidated with or into Holdings or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(x) if such Indebtedness is secured by the Collateral on a </w:t>
      </w:r>
      <w:r>
        <w:rPr>
          <w:rFonts w:ascii="Arial" w:cs="Arial" w:eastAsia="Arial" w:hAnsi="Arial"/>
          <w:sz w:val="16"/>
          <w:szCs w:val="16"/>
          <w:u w:val="single" w:color="auto"/>
          <w:color w:val="auto"/>
        </w:rPr>
        <w:t>pari passu</w:t>
      </w:r>
      <w:r>
        <w:rPr>
          <w:rFonts w:ascii="Arial" w:cs="Arial" w:eastAsia="Arial" w:hAnsi="Arial"/>
          <w:sz w:val="16"/>
          <w:szCs w:val="16"/>
          <w:color w:val="auto"/>
        </w:rPr>
        <w:t xml:space="preserve"> basis with the Secured Obligations, after giving effect to the incurrence of such Indebtedness on a Pro Forma Basis, the Senior Secured First Lien Net Leverage Ratio as of such time is less than or equal to, at the Borrower’s option, either (I) to 3.50 to 1.00 for the most recently ended Test Period, or (II) the Senior Secured First Lien Net Leverage Ratio immediately prior to such Permitted Acquisition or Investment, (y) if such Indebtedness is secured on a junior basis to the Secured Obligations and the agent for such Indebtedness has become a party to the First/Second Lien Intercreditor Agreement and/or Customary Intercreditor Agreement reflecting such ranking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after giving effect to such incurrence, issuance and/or assumption of such Indebtedness on a Pro Forma Basis, at the Borrower’s option, the Senior Secured Net Leverage Ratio as of such time is less than or equal to either (I) 4.50 to 1.00 for the most recently ended Test Period or (II) the Senior Secured Net Leverage Ratio immediately prior to such Permitted Acquisition or Investment and (z) if such Indebtedness is unsecured, after giving effect to the incurrence of such Indebtedness on a Pro Forma Basis, at the Borrower’s option, either (x) the Total Net Leverage Ratio as of such time is less than or equal to (I) 4.50 to 1.00 for the most recently ended Test Period, (II) the Total Net Leverage Ratio immediately prior to such Permitted Acquisition or Investment or (y) the Interest Coverage Ratio as of such time is no less than, at the Borrower’s option, (I) 2.00 to 1.00 for the most recently ended Test Period or (II) the Interest Coverage Ratio immediately prior to such Permitted acquisition or investment and (2) the covenants, events of default and/or guarantees of such Indebtedness (excluding pricing, interest rate margins, rate floors, discounts, fees, premiums and prepayment or redemption provisions) are not materially more favorable (when taken as a whole) to the lenders or investors providing such Indebtedness than the terms and conditions of this Agreement (when taken as a whole) are to the Lenders (unless (I) Lenders under the existing Revolving Commitments also receive the benefit of such more favorable terms (together with, at the election of the Borrower, any applicable “equity cure” provisions with respect to any financial maintenance covenant) (it being understood that, to the extent that any covenant, event of default or guarantee is added or modified for the benefit of any such Indebtedness, no consent shall be required from the Administrative Agent or any Lender to the extent that such covenant, event of default or guarantee is either (i) added or modified for the benefit of any corresponding Loans remaining outstanding after the issuance or incurrence of any such Indebtedness in connection therewith or (ii) with respect to any “springing” financial maintenance covenant or other covenant that is (x) more restrictive on Holdings and its Restricted Subsidiaries than the Financial Performance Covenant or other corresponding covenant hereunder and (y) only applicable to, or for the benefit of, a revolving credit facility, in each case added for the benefit of each revolving credit facility hereunder (and not for the benefit of any term loan facility hereunder)), (II) such provisions are applicable only to periods after the Latest Maturity Date at such time, or (III) such terms are otherwise reasonably satisfactory to the Administrative Agent and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Responsible Officer of the Borrower delivered to the Administrative Agent promptly after the incurrence of such Indebtedness, together with a reasonably detailed description of the material terms and conditions of such resulting Indebtedness or copies of the principal documentation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21" w:right="339" w:bottom="1440" w:gutter="0" w:footer="0" w:header="0"/>
        </w:sectPr>
      </w:pPr>
    </w:p>
    <w:bookmarkStart w:id="118" w:name="page119"/>
    <w:bookmarkEnd w:id="118"/>
    <w:p>
      <w:pPr>
        <w:jc w:val="both"/>
        <w:spacing w:after="0" w:line="271" w:lineRule="auto"/>
        <w:rPr>
          <w:sz w:val="20"/>
          <w:szCs w:val="20"/>
          <w:color w:val="auto"/>
        </w:rPr>
      </w:pPr>
      <w:r>
        <w:rPr>
          <w:rFonts w:ascii="Arial" w:cs="Arial" w:eastAsia="Arial" w:hAnsi="Arial"/>
          <w:sz w:val="17"/>
          <w:szCs w:val="17"/>
          <w:color w:val="auto"/>
        </w:rPr>
        <w:t xml:space="preserve">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five (5) Business Days that it disagrees with such determination (including a reasonable description of the basis upon which it disagrees); and (B) any Permitted Refinancing of Indebtedness incurred pursuant to the foregoing subclause (A);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aggregate principal amount of Indebtedness of which the primary obligor or a guarantor is a Restricted Subsidiary that is not a Loan Party outstanding in reliance on this clause (xv) (together with the aggregate principal amount of Indebtedness of which the primary obligor or a guarantor is a Restricted Subsidiary that is not a Loan Party outstanding in reliance Sections 6.01(a)(vii), 6.01(a)(viii), 6.01(a)(ix) and 6.01(a)(xxi)) shall not exceed, at the time of incurrence thereof and after giving Pro Forma Effect thereto, the greater of (A) $17,600,000 and (B) 10% of Consolidated EBITDA for the most recently ended Test Period;</w:t>
      </w:r>
    </w:p>
    <w:p>
      <w:pPr>
        <w:spacing w:after="0" w:line="178" w:lineRule="exact"/>
        <w:rPr>
          <w:sz w:val="20"/>
          <w:szCs w:val="20"/>
          <w:color w:val="auto"/>
        </w:rPr>
      </w:pPr>
    </w:p>
    <w:p>
      <w:pPr>
        <w:ind w:left="1520" w:hanging="605"/>
        <w:spacing w:after="0"/>
        <w:tabs>
          <w:tab w:leader="none" w:pos="15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915"/>
        <w:spacing w:after="0" w:line="277" w:lineRule="auto"/>
        <w:tabs>
          <w:tab w:leader="none" w:pos="194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Indebtedness consisting of (A) the financing of insurance premiums or (B) take-or-pay obligations contained in supply arrangements, in each case, in the ordinary course of business;</w:t>
      </w:r>
    </w:p>
    <w:p>
      <w:pPr>
        <w:spacing w:after="0" w:line="170" w:lineRule="exact"/>
        <w:rPr>
          <w:rFonts w:ascii="Arial" w:cs="Arial" w:eastAsia="Arial" w:hAnsi="Arial"/>
          <w:sz w:val="18"/>
          <w:szCs w:val="18"/>
          <w:color w:val="auto"/>
        </w:rPr>
      </w:pPr>
    </w:p>
    <w:p>
      <w:pPr>
        <w:ind w:left="1940" w:hanging="1025"/>
        <w:spacing w:after="0"/>
        <w:tabs>
          <w:tab w:leader="none" w:pos="19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Indebtedness supported by a Letter of Credit, in a principal amount not to exceed the face amount of such Letter of Credit;</w:t>
      </w:r>
    </w:p>
    <w:p>
      <w:pPr>
        <w:spacing w:after="0" w:line="236" w:lineRule="exact"/>
        <w:rPr>
          <w:rFonts w:ascii="Arial" w:cs="Arial" w:eastAsia="Arial" w:hAnsi="Arial"/>
          <w:sz w:val="17"/>
          <w:szCs w:val="17"/>
          <w:color w:val="auto"/>
        </w:rPr>
      </w:pPr>
    </w:p>
    <w:p>
      <w:pPr>
        <w:ind w:left="1520" w:hanging="605"/>
        <w:spacing w:after="0"/>
        <w:tabs>
          <w:tab w:leader="none" w:pos="15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Permitted Unsecured Refinancing Debt, and any Permitted Refinancing thereof;</w:t>
      </w:r>
    </w:p>
    <w:p>
      <w:pPr>
        <w:spacing w:after="0" w:line="225" w:lineRule="exact"/>
        <w:rPr>
          <w:rFonts w:ascii="Arial" w:cs="Arial" w:eastAsia="Arial" w:hAnsi="Arial"/>
          <w:sz w:val="18"/>
          <w:szCs w:val="18"/>
          <w:color w:val="auto"/>
        </w:rPr>
      </w:pPr>
    </w:p>
    <w:p>
      <w:pPr>
        <w:ind w:left="1560" w:hanging="645"/>
        <w:spacing w:after="0"/>
        <w:tabs>
          <w:tab w:leader="none" w:pos="15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Permitted First Priority Refinancing Debt and Permitted Second Priority Refinancing Debt, and any Permitted Refinancing of any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foregoing;</w:t>
      </w:r>
    </w:p>
    <w:p>
      <w:pPr>
        <w:spacing w:after="0" w:line="210" w:lineRule="exact"/>
        <w:rPr>
          <w:rFonts w:ascii="Arial" w:cs="Arial" w:eastAsia="Arial" w:hAnsi="Arial"/>
          <w:sz w:val="16"/>
          <w:szCs w:val="16"/>
          <w:color w:val="auto"/>
        </w:rPr>
      </w:pPr>
    </w:p>
    <w:p>
      <w:pPr>
        <w:jc w:val="both"/>
        <w:ind w:firstLine="915"/>
        <w:spacing w:after="0" w:line="268" w:lineRule="auto"/>
        <w:tabs>
          <w:tab w:leader="none" w:pos="154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(A) Indebtedness of Holdings or any Subsidiary Loan Party issued in lieu of First Lien Incremental Facilities consisting of (i) one or more series of secured or unsecured loans, bonds, notes or debentures (which loans, bonds, notes or debentures, if secured, may be secured either by Liens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with the Liens on the Collateral securing the Secured Obligations or by Liens having a junior priority relative to the Liens on the Collateral securing the Secured Obligations) (and any Registered Equivalent Notes issued in exchange therefor) or (ii) one or more series of secured or unsecured loans, bonds, notes or debentures (which loans, bonds, notes or debentures, if secured, may be secured by Liens having a junior priority relative to the Liens on the Collateral securing the Secured Obligations) (the “</w:t>
      </w:r>
      <w:r>
        <w:rPr>
          <w:rFonts w:ascii="Arial" w:cs="Arial" w:eastAsia="Arial" w:hAnsi="Arial"/>
          <w:sz w:val="17"/>
          <w:szCs w:val="17"/>
          <w:u w:val="single" w:color="auto"/>
          <w:color w:val="auto"/>
        </w:rPr>
        <w:t>Incremental Equivalent Debt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aggregate principal amount of all such Indebtedness incurred pursuant to this clause shall not exceed, at the time of incurrence, the Incremental Cap at such time and (y) such Indebtedness complies with the provisions of the Required Additional Debt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clause (e) of the definition of “Required Additional Debt Terms” shall not apply to such Incremental Equivalent Debt) and (B) any Permitted Refinancing of Indebtedness incurred pursuant to the foregoing subclause (A); provided further that the aggregate principal amount of Indebtedness of which the primary obligor or a guarantor is a Restricted Subsidiary that is not a Loan Party outstanding in reliance on this clause (xxi) (together with the aggregate principal amount of Indebtedness incurred in reliance on Sections 6.01(a)(vii), 6.01(a)(viii), 6.01(a)(ix) and 6.01(a)(xv) and outstanding of which the primary obligor or a guarantor is a Restricted Subsidiary that is not a Loan Party) shall not exceed, at the time of incurrence thereof and after giving Pro Forma Effect thereto, the greater of (A) $17,600,000 and (B) 10% of Consolidated EBITDA for the most recently ended Test Period;</w:t>
      </w:r>
    </w:p>
    <w:p>
      <w:pPr>
        <w:spacing w:after="0" w:line="184" w:lineRule="exact"/>
        <w:rPr>
          <w:rFonts w:ascii="Arial" w:cs="Arial" w:eastAsia="Arial" w:hAnsi="Arial"/>
          <w:sz w:val="17"/>
          <w:szCs w:val="17"/>
          <w:color w:val="auto"/>
        </w:rPr>
      </w:pPr>
    </w:p>
    <w:p>
      <w:pPr>
        <w:jc w:val="both"/>
        <w:ind w:firstLine="915"/>
        <w:spacing w:after="0" w:line="259" w:lineRule="auto"/>
        <w:tabs>
          <w:tab w:leader="none" w:pos="194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Indebtedness of any Restricted Subsidiary that is not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Indebtedness of which the primary obligor or a guarantor is a Restricted Subsidiary that is not a Loan Party outstanding in reliance on this clause (xxii) shall not exceed, at the time of incurrence thereof and after giving Pro Forma Effect thereto, the greater of (A) $17,600,000 and (B) 10% of Consolidated EBITDA for the most recently ended Test Period as of such time;</w:t>
      </w:r>
    </w:p>
    <w:p>
      <w:pPr>
        <w:spacing w:after="0" w:line="186" w:lineRule="exact"/>
        <w:rPr>
          <w:rFonts w:ascii="Arial" w:cs="Arial" w:eastAsia="Arial" w:hAnsi="Arial"/>
          <w:sz w:val="18"/>
          <w:szCs w:val="18"/>
          <w:color w:val="auto"/>
        </w:rPr>
      </w:pPr>
    </w:p>
    <w:p>
      <w:pPr>
        <w:jc w:val="both"/>
        <w:ind w:right="20" w:firstLine="915"/>
        <w:spacing w:after="0" w:line="263" w:lineRule="auto"/>
        <w:tabs>
          <w:tab w:leader="none" w:pos="193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Indebtedness incurred by Holdings or any Restricted Subsidiary in respect of letters of credit, bank guarantees, warehouse receipts, bankers’ acceptances or similar instruments issued or created in the ordinary course of business or consistent with past practice, including in respect of workers compensation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21" w:right="339" w:bottom="1440" w:gutter="0" w:footer="0" w:header="0"/>
        </w:sectPr>
      </w:pPr>
    </w:p>
    <w:bookmarkStart w:id="119" w:name="page120"/>
    <w:bookmarkEnd w:id="119"/>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health, disability or other employee benefits or property, casualty or liability insurance or self-insurance or other reimbursement-type obligations regarding workers compensation claims;</w:t>
      </w:r>
    </w:p>
    <w:p>
      <w:pPr>
        <w:spacing w:after="0" w:line="170" w:lineRule="exact"/>
        <w:rPr>
          <w:sz w:val="20"/>
          <w:szCs w:val="20"/>
          <w:color w:val="auto"/>
        </w:rPr>
      </w:pPr>
    </w:p>
    <w:p>
      <w:pPr>
        <w:jc w:val="both"/>
        <w:ind w:firstLine="915"/>
        <w:spacing w:after="0" w:line="311" w:lineRule="auto"/>
        <w:tabs>
          <w:tab w:leader="none" w:pos="1941"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Indebtedness and obligations in respect of self-insurance and obligations in respect of performance, bid, appeal and surety bonds and performance and completion guarantees and similar obligations provided by Holdings or any Restricted Subsidiary or obligations in respect of letters of credit, bank guarantees or similar instruments related thereto, in each case, in the ordinary course of business or consistent with past practice;</w:t>
      </w:r>
    </w:p>
    <w:p>
      <w:pPr>
        <w:spacing w:after="0" w:line="148" w:lineRule="exact"/>
        <w:rPr>
          <w:rFonts w:ascii="Arial" w:cs="Arial" w:eastAsia="Arial" w:hAnsi="Arial"/>
          <w:sz w:val="16"/>
          <w:szCs w:val="16"/>
          <w:color w:val="auto"/>
        </w:rPr>
      </w:pPr>
    </w:p>
    <w:p>
      <w:pPr>
        <w:ind w:firstLine="915"/>
        <w:spacing w:after="0" w:line="342" w:lineRule="auto"/>
        <w:tabs>
          <w:tab w:leader="none" w:pos="1931"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Indebtedness representing deferred compensation or stock-based compensation owed to employees, consultants or independent contractors of Holdings, the Borrower or the Restricted Subsidiaries incurred in the ordinary course of business or consistent with past practice;</w:t>
      </w:r>
    </w:p>
    <w:p>
      <w:pPr>
        <w:spacing w:after="0" w:line="123" w:lineRule="exact"/>
        <w:rPr>
          <w:rFonts w:ascii="Arial" w:cs="Arial" w:eastAsia="Arial" w:hAnsi="Arial"/>
          <w:sz w:val="16"/>
          <w:szCs w:val="16"/>
          <w:color w:val="auto"/>
        </w:rPr>
      </w:pPr>
    </w:p>
    <w:p>
      <w:pPr>
        <w:jc w:val="both"/>
        <w:ind w:firstLine="915"/>
        <w:spacing w:after="0" w:line="259" w:lineRule="auto"/>
        <w:tabs>
          <w:tab w:leader="none" w:pos="194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Indebtedness consisting of unsecured promissory notes issued by Holdings or any Restricted Subsidiary to future, current or former officers, directors, employees, managers and consultants or their respective estates, spouses or former spouses, successors, executors, administrators, heirs, legatees or distributees, in each case to finance the purchase or redemption of Equity Interests of Holdings (or any direct or indirect parent thereof) to the extent permitted by Section 6.07(a);</w:t>
      </w:r>
    </w:p>
    <w:p>
      <w:pPr>
        <w:spacing w:after="0" w:line="186" w:lineRule="exact"/>
        <w:rPr>
          <w:rFonts w:ascii="Arial" w:cs="Arial" w:eastAsia="Arial" w:hAnsi="Arial"/>
          <w:sz w:val="18"/>
          <w:szCs w:val="18"/>
          <w:color w:val="auto"/>
        </w:rPr>
      </w:pPr>
    </w:p>
    <w:p>
      <w:pPr>
        <w:jc w:val="both"/>
        <w:ind w:firstLine="915"/>
        <w:spacing w:after="0" w:line="286" w:lineRule="auto"/>
        <w:tabs>
          <w:tab w:leader="none" w:pos="1937"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Indebtedness incurred in connection with a Qualified Securitization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incurrence thereof and after giving Pro Forma Effect thereto, the aggregate amount of obligations secured by all Indebtedness incurred in reliance on this clause (xxvii) shall not exceed the greater of (A) $26,400,000 and (B) 15% of Consolidated EBITDA for the most recently ended Test Period;</w:t>
      </w:r>
    </w:p>
    <w:p>
      <w:pPr>
        <w:spacing w:after="0" w:line="165" w:lineRule="exact"/>
        <w:rPr>
          <w:rFonts w:ascii="Arial" w:cs="Arial" w:eastAsia="Arial" w:hAnsi="Arial"/>
          <w:sz w:val="17"/>
          <w:szCs w:val="17"/>
          <w:color w:val="auto"/>
        </w:rPr>
      </w:pPr>
    </w:p>
    <w:p>
      <w:pPr>
        <w:jc w:val="both"/>
        <w:ind w:firstLine="899"/>
        <w:spacing w:after="0" w:line="263" w:lineRule="auto"/>
        <w:tabs>
          <w:tab w:leader="none" w:pos="19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other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incurrence thereof and after giving Pro Forma Effect thereto, the aggregate amount of all Indebtedness incurred in reliance on this clause (xxviii) shall not exceed the greater of (A) $52,800,000 and (B) 30% of Consolidated EBITDA for the most recently ended Test Period; and</w:t>
      </w:r>
    </w:p>
    <w:p>
      <w:pPr>
        <w:spacing w:after="0" w:line="183" w:lineRule="exact"/>
        <w:rPr>
          <w:rFonts w:ascii="Arial" w:cs="Arial" w:eastAsia="Arial" w:hAnsi="Arial"/>
          <w:sz w:val="18"/>
          <w:szCs w:val="18"/>
          <w:color w:val="auto"/>
        </w:rPr>
      </w:pPr>
    </w:p>
    <w:p>
      <w:pPr>
        <w:ind w:firstLine="915"/>
        <w:spacing w:after="0" w:line="277" w:lineRule="auto"/>
        <w:tabs>
          <w:tab w:leader="none" w:pos="194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(i) through (xxix) above.</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938" w:val="left"/>
        </w:tabs>
        <w:numPr>
          <w:ilvl w:val="2"/>
          <w:numId w:val="128"/>
        </w:numPr>
        <w:rPr>
          <w:rFonts w:ascii="Arial" w:cs="Arial" w:eastAsia="Arial" w:hAnsi="Arial"/>
          <w:sz w:val="18"/>
          <w:szCs w:val="18"/>
          <w:color w:val="auto"/>
        </w:rPr>
      </w:pPr>
      <w:r>
        <w:rPr>
          <w:rFonts w:ascii="Arial" w:cs="Arial" w:eastAsia="Arial" w:hAnsi="Arial"/>
          <w:sz w:val="18"/>
          <w:szCs w:val="18"/>
          <w:color w:val="auto"/>
        </w:rPr>
        <w:t xml:space="preserve">Holdings will not, and will not permit any Restricted Subsidiary to, issue any preferred Equity Interests or any Disqualified Equity Interests, except (A) in the case of Holdings, preferred Equity Interests that are Qualified Equity Interests and (B) (x) preferred Equity Interests issued to and held by Holdings, the Borrower or any Restricted Subsidiary and (y) other preferred Equity Interests issued to and held by joint venture partners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this clause (y) any such issuance of preferred Equity Interests shall be deemed to be incurred Indebtedness and subject to the provisions set forth in Section 6.01(a) and (b).</w:t>
      </w:r>
    </w:p>
    <w:p>
      <w:pPr>
        <w:spacing w:after="0" w:line="188" w:lineRule="exact"/>
        <w:rPr>
          <w:sz w:val="20"/>
          <w:szCs w:val="20"/>
          <w:color w:val="auto"/>
        </w:rPr>
      </w:pPr>
    </w:p>
    <w:p>
      <w:pPr>
        <w:jc w:val="both"/>
        <w:ind w:firstLine="1276"/>
        <w:spacing w:after="0" w:line="275" w:lineRule="auto"/>
        <w:rPr>
          <w:sz w:val="20"/>
          <w:szCs w:val="20"/>
          <w:color w:val="auto"/>
        </w:rPr>
      </w:pPr>
      <w:r>
        <w:rPr>
          <w:rFonts w:ascii="Arial" w:cs="Arial" w:eastAsia="Arial" w:hAnsi="Arial"/>
          <w:sz w:val="17"/>
          <w:szCs w:val="17"/>
          <w:color w:val="auto"/>
        </w:rPr>
        <w:t>For purposes of determining compliance with this Section 6.01, (i) in the event that an item of Indebtedness (or any portion thereof) meets the criteria of more than one of the categories of Indebtedness described in clauses (a)(i) through (a)(xxx) above, the Borrower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provided that all Indebtedness outstanding under the Loan Documents will be deemed to have been incurred in reliance only on the exception in clause (a)(i).</w:t>
      </w:r>
    </w:p>
    <w:p>
      <w:pPr>
        <w:spacing w:after="0" w:line="17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color w:val="auto"/>
        </w:rPr>
        <w:t>Liens.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Holdings will not, and will not permit any Restricted Subsidiary to, create, incur, assume or permit to exist any Lien on any property or asset now owned (but not leased) or hereafter acquired (but not leased) by it, except:</w:t>
      </w:r>
    </w:p>
    <w:p>
      <w:pPr>
        <w:spacing w:after="0" w:line="170" w:lineRule="exact"/>
        <w:rPr>
          <w:sz w:val="20"/>
          <w:szCs w:val="20"/>
          <w:color w:val="auto"/>
        </w:rPr>
      </w:pPr>
    </w:p>
    <w:p>
      <w:pPr>
        <w:ind w:left="1520" w:hanging="605"/>
        <w:spacing w:after="0"/>
        <w:tabs>
          <w:tab w:leader="none" w:pos="15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created under the First Lien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20" w:name="page121"/>
    <w:bookmarkEnd w:id="120"/>
    <w:p>
      <w:pPr>
        <w:ind w:left="1520" w:hanging="605"/>
        <w:spacing w:after="0"/>
        <w:tabs>
          <w:tab w:leader="none" w:pos="15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25" w:lineRule="exact"/>
        <w:rPr>
          <w:rFonts w:ascii="Arial" w:cs="Arial" w:eastAsia="Arial" w:hAnsi="Arial"/>
          <w:sz w:val="18"/>
          <w:szCs w:val="18"/>
          <w:color w:val="auto"/>
        </w:rPr>
      </w:pPr>
    </w:p>
    <w:p>
      <w:pPr>
        <w:jc w:val="both"/>
        <w:ind w:firstLine="915"/>
        <w:spacing w:after="0" w:line="257" w:lineRule="auto"/>
        <w:tabs>
          <w:tab w:leader="none" w:pos="162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Liens existing on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 securing Indebtedness or other obligations in excess of $1,000,000 individually shall only be permitted if set forth on Schedule 6.02 (unless such Lien is permitted by another clause in this Section 6.02) and any modifications, replacements, renewals or extensions thereof;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modified, replacement, renewal or extension Lien does not extend to any additional property other than (1) after-acquired property that is affixed or incorporated into the property covered by such Lien or financed by Indebtedness permitted under Section 6.01 and (2) proceeds and products thereof;</w:t>
      </w:r>
    </w:p>
    <w:p>
      <w:pPr>
        <w:spacing w:after="0" w:line="187" w:lineRule="exact"/>
        <w:rPr>
          <w:rFonts w:ascii="Arial" w:cs="Arial" w:eastAsia="Arial" w:hAnsi="Arial"/>
          <w:sz w:val="18"/>
          <w:szCs w:val="18"/>
          <w:color w:val="auto"/>
        </w:rPr>
      </w:pPr>
    </w:p>
    <w:p>
      <w:pPr>
        <w:jc w:val="both"/>
        <w:ind w:firstLine="915"/>
        <w:spacing w:after="0" w:line="254" w:lineRule="auto"/>
        <w:tabs>
          <w:tab w:leader="none" w:pos="154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Section 6.01(a)(v);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replacements, additions, accessions and improvements to such property and the proceeds and the products thereof, and any lease of such property (including accessions thereto) and the proceeds and products thereof and customary security deposits and (C) with respect to Capital Lease Obligations, such Liens do not at any time extend to or cover any assets (except for replacements, additions, accessions and improvements to or proceeds of such assets) other than the assets subject to such Capital Lease Obligations;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individual financings of equipment provided by one lender may be cross collateralized to other financings of equipment provided by such lender;</w:t>
      </w:r>
    </w:p>
    <w:p>
      <w:pPr>
        <w:spacing w:after="0" w:line="191" w:lineRule="exact"/>
        <w:rPr>
          <w:rFonts w:ascii="Arial" w:cs="Arial" w:eastAsia="Arial" w:hAnsi="Arial"/>
          <w:sz w:val="18"/>
          <w:szCs w:val="18"/>
          <w:color w:val="auto"/>
        </w:rPr>
      </w:pPr>
    </w:p>
    <w:p>
      <w:pPr>
        <w:jc w:val="both"/>
        <w:ind w:firstLine="915"/>
        <w:spacing w:after="0" w:line="279" w:lineRule="auto"/>
        <w:tabs>
          <w:tab w:leader="none" w:pos="151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(i) easements, leases, licenses, subleases or sublicenses granted to others (including licenses and sublicenses of Intellectual Property) that do not (A) interfere in any material respect with the business of the Holdings and the Restricted Subsidiaries, taken as a whole, or (B) secure any Indebtedness and (ii) any interest or title of a lessor, sublessor or licensee under any lease, sublease (including financing statements regarding property subject to lease) or license entered into by Holdings or any Restricted Subsidiary not in violation of this Agreement;</w:t>
      </w:r>
    </w:p>
    <w:p>
      <w:pPr>
        <w:spacing w:after="0" w:line="171" w:lineRule="exact"/>
        <w:rPr>
          <w:rFonts w:ascii="Arial" w:cs="Arial" w:eastAsia="Arial" w:hAnsi="Arial"/>
          <w:sz w:val="17"/>
          <w:szCs w:val="17"/>
          <w:color w:val="auto"/>
        </w:rPr>
      </w:pPr>
    </w:p>
    <w:p>
      <w:pPr>
        <w:ind w:right="20" w:firstLine="915"/>
        <w:spacing w:after="0" w:line="277" w:lineRule="auto"/>
        <w:tabs>
          <w:tab w:leader="none" w:pos="155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jc w:val="both"/>
        <w:ind w:firstLine="915"/>
        <w:spacing w:after="0" w:line="301" w:lineRule="auto"/>
        <w:tabs>
          <w:tab w:leader="none" w:pos="165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 in favor of a banking or other financial institution or entity, or electronic payment service provider, arising as a matter of law encumbering deposits (including the right of setoff) and that are within the general parameters customary in the banking or finance industry;</w:t>
      </w:r>
    </w:p>
    <w:p>
      <w:pPr>
        <w:spacing w:after="0" w:line="157" w:lineRule="exact"/>
        <w:rPr>
          <w:rFonts w:ascii="Arial" w:cs="Arial" w:eastAsia="Arial" w:hAnsi="Arial"/>
          <w:sz w:val="16"/>
          <w:szCs w:val="16"/>
          <w:color w:val="auto"/>
        </w:rPr>
      </w:pPr>
    </w:p>
    <w:p>
      <w:pPr>
        <w:jc w:val="both"/>
        <w:ind w:firstLine="915"/>
        <w:spacing w:after="0" w:line="275" w:lineRule="auto"/>
        <w:tabs>
          <w:tab w:leader="none" w:pos="1636" w:val="left"/>
        </w:tabs>
        <w:numPr>
          <w:ilvl w:val="1"/>
          <w:numId w:val="130"/>
        </w:numPr>
        <w:rPr>
          <w:rFonts w:ascii="Arial" w:cs="Arial" w:eastAsia="Arial" w:hAnsi="Arial"/>
          <w:sz w:val="17"/>
          <w:szCs w:val="17"/>
          <w:color w:val="auto"/>
        </w:rPr>
      </w:pPr>
      <w:r>
        <w:rPr>
          <w:rFonts w:ascii="Arial" w:cs="Arial" w:eastAsia="Arial" w:hAnsi="Arial"/>
          <w:sz w:val="17"/>
          <w:szCs w:val="17"/>
          <w:color w:val="auto"/>
        </w:rPr>
        <w:t>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176" w:lineRule="exact"/>
        <w:rPr>
          <w:rFonts w:ascii="Arial" w:cs="Arial" w:eastAsia="Arial" w:hAnsi="Arial"/>
          <w:sz w:val="17"/>
          <w:szCs w:val="17"/>
          <w:color w:val="auto"/>
        </w:rPr>
      </w:pPr>
    </w:p>
    <w:p>
      <w:pPr>
        <w:jc w:val="both"/>
        <w:ind w:firstLine="915"/>
        <w:spacing w:after="0" w:line="287" w:lineRule="auto"/>
        <w:tabs>
          <w:tab w:leader="none" w:pos="156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Liens on property or other assets of any Restricted Subsidiary that is not a Loan Party, which Liens secure Indebtedness of such Restricted Subsidiary or another Restricted Subsidiary that is not a Loan Party, in each case permitted under Section 6.01(a),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the granting thereof and after giving Pro Forma Effect thereto, the aggregate amount of obligations secured by all Liens incurred in reliance on this clause</w:t>
      </w:r>
    </w:p>
    <w:p>
      <w:pPr>
        <w:spacing w:after="0" w:line="2" w:lineRule="exact"/>
        <w:rPr>
          <w:rFonts w:ascii="Arial" w:cs="Arial" w:eastAsia="Arial" w:hAnsi="Arial"/>
          <w:sz w:val="16"/>
          <w:szCs w:val="16"/>
          <w:color w:val="auto"/>
        </w:rPr>
      </w:pPr>
    </w:p>
    <w:p>
      <w:pPr>
        <w:jc w:val="both"/>
        <w:ind w:firstLine="8"/>
        <w:spacing w:after="0" w:line="255" w:lineRule="auto"/>
        <w:tabs>
          <w:tab w:leader="none" w:pos="31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shall not exceed the greater of (A) $17,600,000 and (B) 10% of Consolidated EBITDA for the most recently ended Test Period (provided that, with respect to any such obligation, the amount of such obligation shall be the lesser of (x) the outstanding face amount of such obligation and (y) the fair market value of the assets securing such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21" w:right="339" w:bottom="1440" w:gutter="0" w:footer="0" w:header="0"/>
        </w:sectPr>
      </w:pPr>
    </w:p>
    <w:bookmarkStart w:id="121" w:name="page122"/>
    <w:bookmarkEnd w:id="121"/>
    <w:p>
      <w:pPr>
        <w:ind w:firstLine="915"/>
        <w:spacing w:after="0" w:line="277" w:lineRule="auto"/>
        <w:tabs>
          <w:tab w:leader="none" w:pos="156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Liens granted by a Restricted Subsidiary that is not a Loan Party in favor of any Restricted Subsidiary and Liens granted by a Loan Party in favor of any other Loan Party;</w:t>
      </w:r>
    </w:p>
    <w:p>
      <w:pPr>
        <w:spacing w:after="0" w:line="170" w:lineRule="exact"/>
        <w:rPr>
          <w:rFonts w:ascii="Arial" w:cs="Arial" w:eastAsia="Arial" w:hAnsi="Arial"/>
          <w:sz w:val="18"/>
          <w:szCs w:val="18"/>
          <w:color w:val="auto"/>
        </w:rPr>
      </w:pPr>
    </w:p>
    <w:p>
      <w:pPr>
        <w:jc w:val="both"/>
        <w:ind w:firstLine="915"/>
        <w:spacing w:after="0" w:line="254" w:lineRule="auto"/>
        <w:tabs>
          <w:tab w:leader="none" w:pos="154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Liens existing on property or other assets at the time of its acquisition or existing on the property or other assets of any Person at the time such Person becomes a Restricted Subsidiary, in each case after the Effective Date and any modifications, replacements,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 was not created in contemplation of such acquisition or such Person becoming a Restricted Subsidiary and (B) such Lien does not extend to or cover any other assets or property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w:t>
      </w:r>
    </w:p>
    <w:p>
      <w:pPr>
        <w:spacing w:after="0" w:line="191" w:lineRule="exact"/>
        <w:rPr>
          <w:rFonts w:ascii="Arial" w:cs="Arial" w:eastAsia="Arial" w:hAnsi="Arial"/>
          <w:sz w:val="18"/>
          <w:szCs w:val="18"/>
          <w:color w:val="auto"/>
        </w:rPr>
      </w:pPr>
    </w:p>
    <w:p>
      <w:pPr>
        <w:jc w:val="both"/>
        <w:ind w:firstLine="915"/>
        <w:spacing w:after="0" w:line="263" w:lineRule="auto"/>
        <w:tabs>
          <w:tab w:leader="none" w:pos="164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Liens on cash, Permitted Investments or other marketable securities securing Letters of Credit of any Loan Party that are cash collateralized on the Effective Date in an amount of cash, Permitted Investments or other marketable securities with a Fair Market Value of up to 105% of the face amount of such Letters of Credit being secured;</w:t>
      </w:r>
    </w:p>
    <w:p>
      <w:pPr>
        <w:spacing w:after="0" w:line="183" w:lineRule="exact"/>
        <w:rPr>
          <w:rFonts w:ascii="Arial" w:cs="Arial" w:eastAsia="Arial" w:hAnsi="Arial"/>
          <w:sz w:val="18"/>
          <w:szCs w:val="18"/>
          <w:color w:val="auto"/>
        </w:rPr>
      </w:pPr>
    </w:p>
    <w:p>
      <w:pPr>
        <w:ind w:firstLine="915"/>
        <w:spacing w:after="0" w:line="277" w:lineRule="auto"/>
        <w:tabs>
          <w:tab w:leader="none" w:pos="161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or purchase of goods by any of Holdings or any Restricted Subsidiary in the ordinary course of business;</w:t>
      </w:r>
    </w:p>
    <w:p>
      <w:pPr>
        <w:spacing w:after="0" w:line="170" w:lineRule="exact"/>
        <w:rPr>
          <w:rFonts w:ascii="Arial" w:cs="Arial" w:eastAsia="Arial" w:hAnsi="Arial"/>
          <w:sz w:val="18"/>
          <w:szCs w:val="18"/>
          <w:color w:val="auto"/>
        </w:rPr>
      </w:pPr>
    </w:p>
    <w:p>
      <w:pPr>
        <w:ind w:firstLine="915"/>
        <w:spacing w:after="0" w:line="277" w:lineRule="auto"/>
        <w:tabs>
          <w:tab w:leader="none" w:pos="166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Liens deemed to exist in connection with Investments in repurchase agreements under clause (e) of the definition of the term “Permitted Investments”;</w:t>
      </w:r>
    </w:p>
    <w:p>
      <w:pPr>
        <w:spacing w:after="0" w:line="170" w:lineRule="exact"/>
        <w:rPr>
          <w:rFonts w:ascii="Arial" w:cs="Arial" w:eastAsia="Arial" w:hAnsi="Arial"/>
          <w:sz w:val="18"/>
          <w:szCs w:val="18"/>
          <w:color w:val="auto"/>
        </w:rPr>
      </w:pPr>
    </w:p>
    <w:p>
      <w:pPr>
        <w:ind w:firstLine="915"/>
        <w:spacing w:after="0" w:line="277" w:lineRule="auto"/>
        <w:tabs>
          <w:tab w:leader="none" w:pos="164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70" w:lineRule="exact"/>
        <w:rPr>
          <w:rFonts w:ascii="Arial" w:cs="Arial" w:eastAsia="Arial" w:hAnsi="Arial"/>
          <w:sz w:val="18"/>
          <w:szCs w:val="18"/>
          <w:color w:val="auto"/>
        </w:rPr>
      </w:pPr>
    </w:p>
    <w:p>
      <w:pPr>
        <w:jc w:val="both"/>
        <w:ind w:firstLine="915"/>
        <w:spacing w:after="0" w:line="259" w:lineRule="auto"/>
        <w:tabs>
          <w:tab w:leader="none" w:pos="15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Holdings and the Restricted Subsidiaries or (C) relating to purchase orders and other agreements entered into with customers of Holdings or any Restricted Subsidiary in the ordinary course of business;</w:t>
      </w:r>
    </w:p>
    <w:p>
      <w:pPr>
        <w:spacing w:after="0" w:line="186" w:lineRule="exact"/>
        <w:rPr>
          <w:rFonts w:ascii="Arial" w:cs="Arial" w:eastAsia="Arial" w:hAnsi="Arial"/>
          <w:sz w:val="18"/>
          <w:szCs w:val="18"/>
          <w:color w:val="auto"/>
        </w:rPr>
      </w:pPr>
    </w:p>
    <w:p>
      <w:pPr>
        <w:ind w:left="1940" w:hanging="1025"/>
        <w:spacing w:after="0"/>
        <w:tabs>
          <w:tab w:leader="none" w:pos="19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Holdings or any of the Restricted Subsidiaries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are located;</w:t>
      </w:r>
    </w:p>
    <w:p>
      <w:pPr>
        <w:spacing w:after="0" w:line="210" w:lineRule="exact"/>
        <w:rPr>
          <w:rFonts w:ascii="Arial" w:cs="Arial" w:eastAsia="Arial" w:hAnsi="Arial"/>
          <w:sz w:val="16"/>
          <w:szCs w:val="16"/>
          <w:color w:val="auto"/>
        </w:rPr>
      </w:pPr>
    </w:p>
    <w:p>
      <w:pPr>
        <w:ind w:left="1940" w:hanging="1025"/>
        <w:spacing w:after="0"/>
        <w:tabs>
          <w:tab w:leader="none" w:pos="19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225" w:lineRule="exact"/>
        <w:rPr>
          <w:rFonts w:ascii="Arial" w:cs="Arial" w:eastAsia="Arial" w:hAnsi="Arial"/>
          <w:sz w:val="18"/>
          <w:szCs w:val="18"/>
          <w:color w:val="auto"/>
        </w:rPr>
      </w:pPr>
    </w:p>
    <w:p>
      <w:pPr>
        <w:ind w:left="1520" w:hanging="605"/>
        <w:spacing w:after="0"/>
        <w:tabs>
          <w:tab w:leader="none" w:pos="15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Liens securing Indebtedness permitted under Section 6.01(a)(xxi) or 6.01(a)(xxiii);</w:t>
      </w:r>
    </w:p>
    <w:p>
      <w:pPr>
        <w:spacing w:after="0" w:line="225" w:lineRule="exact"/>
        <w:rPr>
          <w:rFonts w:ascii="Arial" w:cs="Arial" w:eastAsia="Arial" w:hAnsi="Arial"/>
          <w:sz w:val="18"/>
          <w:szCs w:val="18"/>
          <w:color w:val="auto"/>
        </w:rPr>
      </w:pPr>
    </w:p>
    <w:p>
      <w:pPr>
        <w:ind w:left="1520" w:hanging="605"/>
        <w:spacing w:after="0"/>
        <w:tabs>
          <w:tab w:leader="none" w:pos="15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Liens securing Indebtedness on real property other than Material Real Property (except as required by this Agreement);</w:t>
      </w:r>
    </w:p>
    <w:p>
      <w:pPr>
        <w:spacing w:after="0" w:line="225" w:lineRule="exact"/>
        <w:rPr>
          <w:rFonts w:ascii="Arial" w:cs="Arial" w:eastAsia="Arial" w:hAnsi="Arial"/>
          <w:sz w:val="18"/>
          <w:szCs w:val="18"/>
          <w:color w:val="auto"/>
        </w:rPr>
      </w:pPr>
    </w:p>
    <w:p>
      <w:pPr>
        <w:ind w:left="1520" w:hanging="605"/>
        <w:spacing w:after="0"/>
        <w:tabs>
          <w:tab w:leader="none" w:pos="15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Settlement Liens;</w:t>
      </w:r>
    </w:p>
    <w:p>
      <w:pPr>
        <w:spacing w:after="0" w:line="225" w:lineRule="exact"/>
        <w:rPr>
          <w:rFonts w:ascii="Arial" w:cs="Arial" w:eastAsia="Arial" w:hAnsi="Arial"/>
          <w:sz w:val="18"/>
          <w:szCs w:val="18"/>
          <w:color w:val="auto"/>
        </w:rPr>
      </w:pPr>
    </w:p>
    <w:p>
      <w:pPr>
        <w:ind w:firstLine="915"/>
        <w:spacing w:after="0" w:line="277" w:lineRule="auto"/>
        <w:tabs>
          <w:tab w:leader="none" w:pos="194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Liens securing Indebtedness permitted under Section 6.01(a)(vii), (viii), (xv) or (xviii) (provided any such Liens on Collateral shall be subject to First/Second Lien Intercreditor Agreement and/or Customary Intercreditor Agreement);</w:t>
      </w:r>
    </w:p>
    <w:p>
      <w:pPr>
        <w:spacing w:after="0" w:line="170" w:lineRule="exact"/>
        <w:rPr>
          <w:rFonts w:ascii="Arial" w:cs="Arial" w:eastAsia="Arial" w:hAnsi="Arial"/>
          <w:sz w:val="18"/>
          <w:szCs w:val="18"/>
          <w:color w:val="auto"/>
        </w:rPr>
      </w:pPr>
    </w:p>
    <w:p>
      <w:pPr>
        <w:ind w:left="1940" w:hanging="1025"/>
        <w:spacing w:after="0"/>
        <w:tabs>
          <w:tab w:leader="none" w:pos="19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21" w:right="339" w:bottom="1440" w:gutter="0" w:footer="0" w:header="0"/>
        </w:sectPr>
      </w:pPr>
    </w:p>
    <w:bookmarkStart w:id="122" w:name="page123"/>
    <w:bookmarkEnd w:id="122"/>
    <w:p>
      <w:pPr>
        <w:ind w:left="1940" w:hanging="1025"/>
        <w:spacing w:after="0"/>
        <w:tabs>
          <w:tab w:leader="none" w:pos="19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Liens on cash and Permitted Investments used to satisfy or discharge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satisfaction or discharge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hereunder;</w:t>
      </w:r>
    </w:p>
    <w:p>
      <w:pPr>
        <w:spacing w:after="0" w:line="210" w:lineRule="exact"/>
        <w:rPr>
          <w:rFonts w:ascii="Arial" w:cs="Arial" w:eastAsia="Arial" w:hAnsi="Arial"/>
          <w:sz w:val="16"/>
          <w:szCs w:val="16"/>
          <w:color w:val="auto"/>
        </w:rPr>
      </w:pPr>
    </w:p>
    <w:p>
      <w:pPr>
        <w:ind w:firstLine="915"/>
        <w:spacing w:after="0" w:line="277" w:lineRule="auto"/>
        <w:tabs>
          <w:tab w:leader="none" w:pos="193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Receipt of progress payments and advances from customers in the ordinary course of business to the extent the same creates a Lien on the related inventory and proceeds thereof;</w:t>
      </w:r>
    </w:p>
    <w:p>
      <w:pPr>
        <w:spacing w:after="0" w:line="170" w:lineRule="exact"/>
        <w:rPr>
          <w:rFonts w:ascii="Arial" w:cs="Arial" w:eastAsia="Arial" w:hAnsi="Arial"/>
          <w:sz w:val="18"/>
          <w:szCs w:val="18"/>
          <w:color w:val="auto"/>
        </w:rPr>
      </w:pPr>
    </w:p>
    <w:p>
      <w:pPr>
        <w:ind w:firstLine="915"/>
        <w:spacing w:after="0" w:line="277" w:lineRule="auto"/>
        <w:tabs>
          <w:tab w:leader="none" w:pos="194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Liens on Equity Interests of any joint venture (a) securing obligations of such joint venture or (b) pursuant to the relevant joint venture agreement or arrangement;</w:t>
      </w:r>
    </w:p>
    <w:p>
      <w:pPr>
        <w:spacing w:after="0" w:line="170" w:lineRule="exact"/>
        <w:rPr>
          <w:rFonts w:ascii="Arial" w:cs="Arial" w:eastAsia="Arial" w:hAnsi="Arial"/>
          <w:sz w:val="18"/>
          <w:szCs w:val="18"/>
          <w:color w:val="auto"/>
        </w:rPr>
      </w:pPr>
    </w:p>
    <w:p>
      <w:pPr>
        <w:jc w:val="both"/>
        <w:ind w:firstLine="915"/>
        <w:spacing w:after="0" w:line="263" w:lineRule="auto"/>
        <w:tabs>
          <w:tab w:leader="none" w:pos="193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Liens on cash or Permitted Investments securing Swap Agreements in the ordinary course of business submitted for clearing in accordance with applicable Requirements of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obligations secured by Liens existing in reliance on this clause (xxvii) shall not exceed $7,850,000;</w:t>
      </w:r>
    </w:p>
    <w:p>
      <w:pPr>
        <w:spacing w:after="0" w:line="183" w:lineRule="exact"/>
        <w:rPr>
          <w:rFonts w:ascii="Arial" w:cs="Arial" w:eastAsia="Arial" w:hAnsi="Arial"/>
          <w:sz w:val="18"/>
          <w:szCs w:val="18"/>
          <w:color w:val="auto"/>
        </w:rPr>
      </w:pPr>
    </w:p>
    <w:p>
      <w:pPr>
        <w:jc w:val="both"/>
        <w:ind w:firstLine="915"/>
        <w:spacing w:after="0" w:line="275" w:lineRule="auto"/>
        <w:tabs>
          <w:tab w:leader="none" w:pos="193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other Liens;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the granting thereof and after giving Pro Forma Effect thereto, the aggregate amount of obligations secured by all Liens incurred in reliance on this clause (xxviii) shall not exceed the greater of (A) $17,600,000 and (B) 10% of Consolidated EBITDA for the most recently ended Test Period (provided that, with respect to any such obligation, the amount of such obligation shall be the lesser of (x) the outstanding face amount of such obligation and (y) the fair market value of the assets securing such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such Liens under this clause (xxviii) shall encumber any Material Real Property (except as required by this Agreement); and</w:t>
      </w:r>
    </w:p>
    <w:p>
      <w:pPr>
        <w:spacing w:after="0" w:line="176" w:lineRule="exact"/>
        <w:rPr>
          <w:rFonts w:ascii="Arial" w:cs="Arial" w:eastAsia="Arial" w:hAnsi="Arial"/>
          <w:sz w:val="17"/>
          <w:szCs w:val="17"/>
          <w:color w:val="auto"/>
        </w:rPr>
      </w:pPr>
    </w:p>
    <w:p>
      <w:pPr>
        <w:ind w:left="1940" w:hanging="1025"/>
        <w:spacing w:after="0"/>
        <w:tabs>
          <w:tab w:leader="none" w:pos="19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Liens on accounts receivable, Securitization Assets and related assets incurred in connection with a Qualified Securitization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Facility.</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u w:val="single" w:color="auto"/>
          <w:color w:val="auto"/>
        </w:rPr>
        <w:t>Fundamental Changes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63" w:lineRule="auto"/>
        <w:tabs>
          <w:tab w:leader="none" w:pos="1941" w:val="left"/>
        </w:tabs>
        <w:numPr>
          <w:ilvl w:val="2"/>
          <w:numId w:val="134"/>
        </w:numPr>
        <w:rPr>
          <w:rFonts w:ascii="Arial" w:cs="Arial" w:eastAsia="Arial" w:hAnsi="Arial"/>
          <w:sz w:val="18"/>
          <w:szCs w:val="18"/>
          <w:color w:val="auto"/>
        </w:rPr>
      </w:pPr>
      <w:r>
        <w:rPr>
          <w:rFonts w:ascii="Arial" w:cs="Arial" w:eastAsia="Arial" w:hAnsi="Arial"/>
          <w:sz w:val="18"/>
          <w:szCs w:val="18"/>
          <w:color w:val="auto"/>
        </w:rPr>
        <w:t>Holdings will not, and will not permit any Restricted Subsidiary to, merge into or amalgamate or consolidate with any other Person, or permit any other Person to merge into or amalgamate or consolidate with it, or liquidate or dissolve (which, for the avoidance of doubt, shall not restrict Holdings or any Restricted Subsidiary from changing its organizational form), except that:</w:t>
      </w:r>
    </w:p>
    <w:p>
      <w:pPr>
        <w:spacing w:after="0" w:line="183" w:lineRule="exact"/>
        <w:rPr>
          <w:rFonts w:ascii="Arial" w:cs="Arial" w:eastAsia="Arial" w:hAnsi="Arial"/>
          <w:sz w:val="18"/>
          <w:szCs w:val="18"/>
          <w:color w:val="auto"/>
        </w:rPr>
      </w:pPr>
    </w:p>
    <w:p>
      <w:pPr>
        <w:jc w:val="both"/>
        <w:ind w:firstLine="915"/>
        <w:spacing w:after="0" w:line="275" w:lineRule="auto"/>
        <w:tabs>
          <w:tab w:leader="none" w:pos="1557" w:val="left"/>
        </w:tabs>
        <w:numPr>
          <w:ilvl w:val="1"/>
          <w:numId w:val="135"/>
        </w:numPr>
        <w:rPr>
          <w:rFonts w:ascii="Arial" w:cs="Arial" w:eastAsia="Arial" w:hAnsi="Arial"/>
          <w:sz w:val="17"/>
          <w:szCs w:val="17"/>
          <w:color w:val="auto"/>
        </w:rPr>
      </w:pPr>
      <w:r>
        <w:rPr>
          <w:rFonts w:ascii="Arial" w:cs="Arial" w:eastAsia="Arial" w:hAnsi="Arial"/>
          <w:sz w:val="17"/>
          <w:szCs w:val="17"/>
          <w:color w:val="auto"/>
        </w:rPr>
        <w:t xml:space="preserve">any Restricted Subsidiary may merge, amalgamate or consolidate with (A)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the continuing or surviving Person, or (B) Holdings or any one or more Restricted Subsidiaries (other than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when Holdings or any Subsidiary Loan Party is merging, amalgamating or consolidating with another Restricted Subsidiary (1) the continuing or surviving Person shall be Holdings or that Subsidiary Loan Party or (2) if the continuing or surviving Person is not a Subsidiary Loan Party, the acquisition of such Subsidiary Loan Party by such surviving Restricted Subsidiary is otherwise permitted under Section 6.04;</w:t>
      </w:r>
    </w:p>
    <w:p>
      <w:pPr>
        <w:spacing w:after="0" w:line="176" w:lineRule="exact"/>
        <w:rPr>
          <w:rFonts w:ascii="Arial" w:cs="Arial" w:eastAsia="Arial" w:hAnsi="Arial"/>
          <w:sz w:val="17"/>
          <w:szCs w:val="17"/>
          <w:color w:val="auto"/>
        </w:rPr>
      </w:pPr>
    </w:p>
    <w:p>
      <w:pPr>
        <w:jc w:val="both"/>
        <w:ind w:firstLine="915"/>
        <w:spacing w:after="0" w:line="259" w:lineRule="auto"/>
        <w:tabs>
          <w:tab w:leader="none" w:pos="155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any Restricted Subsidiary that is not a Loan Party may merge, amalgamate or consolidate with or into any Restricted Subsidiary that is not a Loan Party and (B) (x) any Restricted Subsidiary (other than the Borrower) may liquidate or dissolve and (y) any Restricted Subsidiary may change its legal or organizational form if the Borrower determines in good faith that such action is in the best interests of Holdings and its Restricted Subsidiaries and is not materially disadvantageous to the Lenders;</w:t>
      </w:r>
    </w:p>
    <w:p>
      <w:pPr>
        <w:spacing w:after="0" w:line="186" w:lineRule="exact"/>
        <w:rPr>
          <w:rFonts w:ascii="Arial" w:cs="Arial" w:eastAsia="Arial" w:hAnsi="Arial"/>
          <w:sz w:val="18"/>
          <w:szCs w:val="18"/>
          <w:color w:val="auto"/>
        </w:rPr>
      </w:pPr>
    </w:p>
    <w:p>
      <w:pPr>
        <w:jc w:val="both"/>
        <w:ind w:firstLine="915"/>
        <w:spacing w:after="0" w:line="291" w:lineRule="auto"/>
        <w:tabs>
          <w:tab w:leader="none" w:pos="155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 xml:space="preserve">any Restricted Subsidiary may make a Disposition of all or substantially all of its assets (upon voluntary liquidation or otherwise) to Holdings or another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transferor in such a transaction is a Loan Party, then (A) the transferee must be a Loan Party,</w:t>
      </w:r>
    </w:p>
    <w:p>
      <w:pPr>
        <w:jc w:val="both"/>
        <w:ind w:firstLine="8"/>
        <w:spacing w:after="0" w:line="253" w:lineRule="auto"/>
        <w:tabs>
          <w:tab w:leader="none" w:pos="29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the extent constituting an Investment, such Investment is a permitted Investment in a Restricted Subsidiary that is not a Loan Party in accordance with Section 6.04 or (C) to the extent constituting a Disposition to a Restricted Subsidiary that is not a Loan Party, such Disposition is for Fair Market Value (as determined in good faith by the Borrower) and any promissory note or other non-cash consideration received in respect thereof is a permitted Investment in a Restricted Subsidiary that is not a Loan Party in accordance with Section 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21" w:right="339" w:bottom="1440" w:gutter="0" w:footer="0" w:header="0"/>
        </w:sectPr>
      </w:pPr>
    </w:p>
    <w:bookmarkStart w:id="123" w:name="page124"/>
    <w:bookmarkEnd w:id="123"/>
    <w:p>
      <w:pPr>
        <w:jc w:val="both"/>
        <w:ind w:firstLine="915"/>
        <w:spacing w:after="0" w:line="283" w:lineRule="auto"/>
        <w:tabs>
          <w:tab w:leader="none" w:pos="1544"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the Borrower may merge, amalgamate or consolidate with (or Dispose of all or substantially all of its assets to)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be the continuing or surviving Person or (B) if the Person formed by or surviving any such merger, amalgamation or consolidation is not the Borrower or is a Person into which the Borrower has been liquidated (or, in connection with a Disposition of all or substantially all of the Borrower’s assets, if the transferee of such assets) (any such Person, the “</w:t>
      </w:r>
      <w:r>
        <w:rPr>
          <w:rFonts w:ascii="Arial" w:cs="Arial" w:eastAsia="Arial" w:hAnsi="Arial"/>
          <w:sz w:val="16"/>
          <w:szCs w:val="16"/>
          <w:u w:val="single" w:color="auto"/>
          <w:color w:val="auto"/>
        </w:rPr>
        <w:t>Successor Borrower</w:t>
      </w:r>
      <w:r>
        <w:rPr>
          <w:rFonts w:ascii="Arial" w:cs="Arial" w:eastAsia="Arial" w:hAnsi="Arial"/>
          <w:sz w:val="16"/>
          <w:szCs w:val="16"/>
          <w:color w:val="auto"/>
        </w:rPr>
        <w:t xml:space="preserve">”), (1) the Successor Borrower shall be an entity organized or existing under the laws of the United States, (2) the Successor Borrower shall expressly assume all of the obligations of the Borrower under this Agreement and the other First Lien Loan Documents to which the Borrower is a party pursuant to a supplement hereto or thereto in form and substance reasonably satisfactory to the First Lien Administrative Agent, (3) each Loan Party other than the Borrower, unless it is the other party to such merger, amalgamation or consolidation, shall have reaffirmed, pursuant to an agreement in form and substance reasonably satisfactory to the First Lien Administrative Agent, that its Guarantee of and grant of any Liens as security for the Secured Obligations shall apply to the Successor Borrower’s obligations under this Agreement and (4) the Borrower shall have delivered to the First Lien Administrative Agent a certificate of a Responsible Officer of the Borrower and an opinion of counsel, each stating that such merger, amalgamation or consolidation complies with this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w:t>
      </w:r>
    </w:p>
    <w:p>
      <w:pPr>
        <w:spacing w:after="0" w:line="3" w:lineRule="exact"/>
        <w:rPr>
          <w:rFonts w:ascii="Arial" w:cs="Arial" w:eastAsia="Arial" w:hAnsi="Arial"/>
          <w:sz w:val="16"/>
          <w:szCs w:val="16"/>
          <w:color w:val="auto"/>
        </w:rPr>
      </w:pPr>
    </w:p>
    <w:p>
      <w:pPr>
        <w:jc w:val="both"/>
        <w:ind w:firstLine="8"/>
        <w:spacing w:after="0" w:line="268" w:lineRule="auto"/>
        <w:tabs>
          <w:tab w:leader="none" w:pos="25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if such Person is not a Loan Party, no Event of Default (or, to the extent related to a Limited Condition Transaction, no Specified Event of Default) shall exist after giving effect to such merger, amalgamation or consolidation and (z) if the foregoing requirements are satisfied, the Successor Borrower will succeed to, and be substituted for, the Borrower under this Agreement and the other First Lien Loan Documents;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Borrower shall have provided any documentation and other information about the Successor Borrower to the extent reasonably requested in writing promptly, and in any case within one Business Day following the delivery of the certificate in clause (4), by any Lender or Issuing Bank through the First Lien Administrative Agent that such Lender or Issuing Bank shall have reasonably determined is required by regulatory authorities under applicable “know your customer” and anti-money laundering rules and regulations, including Title III of the USA PATRIOT Act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the Borrower’s failure to deliver information requested after the first Business Day following delivery of the certificate in clause (4) above shall not constitute a Default or an Event of Default under this Agreement or the First Lien Loan Documents);</w:t>
      </w:r>
    </w:p>
    <w:p>
      <w:pPr>
        <w:spacing w:after="0" w:line="181" w:lineRule="exact"/>
        <w:rPr>
          <w:rFonts w:ascii="Arial" w:cs="Arial" w:eastAsia="Arial" w:hAnsi="Arial"/>
          <w:sz w:val="17"/>
          <w:szCs w:val="17"/>
          <w:color w:val="auto"/>
        </w:rPr>
      </w:pPr>
    </w:p>
    <w:p>
      <w:pPr>
        <w:jc w:val="both"/>
        <w:ind w:firstLine="915"/>
        <w:spacing w:after="0" w:line="263" w:lineRule="auto"/>
        <w:tabs>
          <w:tab w:leader="none" w:pos="159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any Restricted Subsidiary may merge, consolidate or amalgamate with any other Person in order to effect an Investment permitted pursuant to Section 6.04;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continuing or surviving Person shall be Holdings, the Borrower or a Restricted Subsidiary, which together with each of the Restricted Subsidiaries, shall have complied with the requirements of Sections 5.11 and 5.12;</w:t>
      </w:r>
    </w:p>
    <w:p>
      <w:pPr>
        <w:spacing w:after="0" w:line="143" w:lineRule="exact"/>
        <w:rPr>
          <w:rFonts w:ascii="Arial" w:cs="Arial" w:eastAsia="Arial" w:hAnsi="Arial"/>
          <w:sz w:val="18"/>
          <w:szCs w:val="18"/>
          <w:color w:val="auto"/>
        </w:rPr>
      </w:pPr>
    </w:p>
    <w:p>
      <w:pPr>
        <w:ind w:left="1520" w:hanging="605"/>
        <w:spacing w:after="0"/>
        <w:tabs>
          <w:tab w:leader="none" w:pos="15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84" w:lineRule="exact"/>
        <w:rPr>
          <w:rFonts w:ascii="Arial" w:cs="Arial" w:eastAsia="Arial" w:hAnsi="Arial"/>
          <w:sz w:val="18"/>
          <w:szCs w:val="18"/>
          <w:color w:val="auto"/>
        </w:rPr>
      </w:pPr>
    </w:p>
    <w:p>
      <w:pPr>
        <w:ind w:firstLine="915"/>
        <w:spacing w:after="0" w:line="277" w:lineRule="auto"/>
        <w:tabs>
          <w:tab w:leader="none" w:pos="163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Restricted Subsidiary may effect a merger, amalgamation, dissolution, liquidation consolidation or amalgamation to effect a Disposition permitted pursuant to Section 6.05.</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Investments, Loans, Advances, Guarantees and Acquisitions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Holdings will not, and will not permit any Restricted Subsidiary to, make or hold any Investment, except:</w:t>
      </w:r>
    </w:p>
    <w:p>
      <w:pPr>
        <w:spacing w:after="0" w:line="225" w:lineRule="exact"/>
        <w:rPr>
          <w:sz w:val="20"/>
          <w:szCs w:val="20"/>
          <w:color w:val="auto"/>
        </w:rPr>
      </w:pPr>
    </w:p>
    <w:p>
      <w:pPr>
        <w:ind w:left="660" w:firstLine="644"/>
        <w:spacing w:after="0" w:line="277" w:lineRule="auto"/>
        <w:tabs>
          <w:tab w:leader="none" w:pos="175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Permitted Investments at the time such Permitted Investment is made and purchases of assets in the ordinary course of business consistent with past practice;</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783" w:val="left"/>
        </w:tabs>
        <w:numPr>
          <w:ilvl w:val="1"/>
          <w:numId w:val="139"/>
        </w:numPr>
        <w:rPr>
          <w:rFonts w:ascii="Arial" w:cs="Arial" w:eastAsia="Arial" w:hAnsi="Arial"/>
          <w:sz w:val="16"/>
          <w:szCs w:val="16"/>
          <w:color w:val="auto"/>
        </w:rPr>
      </w:pPr>
      <w:r>
        <w:rPr>
          <w:rFonts w:ascii="Arial" w:cs="Arial" w:eastAsia="Arial" w:hAnsi="Arial"/>
          <w:sz w:val="16"/>
          <w:szCs w:val="16"/>
          <w:color w:val="auto"/>
        </w:rPr>
        <w:t>loans or advances to officers, members of the Board of Directors and employees of Holdings, the Borrower and its Restricted Subsidiaries (i) for reasonable and customary business-related travel, entertainment, relocation and analogous ordinary business purposes, (ii) in connection with such Person’s purchase of Equity Interests of Holdings (or any direct or indirect parent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loans and advances made in cash to such Person shall be contributed to Holdings in cash as common equity or Qualified Equity Interests) and</w:t>
      </w:r>
    </w:p>
    <w:p>
      <w:pPr>
        <w:spacing w:after="0" w:line="1" w:lineRule="exact"/>
        <w:rPr>
          <w:rFonts w:ascii="Arial" w:cs="Arial" w:eastAsia="Arial" w:hAnsi="Arial"/>
          <w:sz w:val="16"/>
          <w:szCs w:val="16"/>
          <w:color w:val="auto"/>
        </w:rPr>
      </w:pPr>
    </w:p>
    <w:p>
      <w:pPr>
        <w:ind w:left="660" w:right="20" w:hanging="4"/>
        <w:spacing w:after="0" w:line="260" w:lineRule="auto"/>
        <w:tabs>
          <w:tab w:leader="none" w:pos="97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for purposes not described in the foregoing clauses (i) and (ii), in an aggregate principal amount outstanding under this clause (iii) at any time not to exceed $10,000,000;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21" w:right="339" w:bottom="1440" w:gutter="0" w:footer="0" w:header="0"/>
        </w:sectPr>
      </w:pPr>
    </w:p>
    <w:bookmarkStart w:id="124" w:name="page125"/>
    <w:bookmarkEnd w:id="124"/>
    <w:p>
      <w:pPr>
        <w:jc w:val="both"/>
        <w:ind w:left="-460" w:firstLine="644"/>
        <w:spacing w:after="0" w:line="280" w:lineRule="auto"/>
        <w:tabs>
          <w:tab w:leader="none" w:pos="67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Investments by </w:t>
      </w:r>
      <w:r>
        <w:rPr>
          <w:rFonts w:ascii="Arial" w:cs="Arial" w:eastAsia="Arial" w:hAnsi="Arial"/>
          <w:sz w:val="18"/>
          <w:szCs w:val="18"/>
          <w:color w:val="auto"/>
        </w:rPr>
        <w:t>Holdings</w:t>
      </w:r>
      <w:r>
        <w:rPr>
          <w:rFonts w:ascii="Arial" w:cs="Arial" w:eastAsia="Arial" w:hAnsi="Arial"/>
          <w:sz w:val="17"/>
          <w:szCs w:val="17"/>
          <w:color w:val="auto"/>
        </w:rPr>
        <w:t xml:space="preserve"> in any Restricted Subsidiary and Investments by any Restricted Subsidiary in </w:t>
      </w:r>
      <w:r>
        <w:rPr>
          <w:rFonts w:ascii="Arial" w:cs="Arial" w:eastAsia="Arial" w:hAnsi="Arial"/>
          <w:sz w:val="18"/>
          <w:szCs w:val="18"/>
          <w:color w:val="auto"/>
        </w:rPr>
        <w:t>Holdings</w:t>
      </w:r>
      <w:r>
        <w:rPr>
          <w:rFonts w:ascii="Arial" w:cs="Arial" w:eastAsia="Arial" w:hAnsi="Arial"/>
          <w:sz w:val="17"/>
          <w:szCs w:val="17"/>
          <w:color w:val="auto"/>
        </w:rPr>
        <w:t xml:space="preserve">, any other Restricted Subsidiary or any Person that becomes a Restricted Subsidiary after the Effective Date as a result of such Investment (but only to the extent that such Investment was not incurred in contemplation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Investment by a Loan Party in a Restricted Subsidiary that is not a Loan Party, no Event of Default shall have occurred and be continuing or would result therefrom;</w:t>
      </w:r>
    </w:p>
    <w:p>
      <w:pPr>
        <w:spacing w:after="0" w:line="170" w:lineRule="exact"/>
        <w:rPr>
          <w:rFonts w:ascii="Arial" w:cs="Arial" w:eastAsia="Arial" w:hAnsi="Arial"/>
          <w:sz w:val="17"/>
          <w:szCs w:val="17"/>
          <w:color w:val="auto"/>
        </w:rPr>
      </w:pPr>
    </w:p>
    <w:p>
      <w:pPr>
        <w:ind w:left="580" w:hanging="396"/>
        <w:spacing w:after="0"/>
        <w:tabs>
          <w:tab w:leader="none" w:pos="5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Investments consisting of extensions of trade credit and accommodation guarantees in the ordinary course of business;</w:t>
      </w:r>
    </w:p>
    <w:p>
      <w:pPr>
        <w:spacing w:after="0" w:line="225" w:lineRule="exact"/>
        <w:rPr>
          <w:rFonts w:ascii="Arial" w:cs="Arial" w:eastAsia="Arial" w:hAnsi="Arial"/>
          <w:sz w:val="18"/>
          <w:szCs w:val="18"/>
          <w:color w:val="auto"/>
        </w:rPr>
      </w:pPr>
    </w:p>
    <w:p>
      <w:pPr>
        <w:jc w:val="both"/>
        <w:ind w:left="-460" w:firstLine="644"/>
        <w:spacing w:after="0" w:line="301" w:lineRule="auto"/>
        <w:tabs>
          <w:tab w:leader="none" w:pos="61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Investments (i) existing or contemplated on the Effective Date and set forth on Schedule 6.04 and any modification, replacement, renewal, reinvestment or extension thereof and (ii) Investments existing on the Effective Date by Holdings or any Restricted Subsidiary in Holdings or any Restricted Subsidiary and any modification, renewal or extension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the original Investment is not increased except by the terms of such Investment to the extent as set forth on Schedule 6.04 or as otherwise permitted by this Section 6.04;</w:t>
      </w:r>
    </w:p>
    <w:p>
      <w:pPr>
        <w:spacing w:after="0" w:line="157" w:lineRule="exact"/>
        <w:rPr>
          <w:rFonts w:ascii="Arial" w:cs="Arial" w:eastAsia="Arial" w:hAnsi="Arial"/>
          <w:sz w:val="16"/>
          <w:szCs w:val="16"/>
          <w:color w:val="auto"/>
        </w:rPr>
      </w:pPr>
    </w:p>
    <w:p>
      <w:pPr>
        <w:ind w:left="540" w:hanging="356"/>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Investments in Swap Agreements incurred in the ordinary course of business and not for speculative purposes;</w:t>
      </w:r>
    </w:p>
    <w:p>
      <w:pPr>
        <w:spacing w:after="0" w:line="225" w:lineRule="exact"/>
        <w:rPr>
          <w:rFonts w:ascii="Arial" w:cs="Arial" w:eastAsia="Arial" w:hAnsi="Arial"/>
          <w:sz w:val="18"/>
          <w:szCs w:val="18"/>
          <w:color w:val="auto"/>
        </w:rPr>
      </w:pPr>
    </w:p>
    <w:p>
      <w:pPr>
        <w:ind w:left="580" w:hanging="396"/>
        <w:spacing w:after="0"/>
        <w:tabs>
          <w:tab w:leader="none" w:pos="5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promissory notes and other non-cash consideration received in connection with Dispositions permitted by Section 6.05;</w:t>
      </w:r>
    </w:p>
    <w:p>
      <w:pPr>
        <w:spacing w:after="0" w:line="225" w:lineRule="exact"/>
        <w:rPr>
          <w:rFonts w:ascii="Arial" w:cs="Arial" w:eastAsia="Arial" w:hAnsi="Arial"/>
          <w:sz w:val="18"/>
          <w:szCs w:val="18"/>
          <w:color w:val="auto"/>
        </w:rPr>
      </w:pPr>
    </w:p>
    <w:p>
      <w:pPr>
        <w:ind w:left="580" w:hanging="396"/>
        <w:spacing w:after="0"/>
        <w:tabs>
          <w:tab w:leader="none" w:pos="5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left="540" w:hanging="356"/>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Transactions;</w:t>
      </w:r>
    </w:p>
    <w:p>
      <w:pPr>
        <w:spacing w:after="0" w:line="225" w:lineRule="exact"/>
        <w:rPr>
          <w:rFonts w:ascii="Arial" w:cs="Arial" w:eastAsia="Arial" w:hAnsi="Arial"/>
          <w:sz w:val="18"/>
          <w:szCs w:val="18"/>
          <w:color w:val="auto"/>
        </w:rPr>
      </w:pPr>
    </w:p>
    <w:p>
      <w:pPr>
        <w:ind w:left="-460" w:right="20" w:firstLine="644"/>
        <w:spacing w:after="0" w:line="308" w:lineRule="auto"/>
        <w:tabs>
          <w:tab w:leader="none" w:pos="59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Investments in the ordinary course of business consisting of Uniform Commercial Code Article 3 endorsements for collection or deposit and Uniform Commercial Code Article 4 customary trade arrangements with customers in the ordinary course of business;</w:t>
      </w:r>
    </w:p>
    <w:p>
      <w:pPr>
        <w:spacing w:after="0" w:line="146" w:lineRule="exact"/>
        <w:rPr>
          <w:rFonts w:ascii="Arial" w:cs="Arial" w:eastAsia="Arial" w:hAnsi="Arial"/>
          <w:sz w:val="17"/>
          <w:szCs w:val="17"/>
          <w:color w:val="auto"/>
        </w:rPr>
      </w:pPr>
    </w:p>
    <w:p>
      <w:pPr>
        <w:jc w:val="both"/>
        <w:ind w:left="-460" w:firstLine="644"/>
        <w:spacing w:after="0" w:line="286" w:lineRule="auto"/>
        <w:tabs>
          <w:tab w:leader="none" w:pos="68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Investments (including debt obligations and Equity Interests)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w:t>
      </w:r>
    </w:p>
    <w:p>
      <w:pPr>
        <w:spacing w:after="0" w:line="165" w:lineRule="exact"/>
        <w:rPr>
          <w:rFonts w:ascii="Arial" w:cs="Arial" w:eastAsia="Arial" w:hAnsi="Arial"/>
          <w:sz w:val="17"/>
          <w:szCs w:val="17"/>
          <w:color w:val="auto"/>
        </w:rPr>
      </w:pPr>
    </w:p>
    <w:p>
      <w:pPr>
        <w:ind w:left="540" w:hanging="356"/>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60" w:firstLine="644"/>
        <w:spacing w:after="0" w:line="255" w:lineRule="auto"/>
        <w:tabs>
          <w:tab w:leader="none" w:pos="71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additional Investments and other acquisitions;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any such Investment or other acquisition is made, the aggregate outstanding amount of such Investment or acquisition made in reliance on this clause (m), together with the aggregate amount of all consideration paid in connection with all other Investments and acquisitions made in reliance on this clause (m) (including the aggregate principal amount of all Indebtedness assumed in connection with any such other Investment or acquisition previously made under this clause (m)), shall not exceed the greater of (A) $52,800,000 and (B) 30% of Consolidated EBITDA for the most recently ended Test Period after giving Pro Forma Effect to the making of such Investment or other acquisition;</w:t>
      </w:r>
    </w:p>
    <w:p>
      <w:pPr>
        <w:spacing w:after="0" w:line="192" w:lineRule="exact"/>
        <w:rPr>
          <w:rFonts w:ascii="Arial" w:cs="Arial" w:eastAsia="Arial" w:hAnsi="Arial"/>
          <w:sz w:val="18"/>
          <w:szCs w:val="18"/>
          <w:color w:val="auto"/>
        </w:rPr>
      </w:pPr>
    </w:p>
    <w:p>
      <w:pPr>
        <w:ind w:left="580" w:hanging="396"/>
        <w:spacing w:after="0"/>
        <w:tabs>
          <w:tab w:leader="none" w:pos="5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business;</w:t>
      </w:r>
    </w:p>
    <w:p>
      <w:pPr>
        <w:spacing w:after="0" w:line="225" w:lineRule="exact"/>
        <w:rPr>
          <w:rFonts w:ascii="Arial" w:cs="Arial" w:eastAsia="Arial" w:hAnsi="Arial"/>
          <w:sz w:val="18"/>
          <w:szCs w:val="18"/>
          <w:color w:val="auto"/>
        </w:rPr>
      </w:pPr>
    </w:p>
    <w:p>
      <w:pPr>
        <w:jc w:val="both"/>
        <w:ind w:left="-460" w:firstLine="644"/>
        <w:spacing w:after="0" w:line="263" w:lineRule="auto"/>
        <w:tabs>
          <w:tab w:leader="none" w:pos="71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Investments and other acquisitions to the extent that payment for such Investments is made with Qualified Equity Interests (excluding Qualified Equity Interests the proceeds of which will be applied as Cure Amounts) of Holdings (or any direct or indirect parent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120"/>
          </w:cols>
          <w:pgMar w:left="1440" w:top="1419" w:right="339" w:bottom="1440" w:gutter="0" w:footer="0" w:header="0"/>
        </w:sectPr>
      </w:pPr>
    </w:p>
    <w:bookmarkStart w:id="125" w:name="page126"/>
    <w:bookmarkEnd w:id="125"/>
    <w:p>
      <w:pPr>
        <w:jc w:val="both"/>
        <w:ind w:left="4" w:firstLine="644"/>
        <w:spacing w:after="0" w:line="296" w:lineRule="auto"/>
        <w:tabs>
          <w:tab w:leader="none" w:pos="116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Investments of a Subsidiary acquired after the Effective Date or of a Person merged, amalgamated or consolidated with any Subsidiary in accordance with this Section 6.04 and Section 6.03 after the Effective Date or that otherwise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Investment is made under Section 6.04(h), existing Investments in subsidiaries of such Subsidiary or Person shall comply with the requirements of Section 6.04(h)) to the extent that such Investments were not made in contemplation of or in connection with such acquisition, merger, amalgamation or consolidation and were in existence on the date of such acquisition, merger, amalgamation or consolidation;</w:t>
      </w:r>
    </w:p>
    <w:p>
      <w:pPr>
        <w:spacing w:after="0" w:line="161" w:lineRule="exact"/>
        <w:rPr>
          <w:rFonts w:ascii="Arial" w:cs="Arial" w:eastAsia="Arial" w:hAnsi="Arial"/>
          <w:sz w:val="16"/>
          <w:szCs w:val="16"/>
          <w:color w:val="auto"/>
        </w:rPr>
      </w:pPr>
    </w:p>
    <w:p>
      <w:pPr>
        <w:ind w:left="1044" w:hanging="396"/>
        <w:spacing w:after="0"/>
        <w:tabs>
          <w:tab w:leader="none" w:pos="104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receivables owing to Holdings or any Restricted Subsidiary, if created or acquired in the ordinary course of business;</w:t>
      </w:r>
    </w:p>
    <w:p>
      <w:pPr>
        <w:spacing w:after="0" w:line="225" w:lineRule="exact"/>
        <w:rPr>
          <w:rFonts w:ascii="Arial" w:cs="Arial" w:eastAsia="Arial" w:hAnsi="Arial"/>
          <w:sz w:val="18"/>
          <w:szCs w:val="18"/>
          <w:color w:val="auto"/>
        </w:rPr>
      </w:pPr>
    </w:p>
    <w:p>
      <w:pPr>
        <w:ind w:left="1044" w:hanging="396"/>
        <w:spacing w:after="0"/>
        <w:tabs>
          <w:tab w:leader="none" w:pos="1044"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Investments (A) for utilities, security deposits, leases and similar prepaid expenses incurred in the ordinary course of business and</w:t>
      </w:r>
    </w:p>
    <w:p>
      <w:pPr>
        <w:spacing w:after="0" w:line="46" w:lineRule="exact"/>
        <w:rPr>
          <w:rFonts w:ascii="Arial" w:cs="Arial" w:eastAsia="Arial" w:hAnsi="Arial"/>
          <w:sz w:val="16"/>
          <w:szCs w:val="16"/>
          <w:color w:val="auto"/>
        </w:rPr>
      </w:pPr>
    </w:p>
    <w:p>
      <w:pPr>
        <w:ind w:left="284" w:hanging="284"/>
        <w:spacing w:after="0"/>
        <w:tabs>
          <w:tab w:leader="none" w:pos="28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trade accounts created, or prepaid expenses accrued, in the ordinary course of business;</w:t>
      </w:r>
    </w:p>
    <w:p>
      <w:pPr>
        <w:spacing w:after="0" w:line="210" w:lineRule="exact"/>
        <w:rPr>
          <w:rFonts w:ascii="Arial" w:cs="Arial" w:eastAsia="Arial" w:hAnsi="Arial"/>
          <w:sz w:val="18"/>
          <w:szCs w:val="18"/>
          <w:color w:val="auto"/>
        </w:rPr>
      </w:pPr>
    </w:p>
    <w:p>
      <w:pPr>
        <w:ind w:left="4" w:firstLine="644"/>
        <w:spacing w:after="0" w:line="277" w:lineRule="auto"/>
        <w:tabs>
          <w:tab w:leader="none" w:pos="1089" w:val="left"/>
        </w:tabs>
        <w:numPr>
          <w:ilvl w:val="1"/>
          <w:numId w:val="143"/>
        </w:numPr>
        <w:rPr>
          <w:rFonts w:ascii="Arial" w:cs="Arial" w:eastAsia="Arial" w:hAnsi="Arial"/>
          <w:sz w:val="18"/>
          <w:szCs w:val="18"/>
          <w:color w:val="auto"/>
        </w:rPr>
      </w:pPr>
      <w:r>
        <w:rPr>
          <w:rFonts w:ascii="Arial" w:cs="Arial" w:eastAsia="Arial" w:hAnsi="Arial"/>
          <w:sz w:val="18"/>
          <w:szCs w:val="18"/>
          <w:color w:val="auto"/>
        </w:rPr>
        <w:t>non-cash Investments in connection with tax planning and reorganization activities; provided that after giving effect to any such activities, the security interests of the Lenders in the Collateral, taken as a whole, would not be materially impaired;</w:t>
      </w:r>
    </w:p>
    <w:p>
      <w:pPr>
        <w:spacing w:after="0" w:line="170" w:lineRule="exact"/>
        <w:rPr>
          <w:rFonts w:ascii="Arial" w:cs="Arial" w:eastAsia="Arial" w:hAnsi="Arial"/>
          <w:sz w:val="18"/>
          <w:szCs w:val="18"/>
          <w:color w:val="auto"/>
        </w:rPr>
      </w:pPr>
    </w:p>
    <w:p>
      <w:pPr>
        <w:jc w:val="both"/>
        <w:ind w:left="4" w:firstLine="644"/>
        <w:spacing w:after="0" w:line="263" w:lineRule="auto"/>
        <w:tabs>
          <w:tab w:leader="none" w:pos="103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additional Investments so long as at the time of any such Investment and after giving effect thereto, (A) on a Pro Forma Basis, the Senior Secured Net Leverage Ratio is no greater than 3.50 to 1.00 for the most recently ended Test Period and (B) no Event of Default exists or would result therefrom;</w:t>
      </w:r>
    </w:p>
    <w:p>
      <w:pPr>
        <w:spacing w:after="0" w:line="183" w:lineRule="exact"/>
        <w:rPr>
          <w:rFonts w:ascii="Arial" w:cs="Arial" w:eastAsia="Arial" w:hAnsi="Arial"/>
          <w:sz w:val="18"/>
          <w:szCs w:val="18"/>
          <w:color w:val="auto"/>
        </w:rPr>
      </w:pPr>
    </w:p>
    <w:p>
      <w:pPr>
        <w:ind w:left="4" w:firstLine="644"/>
        <w:spacing w:after="0" w:line="277" w:lineRule="auto"/>
        <w:tabs>
          <w:tab w:leader="none" w:pos="1045"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Investments consisting of Indebtedness, Liens, fundamental changes, Dispositions and Restricted Payments permitted (other than by reference to this Section 6.04(v)) under Sections 6.01, 6.02, 6.03, 6.05 and 6.07, respectively;</w:t>
      </w:r>
    </w:p>
    <w:p>
      <w:pPr>
        <w:spacing w:after="0" w:line="170" w:lineRule="exact"/>
        <w:rPr>
          <w:rFonts w:ascii="Arial" w:cs="Arial" w:eastAsia="Arial" w:hAnsi="Arial"/>
          <w:sz w:val="18"/>
          <w:szCs w:val="18"/>
          <w:color w:val="auto"/>
        </w:rPr>
      </w:pPr>
    </w:p>
    <w:p>
      <w:pPr>
        <w:ind w:left="4" w:firstLine="644"/>
        <w:spacing w:after="0" w:line="277" w:lineRule="auto"/>
        <w:tabs>
          <w:tab w:leader="none" w:pos="117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contributions to a “rabbi” trust for the benefit of employees, directors, consultants, independent contractors or other service providers or other grantor trust subject to claims of creditors in the case of a bankruptcy of Holdings;</w:t>
      </w:r>
    </w:p>
    <w:p>
      <w:pPr>
        <w:spacing w:after="0" w:line="170" w:lineRule="exact"/>
        <w:rPr>
          <w:rFonts w:ascii="Arial" w:cs="Arial" w:eastAsia="Arial" w:hAnsi="Arial"/>
          <w:sz w:val="18"/>
          <w:szCs w:val="18"/>
          <w:color w:val="auto"/>
        </w:rPr>
      </w:pPr>
    </w:p>
    <w:p>
      <w:pPr>
        <w:ind w:left="4" w:firstLine="644"/>
        <w:spacing w:after="0" w:line="342" w:lineRule="auto"/>
        <w:tabs>
          <w:tab w:leader="none" w:pos="1228"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123" w:lineRule="exact"/>
        <w:rPr>
          <w:rFonts w:ascii="Arial" w:cs="Arial" w:eastAsia="Arial" w:hAnsi="Arial"/>
          <w:sz w:val="16"/>
          <w:szCs w:val="16"/>
          <w:color w:val="auto"/>
        </w:rPr>
      </w:pPr>
    </w:p>
    <w:p>
      <w:pPr>
        <w:ind w:left="4" w:firstLine="644"/>
        <w:spacing w:after="0" w:line="308" w:lineRule="auto"/>
        <w:tabs>
          <w:tab w:leader="none" w:pos="1196" w:val="left"/>
        </w:tabs>
        <w:numPr>
          <w:ilvl w:val="1"/>
          <w:numId w:val="143"/>
        </w:numPr>
        <w:rPr>
          <w:rFonts w:ascii="Arial" w:cs="Arial" w:eastAsia="Arial" w:hAnsi="Arial"/>
          <w:sz w:val="17"/>
          <w:szCs w:val="17"/>
          <w:color w:val="auto"/>
        </w:rPr>
      </w:pPr>
      <w:r>
        <w:rPr>
          <w:rFonts w:ascii="Arial" w:cs="Arial" w:eastAsia="Arial" w:hAnsi="Arial"/>
          <w:sz w:val="17"/>
          <w:szCs w:val="17"/>
          <w:color w:val="auto"/>
        </w:rPr>
        <w:t>any Investment in any Subsidiary or any joint venture (i) entered into in connection with intercompany cash management arrangements or related activities arising in the ordinary course of business or (ii) not to exceed $30,000,000 at any time outstanding;</w:t>
      </w:r>
    </w:p>
    <w:p>
      <w:pPr>
        <w:spacing w:after="0" w:line="146" w:lineRule="exact"/>
        <w:rPr>
          <w:rFonts w:ascii="Arial" w:cs="Arial" w:eastAsia="Arial" w:hAnsi="Arial"/>
          <w:sz w:val="17"/>
          <w:szCs w:val="17"/>
          <w:color w:val="auto"/>
        </w:rPr>
      </w:pPr>
    </w:p>
    <w:p>
      <w:pPr>
        <w:ind w:left="4" w:firstLine="644"/>
        <w:spacing w:after="0" w:line="308" w:lineRule="auto"/>
        <w:tabs>
          <w:tab w:leader="none" w:pos="1162" w:val="left"/>
        </w:tabs>
        <w:numPr>
          <w:ilvl w:val="1"/>
          <w:numId w:val="143"/>
        </w:numPr>
        <w:rPr>
          <w:rFonts w:ascii="Arial" w:cs="Arial" w:eastAsia="Arial" w:hAnsi="Arial"/>
          <w:sz w:val="17"/>
          <w:szCs w:val="17"/>
          <w:color w:val="auto"/>
        </w:rPr>
      </w:pPr>
      <w:r>
        <w:rPr>
          <w:rFonts w:ascii="Arial" w:cs="Arial" w:eastAsia="Arial" w:hAnsi="Arial"/>
          <w:sz w:val="17"/>
          <w:szCs w:val="17"/>
          <w:color w:val="auto"/>
        </w:rPr>
        <w:t>Investments by an Unrestricted Subsidiary (i) entered into prior to the day such Unrestricted Subsidiary is redesignated as a Restricted Subsidiary pursuant to the definition of “Unrestricted Subsidiary” or (ii) not to exceed $30,000,000 at any time outstanding;</w:t>
      </w:r>
    </w:p>
    <w:p>
      <w:pPr>
        <w:spacing w:after="0" w:line="146" w:lineRule="exact"/>
        <w:rPr>
          <w:rFonts w:ascii="Arial" w:cs="Arial" w:eastAsia="Arial" w:hAnsi="Arial"/>
          <w:sz w:val="17"/>
          <w:szCs w:val="17"/>
          <w:color w:val="auto"/>
        </w:rPr>
      </w:pPr>
    </w:p>
    <w:p>
      <w:pPr>
        <w:jc w:val="both"/>
        <w:ind w:left="4" w:firstLine="644"/>
        <w:spacing w:after="0" w:line="259" w:lineRule="auto"/>
        <w:tabs>
          <w:tab w:leader="none" w:pos="111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Investments in or relating to a Securitization Subsidiary that, in the good faith determination of the Borrower are necessary or advisable to effect any Qualified Securitization Facility or any repurchase obligation in connection therewith, including, without limitation, Investments of funds held in accounts permitted or required by the arrangements governing such Qualified Securitization Facilities or any related Indebtedness;</w:t>
      </w:r>
    </w:p>
    <w:p>
      <w:pPr>
        <w:spacing w:after="0" w:line="187" w:lineRule="exact"/>
        <w:rPr>
          <w:sz w:val="20"/>
          <w:szCs w:val="20"/>
          <w:color w:val="auto"/>
        </w:rPr>
      </w:pPr>
    </w:p>
    <w:p>
      <w:pPr>
        <w:ind w:left="1104" w:hanging="456"/>
        <w:spacing w:after="0"/>
        <w:tabs>
          <w:tab w:leader="none" w:pos="110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Investments in the ordinary course of business in connection with Settlements; and</w:t>
      </w:r>
    </w:p>
    <w:p>
      <w:pPr>
        <w:spacing w:after="0" w:line="225" w:lineRule="exact"/>
        <w:rPr>
          <w:rFonts w:ascii="Arial" w:cs="Arial" w:eastAsia="Arial" w:hAnsi="Arial"/>
          <w:sz w:val="18"/>
          <w:szCs w:val="18"/>
          <w:color w:val="auto"/>
        </w:rPr>
      </w:pPr>
    </w:p>
    <w:p>
      <w:pPr>
        <w:jc w:val="both"/>
        <w:ind w:left="4" w:firstLine="644"/>
        <w:spacing w:after="0" w:line="266" w:lineRule="auto"/>
        <w:tabs>
          <w:tab w:leader="none" w:pos="11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Investments in an aggregate amount equal to the portion, if any, of the Available Amount that is Not Otherwise Applied as in effect immediately prior to the time of making of such Investment, so long as no Event of Default shall have occurred and be continuing or would result therefrom</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784"/>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584"/>
          </w:cols>
          <w:pgMar w:left="976" w:top="1421" w:right="339" w:bottom="1440" w:gutter="0" w:footer="0" w:header="0"/>
        </w:sectPr>
      </w:pPr>
    </w:p>
    <w:bookmarkStart w:id="126" w:name="page127"/>
    <w:bookmarkEnd w:id="126"/>
    <w:p>
      <w:pPr>
        <w:ind w:left="1300"/>
        <w:spacing w:after="0"/>
        <w:tabs>
          <w:tab w:leader="none" w:pos="25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5"/>
          <w:szCs w:val="15"/>
          <w:u w:val="single" w:color="auto"/>
          <w:color w:val="auto"/>
        </w:rPr>
        <w:t>Asset Sales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Holdings will not, and will not permit any Restricted Subsidiary to, (i) voluntarily sell, transfer, lease or otherwise dispose of any asset, including any Equity Interest owned by it or (ii)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Holdings or any Restricted Subsidiary in compliance with Section 6.04(c)) (each, a “</w:t>
      </w:r>
      <w:r>
        <w:rPr>
          <w:rFonts w:ascii="Arial" w:cs="Arial" w:eastAsia="Arial" w:hAnsi="Arial"/>
          <w:sz w:val="18"/>
          <w:szCs w:val="18"/>
          <w:u w:val="single" w:color="auto"/>
          <w:color w:val="auto"/>
        </w:rPr>
        <w:t>Disposition</w:t>
      </w:r>
      <w:r>
        <w:rPr>
          <w:rFonts w:ascii="Arial" w:cs="Arial" w:eastAsia="Arial" w:hAnsi="Arial"/>
          <w:sz w:val="18"/>
          <w:szCs w:val="18"/>
          <w:color w:val="auto"/>
        </w:rPr>
        <w:t>” and the term “</w:t>
      </w:r>
      <w:r>
        <w:rPr>
          <w:rFonts w:ascii="Arial" w:cs="Arial" w:eastAsia="Arial" w:hAnsi="Arial"/>
          <w:sz w:val="18"/>
          <w:szCs w:val="18"/>
          <w:u w:val="single" w:color="auto"/>
          <w:color w:val="auto"/>
        </w:rPr>
        <w:t>Dispose</w:t>
      </w:r>
      <w:r>
        <w:rPr>
          <w:rFonts w:ascii="Arial" w:cs="Arial" w:eastAsia="Arial" w:hAnsi="Arial"/>
          <w:sz w:val="18"/>
          <w:szCs w:val="18"/>
          <w:color w:val="auto"/>
        </w:rPr>
        <w:t>” as a verb has the corresponding meaning), except:</w:t>
      </w:r>
    </w:p>
    <w:p>
      <w:pPr>
        <w:spacing w:after="0" w:line="188" w:lineRule="exact"/>
        <w:rPr>
          <w:sz w:val="20"/>
          <w:szCs w:val="20"/>
          <w:color w:val="auto"/>
        </w:rPr>
      </w:pPr>
    </w:p>
    <w:p>
      <w:pPr>
        <w:jc w:val="both"/>
        <w:ind w:left="660" w:firstLine="644"/>
        <w:spacing w:after="0" w:line="293" w:lineRule="auto"/>
        <w:tabs>
          <w:tab w:leader="none" w:pos="173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Dispositions of obsolete, damaged, used, surplus or worn out property, whether now owned or hereafter acquired, in the ordinary course of business and Dispositions of property no longer used or useful, or economically practicable to maintain, in the conduct of the core or principal business of Holdings and any Restricted Subsidiary (including by ceasing to enforce, abandoning, allowing to lapse, terminate or be invalidated, discontinuing the use or maintenance of or putting into the public domain, any Intellectual Property that is, in the reasonable judgment of Holdings or the Restricted Subsidiaries, no longer used or useful, or economically practicable to maintain, or in respect of which the Holdings or any Restricted Subsidiary determines in its reasonable business judgment that such action or inaction is desirable);</w:t>
      </w:r>
    </w:p>
    <w:p>
      <w:pPr>
        <w:spacing w:after="0" w:line="164" w:lineRule="exact"/>
        <w:rPr>
          <w:rFonts w:ascii="Arial" w:cs="Arial" w:eastAsia="Arial" w:hAnsi="Arial"/>
          <w:sz w:val="16"/>
          <w:szCs w:val="16"/>
          <w:color w:val="auto"/>
        </w:rPr>
      </w:pPr>
    </w:p>
    <w:p>
      <w:pPr>
        <w:ind w:left="660" w:firstLine="644"/>
        <w:spacing w:after="0" w:line="277" w:lineRule="auto"/>
        <w:tabs>
          <w:tab w:leader="none" w:pos="171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Dispositions of inventory and other assets (including Settlement Assets) or held for sale or no longer used in the ordinary course of business and immaterial assets (considered in the aggregate) in the ordinary course of business;</w:t>
      </w:r>
    </w:p>
    <w:p>
      <w:pPr>
        <w:spacing w:after="0" w:line="170" w:lineRule="exact"/>
        <w:rPr>
          <w:rFonts w:ascii="Arial" w:cs="Arial" w:eastAsia="Arial" w:hAnsi="Arial"/>
          <w:sz w:val="18"/>
          <w:szCs w:val="18"/>
          <w:color w:val="auto"/>
        </w:rPr>
      </w:pPr>
    </w:p>
    <w:p>
      <w:pPr>
        <w:ind w:left="660" w:right="20" w:firstLine="644"/>
        <w:spacing w:after="0" w:line="342" w:lineRule="auto"/>
        <w:tabs>
          <w:tab w:leader="none" w:pos="169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Dispositions of property to the extent that (i) such property is exchanged for credit against the purchase price of similar replacement property or (ii) an amount equal to Net Proceeds of such Disposition are promptly applied to the purchase price of such replacement property;</w:t>
      </w:r>
    </w:p>
    <w:p>
      <w:pPr>
        <w:spacing w:after="0" w:line="123" w:lineRule="exact"/>
        <w:rPr>
          <w:rFonts w:ascii="Arial" w:cs="Arial" w:eastAsia="Arial" w:hAnsi="Arial"/>
          <w:sz w:val="16"/>
          <w:szCs w:val="16"/>
          <w:color w:val="auto"/>
        </w:rPr>
      </w:pPr>
    </w:p>
    <w:p>
      <w:pPr>
        <w:jc w:val="both"/>
        <w:ind w:left="660" w:firstLine="644"/>
        <w:spacing w:after="0" w:line="255" w:lineRule="auto"/>
        <w:tabs>
          <w:tab w:leader="none" w:pos="17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Dispositions of property to Holdings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transferor in such a transaction is a Loan Party, then either (i) the transferee must be a Loan Party, (ii) to the extent constituting an Investment, such Investment must be a permitted Investment in a Restricted Subsidiary that is not a Loan Party in accordance with Section 6.04 or (iii) such Disposition is for Fair Market Value (as determined in good faith by the Borrower) and to the extent constituting a Disposition to a Restricted Subsidiary that is not a Loan Party, any promissory note or other non-cash consideration received in respect thereof is a permitted investment in a Restricted Subsidiary that is not a Loan Party in accordance with Section 6.04;</w:t>
      </w:r>
    </w:p>
    <w:p>
      <w:pPr>
        <w:spacing w:after="0" w:line="192" w:lineRule="exact"/>
        <w:rPr>
          <w:rFonts w:ascii="Arial" w:cs="Arial" w:eastAsia="Arial" w:hAnsi="Arial"/>
          <w:sz w:val="18"/>
          <w:szCs w:val="18"/>
          <w:color w:val="auto"/>
        </w:rPr>
      </w:pPr>
    </w:p>
    <w:p>
      <w:pPr>
        <w:ind w:left="660" w:firstLine="644"/>
        <w:spacing w:after="0" w:line="277" w:lineRule="auto"/>
        <w:tabs>
          <w:tab w:leader="none" w:pos="170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Dispositions permitted by Section 6.03, Investments permitted by Section 6.04, Restricted Payments permitted by Section 6.07 and Liens permitted by Section 6.02;</w:t>
      </w:r>
    </w:p>
    <w:p>
      <w:pPr>
        <w:spacing w:after="0" w:line="170" w:lineRule="exact"/>
        <w:rPr>
          <w:rFonts w:ascii="Arial" w:cs="Arial" w:eastAsia="Arial" w:hAnsi="Arial"/>
          <w:sz w:val="18"/>
          <w:szCs w:val="18"/>
          <w:color w:val="auto"/>
        </w:rPr>
      </w:pPr>
    </w:p>
    <w:p>
      <w:pPr>
        <w:ind w:left="660" w:firstLine="644"/>
        <w:spacing w:after="0" w:line="277" w:lineRule="auto"/>
        <w:tabs>
          <w:tab w:leader="none" w:pos="177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Dispositions of property acquired by Holdings or any of the Restricted Subsidiaries after the Effective Date pursuant to sale-leaseback transactions permitted pursuant to Section 6.06;</w:t>
      </w:r>
    </w:p>
    <w:p>
      <w:pPr>
        <w:spacing w:after="0" w:line="170" w:lineRule="exact"/>
        <w:rPr>
          <w:rFonts w:ascii="Arial" w:cs="Arial" w:eastAsia="Arial" w:hAnsi="Arial"/>
          <w:sz w:val="18"/>
          <w:szCs w:val="18"/>
          <w:color w:val="auto"/>
        </w:rPr>
      </w:pPr>
    </w:p>
    <w:p>
      <w:pPr>
        <w:ind w:left="1700" w:hanging="396"/>
        <w:spacing w:after="0"/>
        <w:tabs>
          <w:tab w:leader="none" w:pos="1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Dispositions of Permitted Investments;</w:t>
      </w:r>
    </w:p>
    <w:p>
      <w:pPr>
        <w:spacing w:after="0" w:line="225" w:lineRule="exact"/>
        <w:rPr>
          <w:rFonts w:ascii="Arial" w:cs="Arial" w:eastAsia="Arial" w:hAnsi="Arial"/>
          <w:sz w:val="18"/>
          <w:szCs w:val="18"/>
          <w:color w:val="auto"/>
        </w:rPr>
      </w:pPr>
    </w:p>
    <w:p>
      <w:pPr>
        <w:ind w:left="660" w:firstLine="644"/>
        <w:spacing w:after="0" w:line="277" w:lineRule="auto"/>
        <w:tabs>
          <w:tab w:leader="none" w:pos="179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Dispositions or forgiveness of accounts receivable in connection with the collection or compromise thereof (including sales to factors or other third parties);</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77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leases, subleases, service agreements, product sales, licenses or sublicenses (including licenses and sublicenses of Intellectual Property), in each case that do not materially interfere with the business of Holdings, the Borrower and the Restricted Subsidiaries, taken as a whole;</w:t>
      </w:r>
    </w:p>
    <w:p>
      <w:pPr>
        <w:spacing w:after="0" w:line="183" w:lineRule="exact"/>
        <w:rPr>
          <w:rFonts w:ascii="Arial" w:cs="Arial" w:eastAsia="Arial" w:hAnsi="Arial"/>
          <w:sz w:val="18"/>
          <w:szCs w:val="18"/>
          <w:color w:val="auto"/>
        </w:rPr>
      </w:pPr>
    </w:p>
    <w:p>
      <w:pPr>
        <w:ind w:left="1660" w:hanging="356"/>
        <w:spacing w:after="0"/>
        <w:tabs>
          <w:tab w:leader="none" w:pos="1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transfers of property subject to Casualty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21" w:right="339" w:bottom="1440" w:gutter="0" w:footer="0" w:header="0"/>
        </w:sectPr>
      </w:pPr>
    </w:p>
    <w:bookmarkStart w:id="127" w:name="page128"/>
    <w:bookmarkEnd w:id="127"/>
    <w:p>
      <w:pPr>
        <w:jc w:val="both"/>
        <w:ind w:left="-460" w:firstLine="644"/>
        <w:spacing w:after="0" w:line="284" w:lineRule="auto"/>
        <w:tabs>
          <w:tab w:leader="none" w:pos="69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Dispositions of property to Persons other than Restricted Subsidiaries (including the sale or issuance of Equity Interests of a Restricted Subsidiary) for Fair Market Value (as determined by a in good faith by the board of directors of the Borrower) not otherwise permitted under this Section 6.05;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Disposition pursuant to this clause (k) for a purchase price in excess of $30,000,000, Holdings, the Borrower or such Restricted Subsidiaries shall receive not less than 75% of such consideration in the form of cash or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solely for the purposes of this clause (k), (A) any liabilities (as shown on the most recent balance sheet of Holdings or such Restricted Subsidiary or in the footnotes thereto) of Holdings or such Restricted Subsidiary, other than liabilities that are by their terms subordinated in right of payment to the First Lien Loan Document Obligations, that are assumed by the transferee with respect to the applicable Disposition and for which Holdings and all of the Restricted Subsidiaries shall have been validly released by all applicable creditors in writing, shall be deemed to be cash, (B) any securities, notes or other obligations or assets received by Holdings, the Borrower or such Restricted Subsidiary from such transferee that are converted by Holdings or such Restricted Subsidiary into cash or Permitted Investments (to the extent of the cash or Permitted Investments received) within one hundred and eighty (180) days following the closing of the applicable Disposition, shall be deemed to be cash, (C) Indebtedness of any Restricted Subsidiary that ceases to be a Restricted Subsidiary as a result of such Disposition (other than intercompany debt owed to t Holdings or its Restricted Subsidiaries), to the extent that Holdings and all of the Restricted Subsidiaries (to the extent previously liable thereunder) are released from any guarantee of payment of the principal amount of such Indebtedness in connection with such Disposition, shall be deemed to be cash, (D) any Designated Non-Cash Consideration received by Holdings or such Restricted Subsidiary in respect of such Disposition having an aggregate Fair Market Value (as determined by a Responsible Officer of the Borrower in good faith), taken together with all other Designated Non-Cash Consideration received pursuant to this clause (k) that is at that time outstanding, not in excess of the greater of (A) $35,200,000 and (B) 20% of Consolidated EBITDA for the most recently ended Test Period at the time of the receipt of such Designated Non-Cash Consideration, with the Fair Market Value (as determined by a Responsible Officer of the Borrower in good faith) of each item of Designated Non-Cash Consideration being measured at the time received and without giving effect to subsequent changes in value, shall be deemed to be cash and (E) at the time of and immediately after giving effect to such Disposition, no Default or Event of Default shall have occurred and be continuing;</w:t>
      </w:r>
    </w:p>
    <w:p>
      <w:pPr>
        <w:spacing w:after="0" w:line="395" w:lineRule="exact"/>
        <w:rPr>
          <w:rFonts w:ascii="Arial" w:cs="Arial" w:eastAsia="Arial" w:hAnsi="Arial"/>
          <w:sz w:val="16"/>
          <w:szCs w:val="16"/>
          <w:color w:val="auto"/>
        </w:rPr>
      </w:pPr>
    </w:p>
    <w:p>
      <w:pPr>
        <w:ind w:left="-460" w:firstLine="644"/>
        <w:spacing w:after="0" w:line="277" w:lineRule="auto"/>
        <w:tabs>
          <w:tab w:leader="none" w:pos="65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70" w:lineRule="exact"/>
        <w:rPr>
          <w:rFonts w:ascii="Arial" w:cs="Arial" w:eastAsia="Arial" w:hAnsi="Arial"/>
          <w:sz w:val="18"/>
          <w:szCs w:val="18"/>
          <w:color w:val="auto"/>
        </w:rPr>
      </w:pPr>
    </w:p>
    <w:p>
      <w:pPr>
        <w:ind w:left="620" w:hanging="436"/>
        <w:spacing w:after="0"/>
        <w:tabs>
          <w:tab w:leader="none" w:pos="6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460" w:firstLine="644"/>
        <w:spacing w:after="0" w:line="257" w:lineRule="auto"/>
        <w:tabs>
          <w:tab w:leader="none" w:pos="71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additional Dispositions; provided that at the time any such Dispositions is made, the aggregate outstanding amount of such Dispositions made in reliance on this clause (n), together with the aggregate amount of all consideration paid in connection with all other Dispositions made in reliance on this clause (n), shall not exceed the sum of the greater of (A) $35,200,000 and (B) 20% of Consolidated EBITDA for the most recently ended Test Period after giving Pro Forma Effect to the making of such Dispositions;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Disposition is for Fair Market Value (as determined in good faith by the Borrower) ;</w:t>
      </w:r>
    </w:p>
    <w:p>
      <w:pPr>
        <w:spacing w:after="0" w:line="187" w:lineRule="exact"/>
        <w:rPr>
          <w:rFonts w:ascii="Arial" w:cs="Arial" w:eastAsia="Arial" w:hAnsi="Arial"/>
          <w:sz w:val="18"/>
          <w:szCs w:val="18"/>
          <w:color w:val="auto"/>
        </w:rPr>
      </w:pPr>
    </w:p>
    <w:p>
      <w:pPr>
        <w:jc w:val="both"/>
        <w:ind w:left="-460" w:firstLine="644"/>
        <w:spacing w:after="0" w:line="286" w:lineRule="auto"/>
        <w:tabs>
          <w:tab w:leader="none" w:pos="73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Dispositions of any assets (including Equity Interests) (A) acquired in connection with any Permitted Acquisition or other Investment not prohibited hereunder, which assets are not used or useful to the core or principal business of Holdings and the Restricted Subsidiaries and (B) made to obtain the approval of any applicable antitrust authority in connection with a Permitted Acquisition;</w:t>
      </w:r>
    </w:p>
    <w:p>
      <w:pPr>
        <w:spacing w:after="0" w:line="165" w:lineRule="exact"/>
        <w:rPr>
          <w:rFonts w:ascii="Arial" w:cs="Arial" w:eastAsia="Arial" w:hAnsi="Arial"/>
          <w:sz w:val="17"/>
          <w:szCs w:val="17"/>
          <w:color w:val="auto"/>
        </w:rPr>
      </w:pPr>
    </w:p>
    <w:p>
      <w:pPr>
        <w:jc w:val="both"/>
        <w:ind w:left="-460" w:firstLine="644"/>
        <w:spacing w:after="0" w:line="263" w:lineRule="auto"/>
        <w:tabs>
          <w:tab w:leader="none" w:pos="61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any Disposition of accounts receivable, Securitization Assets, any participations thereof, or related assets in connection with or any Qualified Securitization Facility, (ii) the sale or discount of inventory, accounts receivable or notes receivable in the ordinary course of business (including sales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120"/>
          </w:cols>
          <w:pgMar w:left="1440" w:top="1421" w:right="339" w:bottom="1440" w:gutter="0" w:footer="0" w:header="0"/>
        </w:sectPr>
      </w:pPr>
    </w:p>
    <w:bookmarkStart w:id="128" w:name="page129"/>
    <w:bookmarkEnd w:id="128"/>
    <w:p>
      <w:pPr>
        <w:ind w:left="660" w:right="20"/>
        <w:spacing w:after="0" w:line="277" w:lineRule="auto"/>
        <w:rPr>
          <w:sz w:val="20"/>
          <w:szCs w:val="20"/>
          <w:color w:val="auto"/>
        </w:rPr>
      </w:pPr>
      <w:r>
        <w:rPr>
          <w:rFonts w:ascii="Arial" w:cs="Arial" w:eastAsia="Arial" w:hAnsi="Arial"/>
          <w:sz w:val="18"/>
          <w:szCs w:val="18"/>
          <w:color w:val="auto"/>
        </w:rPr>
        <w:t>factors or other third parties) or in connection with any supplier and/or customer financing or (iii) the conversion of accounts receivable to notes receivable;</w:t>
      </w:r>
    </w:p>
    <w:p>
      <w:pPr>
        <w:spacing w:after="0" w:line="170" w:lineRule="exact"/>
        <w:rPr>
          <w:sz w:val="20"/>
          <w:szCs w:val="20"/>
          <w:color w:val="auto"/>
        </w:rPr>
      </w:pPr>
    </w:p>
    <w:p>
      <w:pPr>
        <w:jc w:val="both"/>
        <w:ind w:left="660" w:firstLine="644"/>
        <w:spacing w:after="0" w:line="259" w:lineRule="auto"/>
        <w:tabs>
          <w:tab w:leader="none" w:pos="178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transfers of condemned real property as a result of the exercise of “eminent domain” or other similar powers to the respective Governmental Authority or agency that has condemned the same (whether by deed in lieu of condemnation or otherwise), and transfers of real property arising from foreclosure or similar action or that have been subject to a casualty to the respective insurer of such real property as part of an insurance settlement; and</w:t>
      </w:r>
    </w:p>
    <w:p>
      <w:pPr>
        <w:spacing w:after="0" w:line="186" w:lineRule="exact"/>
        <w:rPr>
          <w:rFonts w:ascii="Arial" w:cs="Arial" w:eastAsia="Arial" w:hAnsi="Arial"/>
          <w:sz w:val="18"/>
          <w:szCs w:val="18"/>
          <w:color w:val="auto"/>
        </w:rPr>
      </w:pPr>
    </w:p>
    <w:p>
      <w:pPr>
        <w:ind w:left="1660" w:hanging="356"/>
        <w:spacing w:after="0"/>
        <w:tabs>
          <w:tab w:leader="none" w:pos="1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non-exclusive licenses or sublicenses, or other similar grants of rights, to Intellectual Property in the ordinary course of business.</w:t>
      </w:r>
    </w:p>
    <w:p>
      <w:pPr>
        <w:spacing w:after="0" w:line="248"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5"/>
          <w:szCs w:val="15"/>
          <w:u w:val="single" w:color="auto"/>
          <w:color w:val="auto"/>
        </w:rPr>
        <w:t>Sale/Leaseback</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Holdings will not, and will not permit any Restricted Subsidiary to, directly or indirectly, after the Effective Date, become liable as lessee with respect to any lease of property, whether an operating lease or a capital lease, of any property (whether real, personal or mixed), whether now owned or hereafter acquired, which Holdings or any of its Restricted Subsidiaries has sold or transferred or is to sell or transfer to a Person which is not Holdings or any Restricted Subsidiary of Holdings (such a transaction, a “</w:t>
      </w:r>
      <w:r>
        <w:rPr>
          <w:rFonts w:ascii="Arial" w:cs="Arial" w:eastAsia="Arial" w:hAnsi="Arial"/>
          <w:sz w:val="17"/>
          <w:szCs w:val="17"/>
          <w:u w:val="single" w:color="auto"/>
          <w:color w:val="auto"/>
        </w:rPr>
        <w:t>Sale and Lease-Back Transaction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Sale and Lease-Back Transaction shall be permitted so long as such Sale and Lease-Back Transaction is (A) permitted by </w:t>
      </w:r>
      <w:r>
        <w:rPr>
          <w:rFonts w:ascii="Arial" w:cs="Arial" w:eastAsia="Arial" w:hAnsi="Arial"/>
          <w:sz w:val="17"/>
          <w:szCs w:val="17"/>
          <w:u w:val="single" w:color="auto"/>
          <w:color w:val="auto"/>
        </w:rPr>
        <w:t>Section 6.01(a)(v)</w:t>
      </w:r>
      <w:r>
        <w:rPr>
          <w:rFonts w:ascii="Arial" w:cs="Arial" w:eastAsia="Arial" w:hAnsi="Arial"/>
          <w:sz w:val="17"/>
          <w:szCs w:val="17"/>
          <w:color w:val="auto"/>
        </w:rPr>
        <w:t xml:space="preserve"> and/or (B)(1) made for Cash consideration, (2) Holdings or its applicable Restricted Subsidiary would otherwise be permitted to enter into, and remain liable under, the applicable underlying lease and (3) the aggregate Fair Market Value (as determined by the a Responsible Officer of the Borrower) of the property sold pursuant to all such Sale and Lease-Back Transactions under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(together with the aggregate principal amount of Dispositions made in reliance on Section 6.05(m)) shall not exceed the sum of the greater of (A) $35,200,000 and (B) 20% of Consolidated EBITDA at any time outstanding. Notwithstanding anything to the contrary in this Section 6.06, in no event shall the Borrower or any Restricted Subsidiary enter into Sale and Lease-Back Transaction with an Excluded Subsidiary with respect to any material Intellectual Property.</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color w:val="auto"/>
        </w:rPr>
        <w:t>Restricted Payments; Certain Payments of Indebtedness.</w:t>
      </w:r>
    </w:p>
    <w:p>
      <w:pPr>
        <w:spacing w:after="0" w:line="225" w:lineRule="exact"/>
        <w:rPr>
          <w:sz w:val="20"/>
          <w:szCs w:val="20"/>
          <w:color w:val="auto"/>
        </w:rPr>
      </w:pPr>
    </w:p>
    <w:p>
      <w:pPr>
        <w:ind w:firstLine="1304"/>
        <w:spacing w:after="0" w:line="277" w:lineRule="auto"/>
        <w:tabs>
          <w:tab w:leader="none" w:pos="194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Holdings will not, and will not permit any Restricted Subsidiary to, declare or make, or agree to pay or make, directly or indirectly, any Restricted Payment, except:</w:t>
      </w:r>
    </w:p>
    <w:p>
      <w:pPr>
        <w:spacing w:after="0" w:line="170" w:lineRule="exact"/>
        <w:rPr>
          <w:rFonts w:ascii="Arial" w:cs="Arial" w:eastAsia="Arial" w:hAnsi="Arial"/>
          <w:sz w:val="18"/>
          <w:szCs w:val="18"/>
          <w:color w:val="auto"/>
        </w:rPr>
      </w:pPr>
    </w:p>
    <w:p>
      <w:pPr>
        <w:jc w:val="both"/>
        <w:ind w:firstLine="915"/>
        <w:spacing w:after="0" w:line="259" w:lineRule="auto"/>
        <w:tabs>
          <w:tab w:leader="none" w:pos="150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each Restricted Subsidiary may make Restricted Payments to Holdings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such Restricted Payment by a Restricted Subsidiary that is not a Wholly Owned Subsidiary, such Restricted Payment is made to Holdings, any Restricted Subsidiary and to each other owner of Equity Interests of such Restricted Subsidiary based on their relative ownership interests of the relevant class of Equity Interests;</w:t>
      </w:r>
    </w:p>
    <w:p>
      <w:pPr>
        <w:spacing w:after="0" w:line="186" w:lineRule="exact"/>
        <w:rPr>
          <w:rFonts w:ascii="Arial" w:cs="Arial" w:eastAsia="Arial" w:hAnsi="Arial"/>
          <w:sz w:val="18"/>
          <w:szCs w:val="18"/>
          <w:color w:val="auto"/>
        </w:rPr>
      </w:pPr>
    </w:p>
    <w:p>
      <w:pPr>
        <w:ind w:firstLine="915"/>
        <w:spacing w:after="0" w:line="277" w:lineRule="auto"/>
        <w:tabs>
          <w:tab w:leader="none" w:pos="15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Holdings and each Restricted Subsidiary may declare and make dividend payments or other distributions payable solely in the Equity Interests of such Person;</w:t>
      </w:r>
    </w:p>
    <w:p>
      <w:pPr>
        <w:spacing w:after="0" w:line="170" w:lineRule="exact"/>
        <w:rPr>
          <w:rFonts w:ascii="Arial" w:cs="Arial" w:eastAsia="Arial" w:hAnsi="Arial"/>
          <w:sz w:val="18"/>
          <w:szCs w:val="18"/>
          <w:color w:val="auto"/>
        </w:rPr>
      </w:pPr>
    </w:p>
    <w:p>
      <w:pPr>
        <w:ind w:left="1520" w:hanging="605"/>
        <w:spacing w:after="0"/>
        <w:tabs>
          <w:tab w:leader="none" w:pos="15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Restricted Payments made in connection with the Transactions;</w:t>
      </w:r>
    </w:p>
    <w:p>
      <w:pPr>
        <w:spacing w:after="0" w:line="225" w:lineRule="exact"/>
        <w:rPr>
          <w:rFonts w:ascii="Arial" w:cs="Arial" w:eastAsia="Arial" w:hAnsi="Arial"/>
          <w:sz w:val="18"/>
          <w:szCs w:val="18"/>
          <w:color w:val="auto"/>
        </w:rPr>
      </w:pPr>
    </w:p>
    <w:p>
      <w:pPr>
        <w:jc w:val="both"/>
        <w:ind w:firstLine="915"/>
        <w:spacing w:after="0" w:line="263" w:lineRule="auto"/>
        <w:tabs>
          <w:tab w:leader="none" w:pos="151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repurchases of Equity Interests in Holdings (or any direct or indirect parent of Holdings), the Borrower or any Restricted Subsidiary deemed to occur upon exercise of stock options or warrants if such Equity Interests represent a portion of the exercise price or withholding Taxes payable in connection with the exercise of such options or warrants or other incentive interests;</w:t>
      </w:r>
    </w:p>
    <w:p>
      <w:pPr>
        <w:spacing w:after="0" w:line="183" w:lineRule="exact"/>
        <w:rPr>
          <w:rFonts w:ascii="Arial" w:cs="Arial" w:eastAsia="Arial" w:hAnsi="Arial"/>
          <w:sz w:val="18"/>
          <w:szCs w:val="18"/>
          <w:color w:val="auto"/>
        </w:rPr>
      </w:pPr>
    </w:p>
    <w:p>
      <w:pPr>
        <w:jc w:val="both"/>
        <w:ind w:firstLine="915"/>
        <w:spacing w:after="0" w:line="311" w:lineRule="auto"/>
        <w:tabs>
          <w:tab w:leader="none" w:pos="151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Restricted Payments to Holdings, which Holdings may use to redeem, acquire, retire, repurchase or settle its Equity Interests (or any options, warrants, restricted stock or stock appreciation rights or similar securities issued with respect to any such Equity Interests) or Indebtedness or to service Indebtedness incurred by Holdings or any direct or indirect parent companies of Holdings to finance the redemption,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21" w:right="339" w:bottom="1440" w:gutter="0" w:footer="0" w:header="0"/>
        </w:sectPr>
      </w:pPr>
    </w:p>
    <w:bookmarkStart w:id="129" w:name="page130"/>
    <w:bookmarkEnd w:id="129"/>
    <w:p>
      <w:pPr>
        <w:jc w:val="both"/>
        <w:spacing w:after="0" w:line="284" w:lineRule="auto"/>
        <w:rPr>
          <w:sz w:val="20"/>
          <w:szCs w:val="20"/>
          <w:color w:val="auto"/>
        </w:rPr>
      </w:pPr>
      <w:r>
        <w:rPr>
          <w:rFonts w:ascii="Arial" w:cs="Arial" w:eastAsia="Arial" w:hAnsi="Arial"/>
          <w:sz w:val="16"/>
          <w:szCs w:val="16"/>
          <w:color w:val="auto"/>
        </w:rPr>
        <w:t xml:space="preserve">retirement, repurchase or settlement of such Equity Interest or Indebtedness (or make Restricted Payments to allow any of Holdings’ direct or indirect parent companies to so redeem, retire, acquire or repurchase their Equity Interests or their Indebtedness or to service Indebtedness incurred by Holdings to finance the redemption, acquisition, retirement, repurchase or settlement of such Equity Interests or Indebtedness or to service Indebtedness incurred to finance the redemption, retirement, acquisition or repurchase of such Equity Interests or Indebtedness), held directly or indirectly by current or former officers, managers, consultants, members of the Board of Directors, employees or independent contractors (or their respective spouses, former spouses, successors, executors, administrators, heirs, legatees or distributees) of Holdings (or any direct or indirect parent thereof), the Borrower and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together with the aggregate amount of loans and advances to Holdings made pursuant to Section 6.04(m) in lieu of Restricted Payments permitted by this clause (v) not to exceed $10,000,000 in any calendar year; provided that such amount in any calendar year may be increased by (1) an amount not to exceed the cash proceeds of key man life insurance policies received by the Borrower (or by Holdings (or any direct or indirect parent thereof) and contributed to Holdings) or the Restricted Subsidiaries after the Effective Date, or (2) the amount of any bona fide cash bonuses otherwise payable to members of the Board of Directors, consultants, officers, employees, managers or independent contractors of Holdings, the Borrower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cancellation of Indebtedness owing to Holdings or any Restricted Subsidiary from members of the Board of Directors, consultants, officers, employees, managers or independent contractors (or their respective spouses, former spouses, successors, executors, administrators, heirs, legatees or distributees) of Holdings, the Borrower or any Restricted Subsidiary in connection with a repurchase of Equity Interests of Holdings, or the Borrower (or any direct or indirect parent thereof) will not be deemed to constitute a Restricted Payment for purposes of this Section 6.07 or any other provisions of this Agreement.</w:t>
      </w:r>
    </w:p>
    <w:p>
      <w:pPr>
        <w:spacing w:after="0" w:line="182" w:lineRule="exact"/>
        <w:rPr>
          <w:sz w:val="20"/>
          <w:szCs w:val="20"/>
          <w:color w:val="auto"/>
        </w:rPr>
      </w:pPr>
    </w:p>
    <w:p>
      <w:pPr>
        <w:jc w:val="both"/>
        <w:ind w:firstLine="915"/>
        <w:spacing w:after="0" w:line="279" w:lineRule="auto"/>
        <w:tabs>
          <w:tab w:leader="none" w:pos="149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other Restricted Payments made by Holdings (i) in an amount not to exceed, at the time of the making such Restricted Payments and after giving Pro Forma Effect thereto, the greater of (A) $ 52,800,000 and (B) 30% of Consolidated EBITDA for the most recently ended Test Period or (ii) in an unlimited amount so long as (x) no Event of Default shall have occurred and be continuing or would result therefrom and (y) on a Pro Forma Basis, the Senior Secured Net Leverage Ratio is equal to or less than 3.00 to 1.00 for the most recently ended Test Period;</w:t>
      </w:r>
    </w:p>
    <w:p>
      <w:pPr>
        <w:spacing w:after="0" w:line="171" w:lineRule="exact"/>
        <w:rPr>
          <w:rFonts w:ascii="Arial" w:cs="Arial" w:eastAsia="Arial" w:hAnsi="Arial"/>
          <w:sz w:val="17"/>
          <w:szCs w:val="17"/>
          <w:color w:val="auto"/>
        </w:rPr>
      </w:pPr>
    </w:p>
    <w:p>
      <w:pPr>
        <w:ind w:left="1520" w:hanging="605"/>
        <w:spacing w:after="0"/>
        <w:tabs>
          <w:tab w:leader="none" w:pos="15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Holdings and any Restricted Subsidiary may make Restricted Payments in cash to any direct or indirect parent of Holdings:</w:t>
      </w:r>
    </w:p>
    <w:p>
      <w:pPr>
        <w:spacing w:after="0" w:line="236" w:lineRule="exact"/>
        <w:rPr>
          <w:rFonts w:ascii="Arial" w:cs="Arial" w:eastAsia="Arial" w:hAnsi="Arial"/>
          <w:sz w:val="17"/>
          <w:szCs w:val="17"/>
          <w:color w:val="auto"/>
        </w:rPr>
      </w:pPr>
    </w:p>
    <w:p>
      <w:pPr>
        <w:jc w:val="both"/>
        <w:ind w:left="1300" w:firstLine="652"/>
        <w:spacing w:after="0" w:line="289" w:lineRule="auto"/>
        <w:tabs>
          <w:tab w:leader="none" w:pos="2589"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as distributions to such or any direct or indirect parent of Holdings in amounts required to pay with respect to any taxable period in which Holdings and/or any of its Subsidiaries is a member of (or Holdings is a disregarded entity for U.S. federal income tax purposes wholly owned by a member of) a consolidated, combined, unitary or similar tax group (a “</w:t>
      </w:r>
      <w:r>
        <w:rPr>
          <w:rFonts w:ascii="Arial" w:cs="Arial" w:eastAsia="Arial" w:hAnsi="Arial"/>
          <w:sz w:val="16"/>
          <w:szCs w:val="16"/>
          <w:u w:val="single" w:color="auto"/>
          <w:color w:val="auto"/>
        </w:rPr>
        <w:t>Tax Group</w:t>
      </w:r>
      <w:r>
        <w:rPr>
          <w:rFonts w:ascii="Arial" w:cs="Arial" w:eastAsia="Arial" w:hAnsi="Arial"/>
          <w:sz w:val="16"/>
          <w:szCs w:val="16"/>
          <w:color w:val="auto"/>
        </w:rPr>
        <w:t xml:space="preserve">”) for U.S. federal and/or applicable foreign, state or local income tax purposes of which any direct or indirect parent of Holdings is the common parent, Taxes that are attributable to the taxable income, revenue, receipts, gross receipts, gross profits, capital or margin of Holdings and/or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each taxable period, the amount of such payments made in respect of such taxable period in the aggregate shall not exceed the amount of such Taxes that Holdings and its Subsidiaries would have been required to pay if they were a stand-alone Tax Group with Holdings as the corporate common parent of such stand-alone Tax Group (reduced by any such taxes paid directly by Holdings or its Subsidiaries to the applicable Governmental Authority) (collectively, “</w:t>
      </w:r>
      <w:r>
        <w:rPr>
          <w:rFonts w:ascii="Arial" w:cs="Arial" w:eastAsia="Arial" w:hAnsi="Arial"/>
          <w:sz w:val="16"/>
          <w:szCs w:val="16"/>
          <w:u w:val="single" w:color="auto"/>
          <w:color w:val="auto"/>
        </w:rPr>
        <w:t>Tax Distributions</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300" w:firstLine="652"/>
        <w:spacing w:after="0" w:line="277" w:lineRule="auto"/>
        <w:tabs>
          <w:tab w:leader="none" w:pos="259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proceeds of which shall be used by such direct or indirect parent to pay (1) its operating expenses incurred in the ordinary course of business and other corporate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21" w:right="339" w:bottom="1440" w:gutter="0" w:footer="0" w:header="0"/>
        </w:sectPr>
      </w:pPr>
    </w:p>
    <w:bookmarkStart w:id="130" w:name="page131"/>
    <w:bookmarkEnd w:id="130"/>
    <w:p>
      <w:pPr>
        <w:jc w:val="both"/>
        <w:ind w:left="1300"/>
        <w:spacing w:after="0" w:line="293" w:lineRule="auto"/>
        <w:rPr>
          <w:sz w:val="20"/>
          <w:szCs w:val="20"/>
          <w:color w:val="auto"/>
        </w:rPr>
      </w:pPr>
      <w:r>
        <w:rPr>
          <w:rFonts w:ascii="Arial" w:cs="Arial" w:eastAsia="Arial" w:hAnsi="Arial"/>
          <w:sz w:val="16"/>
          <w:szCs w:val="16"/>
          <w:color w:val="auto"/>
        </w:rPr>
        <w:t>costs and expenses (including administrative, legal, accounting and similar expenses payable to third parties) that are reasonable and customary and incurred in the ordinary course of business, (2) any reasonable and customary indemnification claims made by members of the Board of Directors or officers, employees, directors, managers, consultants or independent contractors of such parent attributable to the ownership or operations of Holdings, the Borrower and its Restricted Subsidiaries, (3) fees and expenses (x) due and payable by Holdings and its Restricted Subsidiaries and (y) otherwise permitted to be paid by Holdings and any Restricted Subsidiaries under this Agreement, (4) [reserved] and (5) amounts that would otherwise be permitted to be paid pursuant to Section 6.08(iii) or 6.08(xi);</w:t>
      </w:r>
    </w:p>
    <w:p>
      <w:pPr>
        <w:spacing w:after="0" w:line="164" w:lineRule="exact"/>
        <w:rPr>
          <w:sz w:val="20"/>
          <w:szCs w:val="20"/>
          <w:color w:val="auto"/>
        </w:rPr>
      </w:pPr>
    </w:p>
    <w:p>
      <w:pPr>
        <w:ind w:left="1300" w:firstLine="652"/>
        <w:spacing w:after="0" w:line="277" w:lineRule="auto"/>
        <w:tabs>
          <w:tab w:leader="none" w:pos="259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proceeds of which shall be used by any direct or indirect parent of Holdings to pay franchise and similar Taxes, and other fees and expenses, required to maintain its corporate or other legal existence;</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580" w:hanging="628"/>
        <w:spacing w:after="0"/>
        <w:tabs>
          <w:tab w:leader="none" w:pos="258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proceeds of which shall be used to pay fees and expenses related to any equity or debt offering not prohibited by</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jc w:val="both"/>
        <w:ind w:left="1300" w:firstLine="652"/>
        <w:spacing w:after="0" w:line="263" w:lineRule="auto"/>
        <w:tabs>
          <w:tab w:leader="none" w:pos="258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proceeds of which shall be used to pay customary salary, bonus and other benefits payable to officers and employees of any direct or indirect parent company of Holdings to the extent such salaries, bonuses and other benefits are attributable to the ownership or operation of Holdings, the Borrower and its Restricted Subsidiaries; and</w:t>
      </w:r>
    </w:p>
    <w:p>
      <w:pPr>
        <w:spacing w:after="0" w:line="183" w:lineRule="exact"/>
        <w:rPr>
          <w:rFonts w:ascii="Arial" w:cs="Arial" w:eastAsia="Arial" w:hAnsi="Arial"/>
          <w:sz w:val="18"/>
          <w:szCs w:val="18"/>
          <w:color w:val="auto"/>
        </w:rPr>
      </w:pPr>
    </w:p>
    <w:p>
      <w:pPr>
        <w:ind w:left="2600" w:hanging="648"/>
        <w:spacing w:after="0"/>
        <w:tabs>
          <w:tab w:leader="none" w:pos="260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the proceeds of which shall be used to make payments permitted by clause (b)(iv) and (b)(v) of Section 6.07;</w:t>
      </w:r>
    </w:p>
    <w:p>
      <w:pPr>
        <w:spacing w:after="0" w:line="236" w:lineRule="exact"/>
        <w:rPr>
          <w:rFonts w:ascii="Arial" w:cs="Arial" w:eastAsia="Arial" w:hAnsi="Arial"/>
          <w:sz w:val="17"/>
          <w:szCs w:val="17"/>
          <w:color w:val="auto"/>
        </w:rPr>
      </w:pPr>
    </w:p>
    <w:p>
      <w:pPr>
        <w:jc w:val="both"/>
        <w:ind w:firstLine="915"/>
        <w:spacing w:after="0" w:line="279" w:lineRule="auto"/>
        <w:tabs>
          <w:tab w:leader="none" w:pos="1604"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addition to the foregoing Restricted Payments and so long as (x) no Event of Default shall have occurred and be continuing or would result therefrom and (y) Holdings is in Pro Forma Compliance with the Financial Performance Covenant after giving effect to such Restricted Payments (regardless of whether such Financial Performance Covenant is applicable at such time) in an aggregate amount not to exceed the Available Amount that is Not Otherwise Applied as in effect immediately prior to the time of making of such Restricted Payment;</w:t>
      </w:r>
    </w:p>
    <w:p>
      <w:pPr>
        <w:spacing w:after="0" w:line="171" w:lineRule="exact"/>
        <w:rPr>
          <w:rFonts w:ascii="Arial" w:cs="Arial" w:eastAsia="Arial" w:hAnsi="Arial"/>
          <w:sz w:val="17"/>
          <w:szCs w:val="17"/>
          <w:color w:val="auto"/>
        </w:rPr>
      </w:pPr>
    </w:p>
    <w:p>
      <w:pPr>
        <w:jc w:val="both"/>
        <w:ind w:firstLine="915"/>
        <w:spacing w:after="0" w:line="311" w:lineRule="auto"/>
        <w:tabs>
          <w:tab w:leader="none" w:pos="168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redemptions in whole or in part of any of its Equity Interests for another class of its Equity Interests or with proceeds from substantially concurrent equity contributions or issuances of new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new Equity Interests contain terms and provisions at least as advantageous to the Lenders in all respects material to their interests as those contained in the Equity Interests redeemed thereby;</w:t>
      </w:r>
    </w:p>
    <w:p>
      <w:pPr>
        <w:spacing w:after="0" w:line="148" w:lineRule="exact"/>
        <w:rPr>
          <w:rFonts w:ascii="Arial" w:cs="Arial" w:eastAsia="Arial" w:hAnsi="Arial"/>
          <w:sz w:val="16"/>
          <w:szCs w:val="16"/>
          <w:color w:val="auto"/>
        </w:rPr>
      </w:pPr>
    </w:p>
    <w:p>
      <w:pPr>
        <w:jc w:val="both"/>
        <w:ind w:firstLine="915"/>
        <w:spacing w:after="0" w:line="263" w:lineRule="auto"/>
        <w:tabs>
          <w:tab w:leader="none" w:pos="153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payments made or expected to be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w:t>
      </w:r>
    </w:p>
    <w:p>
      <w:pPr>
        <w:spacing w:after="0" w:line="183" w:lineRule="exact"/>
        <w:rPr>
          <w:rFonts w:ascii="Arial" w:cs="Arial" w:eastAsia="Arial" w:hAnsi="Arial"/>
          <w:sz w:val="18"/>
          <w:szCs w:val="18"/>
          <w:color w:val="auto"/>
        </w:rPr>
      </w:pPr>
    </w:p>
    <w:p>
      <w:pPr>
        <w:ind w:left="1520" w:hanging="605"/>
        <w:spacing w:after="0"/>
        <w:tabs>
          <w:tab w:leader="none" w:pos="15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915"/>
        <w:spacing w:after="0" w:line="279" w:lineRule="auto"/>
        <w:tabs>
          <w:tab w:leader="none" w:pos="155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payments made or expected to be made by Holdings, the Borrower or any Restricted Subsidiary in respect of withholding or similar Taxes payable upon exercise of Equity Interests by any future, present or former employee, director, officer, manager or consultant (or their respective controlled Affiliates or permitted transferees) and any repurchases of Equity Interests deemed to occur upon exercise of stock options or warrants if such Equity Interests represent a portion of the exercise price of such options or warrants or required withholding or similar Taxes;</w:t>
      </w:r>
    </w:p>
    <w:p>
      <w:pPr>
        <w:spacing w:after="0" w:line="171" w:lineRule="exact"/>
        <w:rPr>
          <w:rFonts w:ascii="Arial" w:cs="Arial" w:eastAsia="Arial" w:hAnsi="Arial"/>
          <w:sz w:val="17"/>
          <w:szCs w:val="17"/>
          <w:color w:val="auto"/>
        </w:rPr>
      </w:pPr>
    </w:p>
    <w:p>
      <w:pPr>
        <w:ind w:left="1520" w:hanging="605"/>
        <w:spacing w:after="0"/>
        <w:tabs>
          <w:tab w:leader="none" w:pos="15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21" w:right="339" w:bottom="1440" w:gutter="0" w:footer="0" w:header="0"/>
        </w:sectPr>
      </w:pPr>
    </w:p>
    <w:bookmarkStart w:id="131" w:name="page132"/>
    <w:bookmarkEnd w:id="131"/>
    <w:p>
      <w:pPr>
        <w:jc w:val="both"/>
        <w:ind w:firstLine="915"/>
        <w:spacing w:after="0" w:line="263" w:lineRule="auto"/>
        <w:tabs>
          <w:tab w:leader="none" w:pos="158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declaration and payment of a Restricted Payment on Holdings’ or the Borrower’s common stock (or the payment of Restricted Payments to Holdings or any direct or indirect parent company of Holdings to fund a payment of dividends on such company’s common stock) of up to 5.0% per annum of Market Capitalization of Holdings; and</w:t>
      </w:r>
    </w:p>
    <w:p>
      <w:pPr>
        <w:spacing w:after="0" w:line="183" w:lineRule="exact"/>
        <w:rPr>
          <w:rFonts w:ascii="Arial" w:cs="Arial" w:eastAsia="Arial" w:hAnsi="Arial"/>
          <w:sz w:val="18"/>
          <w:szCs w:val="18"/>
          <w:color w:val="auto"/>
        </w:rPr>
      </w:pPr>
    </w:p>
    <w:p>
      <w:pPr>
        <w:ind w:left="1520" w:hanging="605"/>
        <w:spacing w:after="0"/>
        <w:tabs>
          <w:tab w:leader="none" w:pos="15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distributions or payments of Securitization Fees.</w:t>
      </w:r>
    </w:p>
    <w:p>
      <w:pPr>
        <w:spacing w:after="0" w:line="225" w:lineRule="exact"/>
        <w:rPr>
          <w:sz w:val="20"/>
          <w:szCs w:val="20"/>
          <w:color w:val="auto"/>
        </w:rPr>
      </w:pPr>
    </w:p>
    <w:p>
      <w:pPr>
        <w:jc w:val="both"/>
        <w:ind w:firstLine="1304"/>
        <w:spacing w:after="0" w:line="257" w:lineRule="auto"/>
        <w:tabs>
          <w:tab w:leader="none" w:pos="1938" w:val="left"/>
        </w:tabs>
        <w:numPr>
          <w:ilvl w:val="2"/>
          <w:numId w:val="154"/>
        </w:numPr>
        <w:rPr>
          <w:rFonts w:ascii="Arial" w:cs="Arial" w:eastAsia="Arial" w:hAnsi="Arial"/>
          <w:sz w:val="18"/>
          <w:szCs w:val="18"/>
          <w:color w:val="auto"/>
        </w:rPr>
      </w:pPr>
      <w:r>
        <w:rPr>
          <w:rFonts w:ascii="Arial" w:cs="Arial" w:eastAsia="Arial" w:hAnsi="Arial"/>
          <w:sz w:val="18"/>
          <w:szCs w:val="18"/>
          <w:color w:val="auto"/>
        </w:rPr>
        <w:t>Holdings will not, and will not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spacing w:after="0" w:line="187" w:lineRule="exact"/>
        <w:rPr>
          <w:rFonts w:ascii="Arial" w:cs="Arial" w:eastAsia="Arial" w:hAnsi="Arial"/>
          <w:sz w:val="18"/>
          <w:szCs w:val="18"/>
          <w:color w:val="auto"/>
        </w:rPr>
      </w:pPr>
    </w:p>
    <w:p>
      <w:pPr>
        <w:jc w:val="both"/>
        <w:ind w:firstLine="915"/>
        <w:spacing w:after="0" w:line="263" w:lineRule="auto"/>
        <w:tabs>
          <w:tab w:leader="none" w:pos="162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payment of regularly scheduled interest and principal payments, mandatory offers to repay, repurchase or redeem, mandatory prepayments of principal premium and interest, and payment of fees, expenses and indemnification obligations, with respect to such Junior Financing, other than payments in respect of any Junior Financing prohibited by the subordination provisions thereof;</w:t>
      </w:r>
    </w:p>
    <w:p>
      <w:pPr>
        <w:spacing w:after="0" w:line="183" w:lineRule="exact"/>
        <w:rPr>
          <w:rFonts w:ascii="Arial" w:cs="Arial" w:eastAsia="Arial" w:hAnsi="Arial"/>
          <w:sz w:val="18"/>
          <w:szCs w:val="18"/>
          <w:color w:val="auto"/>
        </w:rPr>
      </w:pPr>
    </w:p>
    <w:p>
      <w:pPr>
        <w:ind w:left="1520" w:hanging="605"/>
        <w:spacing w:after="0"/>
        <w:tabs>
          <w:tab w:leader="none" w:pos="15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refinancings of Indebtedness to the extent permitted by Section 6.01;</w:t>
      </w:r>
    </w:p>
    <w:p>
      <w:pPr>
        <w:spacing w:after="0" w:line="225" w:lineRule="exact"/>
        <w:rPr>
          <w:rFonts w:ascii="Arial" w:cs="Arial" w:eastAsia="Arial" w:hAnsi="Arial"/>
          <w:sz w:val="18"/>
          <w:szCs w:val="18"/>
          <w:color w:val="auto"/>
        </w:rPr>
      </w:pPr>
    </w:p>
    <w:p>
      <w:pPr>
        <w:jc w:val="both"/>
        <w:ind w:firstLine="915"/>
        <w:spacing w:after="0" w:line="263" w:lineRule="auto"/>
        <w:tabs>
          <w:tab w:leader="none" w:pos="152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conversion of any Junior Financing to Equity Interests (other than Disqualified Equity Interests) of Holdings or any of its direct or indirect parent companies or the Borrower, and any payment that is intended to prevent any Junior Financing from being treated as an “applicable high yield discount obligation” within the meaning of Section 163(i)(1) of the Code;</w:t>
      </w:r>
    </w:p>
    <w:p>
      <w:pPr>
        <w:spacing w:after="0" w:line="183" w:lineRule="exact"/>
        <w:rPr>
          <w:rFonts w:ascii="Arial" w:cs="Arial" w:eastAsia="Arial" w:hAnsi="Arial"/>
          <w:sz w:val="18"/>
          <w:szCs w:val="18"/>
          <w:color w:val="auto"/>
        </w:rPr>
      </w:pPr>
    </w:p>
    <w:p>
      <w:pPr>
        <w:jc w:val="both"/>
        <w:ind w:firstLine="915"/>
        <w:spacing w:after="0" w:line="286" w:lineRule="auto"/>
        <w:tabs>
          <w:tab w:leader="none" w:pos="1603" w:val="left"/>
        </w:tabs>
        <w:numPr>
          <w:ilvl w:val="1"/>
          <w:numId w:val="155"/>
        </w:numPr>
        <w:rPr>
          <w:rFonts w:ascii="Arial" w:cs="Arial" w:eastAsia="Arial" w:hAnsi="Arial"/>
          <w:sz w:val="16"/>
          <w:szCs w:val="16"/>
          <w:color w:val="auto"/>
        </w:rPr>
      </w:pPr>
      <w:r>
        <w:rPr>
          <w:rFonts w:ascii="Arial" w:cs="Arial" w:eastAsia="Arial" w:hAnsi="Arial"/>
          <w:sz w:val="16"/>
          <w:szCs w:val="16"/>
          <w:color w:val="auto"/>
        </w:rPr>
        <w:t>so long as no Event of Default shall have occurred and shall be continuing or would result therefrom, prepayments, redemptions, repurchases, defeasances and other payments in respect of Junior Financings prior to their scheduled maturity in an aggregate amount, not to exceed the sum of (A) an amount at the time of making any such prepayment, redemption, repurchase, defeasance or other payment and together with any other prepayments, redemptions, repurchases, defeasances and other payments made utilizing this subclause (A) not to exceed the greater of (1) 44,000,000 and</w:t>
      </w:r>
    </w:p>
    <w:p>
      <w:pPr>
        <w:spacing w:after="0" w:line="1" w:lineRule="exact"/>
        <w:rPr>
          <w:rFonts w:ascii="Arial" w:cs="Arial" w:eastAsia="Arial" w:hAnsi="Arial"/>
          <w:sz w:val="16"/>
          <w:szCs w:val="16"/>
          <w:color w:val="auto"/>
        </w:rPr>
      </w:pPr>
    </w:p>
    <w:p>
      <w:pPr>
        <w:jc w:val="both"/>
        <w:ind w:firstLine="8"/>
        <w:spacing w:after="0" w:line="295" w:lineRule="auto"/>
        <w:tabs>
          <w:tab w:leader="none" w:pos="26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25% of Consolidated EBITDA for the most recently ended Test Period after giving Pro Forma Effect to the making of such prepayment, redemption, purchase, defeasance or other payment, and (B) provided that Holdings is in Pro Forma Compliance with the Financial Performance Covenant after giving effect to such prepayment, redemption, purchase, defeasance or other payment, an amount equal to the portion, if any, of the Available Amount that is Not Otherwise Applied as in effect immediately prior to the time of making of such prepayment, redemption, repurchase, defeasance or other payment;</w:t>
      </w:r>
    </w:p>
    <w:p>
      <w:pPr>
        <w:spacing w:after="0" w:line="161" w:lineRule="exact"/>
        <w:rPr>
          <w:rFonts w:ascii="Arial" w:cs="Arial" w:eastAsia="Arial" w:hAnsi="Arial"/>
          <w:sz w:val="16"/>
          <w:szCs w:val="16"/>
          <w:color w:val="auto"/>
        </w:rPr>
      </w:pPr>
    </w:p>
    <w:p>
      <w:pPr>
        <w:ind w:left="1520" w:hanging="605"/>
        <w:spacing w:after="0"/>
        <w:tabs>
          <w:tab w:leader="none" w:pos="152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payments made in connection with the Transactions;</w:t>
      </w:r>
    </w:p>
    <w:p>
      <w:pPr>
        <w:spacing w:after="0" w:line="225" w:lineRule="exact"/>
        <w:rPr>
          <w:rFonts w:ascii="Arial" w:cs="Arial" w:eastAsia="Arial" w:hAnsi="Arial"/>
          <w:sz w:val="18"/>
          <w:szCs w:val="18"/>
          <w:color w:val="auto"/>
        </w:rPr>
      </w:pPr>
    </w:p>
    <w:p>
      <w:pPr>
        <w:jc w:val="both"/>
        <w:ind w:firstLine="915"/>
        <w:spacing w:after="0" w:line="259" w:lineRule="auto"/>
        <w:tabs>
          <w:tab w:leader="none" w:pos="1689"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prepayments, redemptions, purchases, defeasances and other payments in respect of Junior Financing prior to their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prepayment, redemption, repurchase, defeasance or other payment, (A) on a Pro Forma Basis, the Senior Secured Net Leverage Ratio is less than or equal to 3.00 to 1.00 for the most recently ended Test Period and (B) no Event of Default exists or would result therefrom; and</w:t>
      </w:r>
    </w:p>
    <w:p>
      <w:pPr>
        <w:spacing w:after="0" w:line="186" w:lineRule="exact"/>
        <w:rPr>
          <w:rFonts w:ascii="Arial" w:cs="Arial" w:eastAsia="Arial" w:hAnsi="Arial"/>
          <w:sz w:val="18"/>
          <w:szCs w:val="18"/>
          <w:color w:val="auto"/>
        </w:rPr>
      </w:pPr>
    </w:p>
    <w:p>
      <w:pPr>
        <w:ind w:firstLine="915"/>
        <w:spacing w:after="0" w:line="277" w:lineRule="auto"/>
        <w:tabs>
          <w:tab w:leader="none" w:pos="1556"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prepayment of Junior Financing owed to Holdings or any Restricted Subsidiary or the prepayment of Permitted Refinancing of such Indebtedness with the proceeds of any other Junior Financing.</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Holdings will not, and will not permit any Restricted Subsidiary to, sell, lease or otherwise transfer any property or assets to, or purchase, lease or otherwise acquire any property or assets from, or otherwise engage in any other transactions with, any of its Affiliates, except (i) (A) transactions between or among Holdings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21" w:right="339" w:bottom="1440" w:gutter="0" w:footer="0" w:header="0"/>
        </w:sectPr>
      </w:pPr>
    </w:p>
    <w:bookmarkStart w:id="132" w:name="page133"/>
    <w:bookmarkEnd w:id="132"/>
    <w:p>
      <w:pPr>
        <w:jc w:val="both"/>
        <w:spacing w:after="0" w:line="284" w:lineRule="auto"/>
        <w:rPr>
          <w:sz w:val="20"/>
          <w:szCs w:val="20"/>
          <w:color w:val="auto"/>
        </w:rPr>
      </w:pPr>
      <w:r>
        <w:rPr>
          <w:rFonts w:ascii="Arial" w:cs="Arial" w:eastAsia="Arial" w:hAnsi="Arial"/>
          <w:sz w:val="16"/>
          <w:szCs w:val="16"/>
          <w:color w:val="auto"/>
        </w:rPr>
        <w:t xml:space="preserve">Restricted Subsidiary or any entity that becomes a Restricted Subsidiary as a result of such transaction and (B) transactions involving aggregate payment or consideration of less than $10,000,000, (ii) on terms substantially as favorable to Holdings or such Restricted Subsidiary as would be obtainable by such Person at the time in a comparable arm’s-length transaction with a Person other than an Affiliate, (iii) the payment of fees and expenses related to the Transactions, (iv) [reserved], (v) issuances of Equity Interests of Holdings to the extent otherwise permitted by this Agreement, (vi) employment and severance arrangements between Holdings and its Restricted Subsidiaries and their respective officers and employees in the ordinary course of business or otherwise in connection with the Transactions (including loans and advances pursuant to Sections 6.04(b) and 6.04(n)), (vii) payments by Holdings and its Restricted Subsidiaries pursuant to tax sharing agreements among Holdings (and any such parent thereof), the Borrower and its Restricted Subsidiaries on customary terms to the extent attributable to the ownership or operation of Holdings and its Restricted Subsidiaries, to the extent such payments are permitted by Section 6.07, (viii) the payment of customary fees and reasonable out-of-pocket costs to, and indemnities provided on behalf of, members of the Board of Directors, officers and employees of Holdings (or any direct or indirect parent thereof), the Borrower and the Restricted Subsidiaries in the ordinary course of business to the extent attributable to the ownership or operation of Holdings and its Restricted Subsidiaries, (ix) transactions pursuant to permitted agreements in existence or contemplated on the Effective Date and set forth on Schedule 6.08 or any amendment thereto to the extent such an amendment is not adverse to the Lenders in any material respect, (x) Restricted Payments permitted under Section 6.07 and loans and advances in lieu thereof pursuant to Section 6.04(l), (xi) payments to or from, and transactions with, any joint venture in the ordinary course of business (including, without limitation, any cash management activities related thereto), (xii) transactions with customers, clients, suppliers, contractors, joint venture partners or purchasers or sellers of goods or services that are Affiliates, in each case in the ordinary course of business and which are fair to Holdings and the Restricted Subsidiaries, in the reasonable determination of the Borrower, or are on terms at least as favorable as might reasonably have been obtained at such time from an unaffiliated party, (xiii) sales of accounts receivable, or participations therein, or Securitization Assets or related assets in connection with or any Qualified Securitization Facility, (xiv) payments made in connection with the Transactions, (xv) [reserved] and (xvi) any other (A) Indebtedness permitted under Section 6.01 and Liens permitted under Section 6.02;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and Liens are on terms which are fair and reasonable to Holdings and its Subsidiaries as determined by the board of directors of the Borrower and (B) transactions permitted under Section 6.03, Investments permitted under Section 6.04 and Restricted Payments permitted under Section 6.07.</w:t>
      </w:r>
    </w:p>
    <w:p>
      <w:pPr>
        <w:spacing w:after="0" w:line="17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u w:val="single" w:color="auto"/>
          <w:color w:val="auto"/>
        </w:rPr>
        <w:t>Restrictive Agreements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Holdings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First Lien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w:t>
      </w:r>
    </w:p>
    <w:p>
      <w:pPr>
        <w:spacing w:after="0" w:line="187" w:lineRule="exact"/>
        <w:rPr>
          <w:sz w:val="20"/>
          <w:szCs w:val="20"/>
          <w:color w:val="auto"/>
        </w:rPr>
      </w:pPr>
    </w:p>
    <w:p>
      <w:pPr>
        <w:jc w:val="both"/>
        <w:ind w:left="660" w:firstLine="644"/>
        <w:spacing w:after="0" w:line="285" w:lineRule="auto"/>
        <w:tabs>
          <w:tab w:leader="none" w:pos="1811" w:val="left"/>
        </w:tabs>
        <w:numPr>
          <w:ilvl w:val="1"/>
          <w:numId w:val="157"/>
        </w:numPr>
        <w:rPr>
          <w:rFonts w:ascii="Arial" w:cs="Arial" w:eastAsia="Arial" w:hAnsi="Arial"/>
          <w:sz w:val="16"/>
          <w:szCs w:val="16"/>
          <w:color w:val="auto"/>
        </w:rPr>
      </w:pPr>
      <w:r>
        <w:rPr>
          <w:rFonts w:ascii="Arial" w:cs="Arial" w:eastAsia="Arial" w:hAnsi="Arial"/>
          <w:sz w:val="16"/>
          <w:szCs w:val="16"/>
          <w:color w:val="auto"/>
        </w:rPr>
        <w:t>restrictions and conditions imposed by (1) Requirements of Law, (2) any First Lien Loan Document, (3) any documentation governing First Lien Incremental Equivalent Debt, (4) any documentation governing Permitted Unsecured Refinancing Debt, Permitted First Priority Refinancing Debt or Permitted Second Priority Refinancing Debt, (5) any documentation governing other Indebtedness (other than intercompany debt owed to the Borrower or the Restricted Subsidiaries) that do not materially impair the Borrower’s ability to make payments on the Loans, (6) any documentation governing Indebtedness incurred pursuant to Section 6.01(a)(xxiv) or Section 6.01(a)(vii), (viii), (ix), (xv),</w:t>
      </w:r>
    </w:p>
    <w:p>
      <w:pPr>
        <w:spacing w:after="0" w:line="1" w:lineRule="exact"/>
        <w:rPr>
          <w:rFonts w:ascii="Arial" w:cs="Arial" w:eastAsia="Arial" w:hAnsi="Arial"/>
          <w:sz w:val="16"/>
          <w:szCs w:val="16"/>
          <w:color w:val="auto"/>
        </w:rPr>
      </w:pPr>
    </w:p>
    <w:p>
      <w:pPr>
        <w:ind w:left="660" w:hanging="4"/>
        <w:spacing w:after="0" w:line="260" w:lineRule="auto"/>
        <w:tabs>
          <w:tab w:leader="none" w:pos="113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or (xxvii) and (6) any documentation governing any Permitted Refinancing incurred to refinance any such Indebtedness referenced in clauses (1) through (5) above;</w:t>
      </w:r>
    </w:p>
    <w:p>
      <w:pPr>
        <w:spacing w:after="0" w:line="185" w:lineRule="exact"/>
        <w:rPr>
          <w:rFonts w:ascii="Arial" w:cs="Arial" w:eastAsia="Arial" w:hAnsi="Arial"/>
          <w:sz w:val="18"/>
          <w:szCs w:val="18"/>
          <w:color w:val="auto"/>
        </w:rPr>
      </w:pPr>
    </w:p>
    <w:p>
      <w:pPr>
        <w:jc w:val="both"/>
        <w:ind w:left="660" w:right="20" w:firstLine="644"/>
        <w:spacing w:after="0" w:line="263" w:lineRule="auto"/>
        <w:tabs>
          <w:tab w:leader="none" w:pos="180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customary restrictions and conditions existing on the Effective Date and any extension, renewal, amendment, modification or replacement thereof, except to the extent any such amendment, modification or replacement expands the scope of any such restriction or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21" w:right="339" w:bottom="1440" w:gutter="0" w:footer="0" w:header="0"/>
        </w:sectPr>
      </w:pPr>
    </w:p>
    <w:bookmarkStart w:id="133" w:name="page134"/>
    <w:bookmarkEnd w:id="133"/>
    <w:p>
      <w:pPr>
        <w:ind w:left="660" w:firstLine="644"/>
        <w:spacing w:after="0" w:line="342" w:lineRule="auto"/>
        <w:tabs>
          <w:tab w:leader="none" w:pos="169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restrictions and conditions contained in agreements relating to the sale of a Subsidiary or any assets pending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apply only to the Subsidiary or assets that is or are to be sold and such sale is permitted hereunder;</w:t>
      </w:r>
    </w:p>
    <w:p>
      <w:pPr>
        <w:spacing w:after="0" w:line="123" w:lineRule="exact"/>
        <w:rPr>
          <w:rFonts w:ascii="Arial" w:cs="Arial" w:eastAsia="Arial" w:hAnsi="Arial"/>
          <w:sz w:val="16"/>
          <w:szCs w:val="16"/>
          <w:color w:val="auto"/>
        </w:rPr>
      </w:pPr>
    </w:p>
    <w:p>
      <w:pPr>
        <w:ind w:left="660" w:firstLine="644"/>
        <w:spacing w:after="0" w:line="277" w:lineRule="auto"/>
        <w:tabs>
          <w:tab w:leader="none" w:pos="170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customary provisions in leases, licenses, sublicenses and other contracts (including licenses and sublicenses of Intellectual Property) restricting the assignment thereof;</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72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restrictions imposed by any agreement relating to secured Indebtedness permitted by this Agreement to the extent such restriction applies only to the property securing such Indebtedness;</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70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any restrictions or conditions set forth in any agreement in effect at any time any Person becomes a Restricted Subsidiary (but not any modification or amendment expanding the scope of any such restriction or condition);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was not entered into in contemplation of such Person becoming a Restricted Subsidiary and the restriction or condition set forth in such agreement does not apply to Holdings, the Borrower or any Restricted Subsidiary;</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184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restrictions or conditions in any Indebtedness permitted pursuant to Section 6.01 that is incurred or assumed by Restricted Subsidiaries that are not Loan Parties to the extent such restrictions or conditions are no more restrictive in any material respect than the restrictions and conditions in the First Lien Loan Documents or, in the case of Junior Financing, are market terms at the time of issuance and are imposed solely on such Restricted Subsidiary and its Subsidiaries;</w:t>
      </w:r>
    </w:p>
    <w:p>
      <w:pPr>
        <w:spacing w:after="0" w:line="186" w:lineRule="exact"/>
        <w:rPr>
          <w:rFonts w:ascii="Arial" w:cs="Arial" w:eastAsia="Arial" w:hAnsi="Arial"/>
          <w:sz w:val="18"/>
          <w:szCs w:val="18"/>
          <w:color w:val="auto"/>
        </w:rPr>
      </w:pPr>
    </w:p>
    <w:p>
      <w:pPr>
        <w:ind w:left="660" w:firstLine="644"/>
        <w:spacing w:after="0" w:line="277" w:lineRule="auto"/>
        <w:tabs>
          <w:tab w:leader="none" w:pos="178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restrictions on cash (or Permitted Investments) or other deposits imposed by agreements entered into in the ordinary course of business (or other restrictions on cash or deposits constituting Permitted Encumbrances);</w:t>
      </w:r>
    </w:p>
    <w:p>
      <w:pPr>
        <w:spacing w:after="0" w:line="170" w:lineRule="exact"/>
        <w:rPr>
          <w:rFonts w:ascii="Arial" w:cs="Arial" w:eastAsia="Arial" w:hAnsi="Arial"/>
          <w:sz w:val="18"/>
          <w:szCs w:val="18"/>
          <w:color w:val="auto"/>
        </w:rPr>
      </w:pPr>
    </w:p>
    <w:p>
      <w:pPr>
        <w:ind w:left="660" w:firstLine="644"/>
        <w:spacing w:after="0" w:line="277" w:lineRule="auto"/>
        <w:tabs>
          <w:tab w:leader="none" w:pos="170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restrictions set forth on Schedule 6.09 and any extension, renewal, amendment, modification or replacement thereof, except to the extent any such amendment, modification or replacement expands the scope of any such restriction or condition;</w:t>
      </w:r>
    </w:p>
    <w:p>
      <w:pPr>
        <w:spacing w:after="0" w:line="170" w:lineRule="exact"/>
        <w:rPr>
          <w:rFonts w:ascii="Arial" w:cs="Arial" w:eastAsia="Arial" w:hAnsi="Arial"/>
          <w:sz w:val="18"/>
          <w:szCs w:val="18"/>
          <w:color w:val="auto"/>
        </w:rPr>
      </w:pPr>
    </w:p>
    <w:p>
      <w:pPr>
        <w:ind w:left="1720" w:hanging="416"/>
        <w:spacing w:after="0"/>
        <w:tabs>
          <w:tab w:leader="none" w:pos="17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customary provisions in joint venture agreements and other similar agreements applicable to joint ventures permitted by 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6.04;</w:t>
      </w:r>
    </w:p>
    <w:p>
      <w:pPr>
        <w:spacing w:after="0" w:line="210" w:lineRule="exact"/>
        <w:rPr>
          <w:rFonts w:ascii="Arial" w:cs="Arial" w:eastAsia="Arial" w:hAnsi="Arial"/>
          <w:sz w:val="16"/>
          <w:szCs w:val="16"/>
          <w:color w:val="auto"/>
        </w:rPr>
      </w:pPr>
    </w:p>
    <w:p>
      <w:pPr>
        <w:ind w:left="660" w:right="20" w:firstLine="644"/>
        <w:spacing w:after="0" w:line="277" w:lineRule="auto"/>
        <w:tabs>
          <w:tab w:leader="none" w:pos="17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customary restrictions contained in leases, subleases, licenses, sublicenses or asset sale agreements otherwise permitted hereby so long as such restrictions relate only to the assets subject thereto;</w:t>
      </w:r>
    </w:p>
    <w:p>
      <w:pPr>
        <w:spacing w:after="0" w:line="170" w:lineRule="exact"/>
        <w:rPr>
          <w:rFonts w:ascii="Arial" w:cs="Arial" w:eastAsia="Arial" w:hAnsi="Arial"/>
          <w:sz w:val="18"/>
          <w:szCs w:val="18"/>
          <w:color w:val="auto"/>
        </w:rPr>
      </w:pPr>
    </w:p>
    <w:p>
      <w:pPr>
        <w:ind w:left="660" w:firstLine="644"/>
        <w:spacing w:after="0" w:line="277" w:lineRule="auto"/>
        <w:tabs>
          <w:tab w:leader="none" w:pos="169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customary provisions restricting subletting or assignment of any lease governing a leasehold interest of Holdings, the Borrower or any Restricted Subsidiary; and</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87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customary net worth provisions contained in real property leases entered into by Subsidiaries, so long as the Borrower has determined in good faith that such net worth provisions could not reasonably be expected to impair the ability of Holdings and its Subsidiaries to meet their ongoing obligations.</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Amendment of Junior Financing</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Holdings will not, and will not permit any Restricted Subsidiary to, amend or modify the documentation governing any Junior Financing if the effect of such amendment or modification is materially adverse to the Lenders or the Issuing Banks;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modification will not be deemed to be materially adverse if such Junior Financing could be otherwise incurred under this Agreement (including as Indebtedness that does not constitute a Junior Financing) with such terms as so modified at the time of such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21" w:right="339" w:bottom="1440" w:gutter="0" w:footer="0" w:header="0"/>
        </w:sectPr>
      </w:pPr>
    </w:p>
    <w:bookmarkStart w:id="134" w:name="page135"/>
    <w:bookmarkEnd w:id="134"/>
    <w:p>
      <w:pPr>
        <w:ind w:left="1300"/>
        <w:spacing w:after="0"/>
        <w:tabs>
          <w:tab w:leader="none" w:pos="25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Financial Performance Covenant</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If on the last day of any Test Period there are any Revolving Loans then outstanding, Holdings shall not permit the Senior Secured First Lien Net Leverage Ratio to be greater than 4.50:1.00 on the last day of such Test Period.</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Changes in Fiscal Periods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Holdings will not make any change in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Holdings may, upon written notice to the First Lien Administrative Agent, change its fiscal year to any other fiscal year reasonably acceptable to the First Lien Administrative Agent, in which case, Holdings, the Borrower and the First Lien Administrative Agent will, and are hereby authorized by the Lenders to, make any adjustments to this Agreement that are necessary to reflect such change in fiscal year;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limitation of this Section 6.12 shall not apply with respect to any short year resulting from the Transactions to occur on the Effective Date.</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Anti-Corruption; Anti-Money Laundering; Sanctions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Neither Holdings nor the Borrower shall use, directly or, to its knowledge, indirectly, any part of any proceeds of the Loans or lend, contribute, or otherwise make available such proceeds: (i)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w:t>
      </w:r>
    </w:p>
    <w:p>
      <w:pPr>
        <w:spacing w:after="0" w:line="2" w:lineRule="exact"/>
        <w:rPr>
          <w:sz w:val="20"/>
          <w:szCs w:val="20"/>
          <w:color w:val="auto"/>
        </w:rPr>
      </w:pPr>
    </w:p>
    <w:p>
      <w:pPr>
        <w:jc w:val="both"/>
        <w:ind w:firstLine="8"/>
        <w:spacing w:after="0" w:line="255" w:lineRule="auto"/>
        <w:tabs>
          <w:tab w:leader="none" w:pos="26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any manner that would constitute or give rise to a violation of applicable Anti-Corruption Laws; (iii) to fund or facilitate any activities or business of, with, involving or for the benefit of any Sanctioned Person or Sanctioned Jurisdiction; or (iv) in any manner that would constitute or give rise to a violation of Sanctions by any Person, including any Lender.</w:t>
      </w:r>
    </w:p>
    <w:p>
      <w:pPr>
        <w:spacing w:after="0" w:line="19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any of the following events (any such event,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225" w:lineRule="exact"/>
        <w:rPr>
          <w:sz w:val="20"/>
          <w:szCs w:val="20"/>
          <w:color w:val="auto"/>
        </w:rPr>
      </w:pPr>
    </w:p>
    <w:p>
      <w:pPr>
        <w:ind w:left="660" w:firstLine="644"/>
        <w:spacing w:after="0" w:line="342" w:lineRule="auto"/>
        <w:tabs>
          <w:tab w:leader="none" w:pos="168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23" w:lineRule="exact"/>
        <w:rPr>
          <w:rFonts w:ascii="Arial" w:cs="Arial" w:eastAsia="Arial" w:hAnsi="Arial"/>
          <w:sz w:val="16"/>
          <w:szCs w:val="16"/>
          <w:color w:val="auto"/>
        </w:rPr>
      </w:pPr>
    </w:p>
    <w:p>
      <w:pPr>
        <w:jc w:val="both"/>
        <w:ind w:left="660" w:firstLine="644"/>
        <w:spacing w:after="0" w:line="275" w:lineRule="auto"/>
        <w:tabs>
          <w:tab w:leader="none" w:pos="177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any Loan Party shall fail to pay any interest on any Loan or any fee or any other amount (other than an amount referred to in paragraph (a) of this Section 7.01) payable under any First Lien Loan Document, when and as the same shall become due and payable (or, in the case of any RFR Interest Payment, the later of (i) the date when the same shall have become due and payable and (ii) the date falling three RFR Business Days after the date on which the Administrative Agent notified the relevant Borrower of the amount of that RFR Interest Payment in accordance with this Agreement), and such failure shall continue unremedied for a period of five (5) Business Days;</w:t>
      </w:r>
    </w:p>
    <w:p>
      <w:pPr>
        <w:spacing w:after="0" w:line="176" w:lineRule="exact"/>
        <w:rPr>
          <w:rFonts w:ascii="Arial" w:cs="Arial" w:eastAsia="Arial" w:hAnsi="Arial"/>
          <w:sz w:val="17"/>
          <w:szCs w:val="17"/>
          <w:color w:val="auto"/>
        </w:rPr>
      </w:pPr>
    </w:p>
    <w:p>
      <w:pPr>
        <w:jc w:val="both"/>
        <w:ind w:left="660" w:right="20" w:firstLine="644"/>
        <w:spacing w:after="0" w:line="286" w:lineRule="auto"/>
        <w:tabs>
          <w:tab w:leader="none" w:pos="183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any representation or warranty made or deemed made by or on behalf of Holdings, the Borrower or any of its Restricted Subsidiaries in connection with any First Lien Loan Document or any amendment or modification thereof or waiver thereunder, or in any report, certificate, financial statement or other document furnished pursuant to or in connection with any First Lien Loan Document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21" w:right="3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6"/>
          <w:szCs w:val="16"/>
          <w:color w:val="auto"/>
        </w:rPr>
        <w:t>amendment or modification thereof or waiver thereunder, shall prove to have been incorrect in any material respect when made or deemed made;</w:t>
      </w:r>
    </w:p>
    <w:p>
      <w:pPr>
        <w:spacing w:after="0" w:line="248" w:lineRule="exact"/>
        <w:rPr>
          <w:sz w:val="20"/>
          <w:szCs w:val="20"/>
          <w:color w:val="auto"/>
        </w:rPr>
      </w:pPr>
    </w:p>
    <w:p>
      <w:pPr>
        <w:jc w:val="both"/>
        <w:ind w:left="660" w:firstLine="644"/>
        <w:spacing w:after="0" w:line="263" w:lineRule="auto"/>
        <w:tabs>
          <w:tab w:leader="none" w:pos="176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Holdings, the Borrower or any of the Restricted Subsidiaries shall fail to observe or perform any covenant, condition or agreement contained in Sections 5.02, 5.04 (with respect to the existence of Holdings, the Borrower or any such Restricted Subsidiaries), 5.10, 5.14 or in Article VI (other than Section 6.08 or 6.12 or the Financial Performance Covenant); or</w:t>
      </w:r>
    </w:p>
    <w:p>
      <w:pPr>
        <w:spacing w:after="0" w:line="183" w:lineRule="exact"/>
        <w:rPr>
          <w:rFonts w:ascii="Arial" w:cs="Arial" w:eastAsia="Arial" w:hAnsi="Arial"/>
          <w:sz w:val="18"/>
          <w:szCs w:val="18"/>
          <w:color w:val="auto"/>
        </w:rPr>
      </w:pPr>
    </w:p>
    <w:p>
      <w:pPr>
        <w:jc w:val="both"/>
        <w:ind w:firstLine="915"/>
        <w:spacing w:after="0" w:line="272" w:lineRule="auto"/>
        <w:tabs>
          <w:tab w:leader="none" w:pos="1502"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Holdings or any of the Restricted Subsidiaries shall fail to observe or perform the Financial Performance Covenant;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Event of Default under Section 6.11 is subject to cure as provided in Section 7.02 and an Event of Default with respect to such Section shall not occur until the expiration of the tenth (10th) day subsequent to the date on which the financial statements with respect to the applicable fiscal quarter (or the fiscal year ended on the last day of such fiscal quarter) are required to be delivered pursuant to Section 5.01(a) or Section 5.01(b), as applicable, and (b) a Default under Section 6.11 shall not constitute an Event of Default with respect to the Term Loans unless and until the Revolving Lenders have actually declared all such obligations to be immediately due and payable and terminated the Revolving Commitments in accordance with this Agreement and such declaration has not been rescinded by the Required Revolving Lenders on or before such date;</w:t>
      </w:r>
    </w:p>
    <w:p>
      <w:pPr>
        <w:spacing w:after="0" w:line="177" w:lineRule="exact"/>
        <w:rPr>
          <w:rFonts w:ascii="Arial" w:cs="Arial" w:eastAsia="Arial" w:hAnsi="Arial"/>
          <w:sz w:val="17"/>
          <w:szCs w:val="17"/>
          <w:color w:val="auto"/>
        </w:rPr>
      </w:pPr>
    </w:p>
    <w:p>
      <w:pPr>
        <w:jc w:val="both"/>
        <w:ind w:left="660" w:firstLine="644"/>
        <w:spacing w:after="0" w:line="311" w:lineRule="auto"/>
        <w:tabs>
          <w:tab w:leader="none" w:pos="1713" w:val="left"/>
        </w:tabs>
        <w:numPr>
          <w:ilvl w:val="1"/>
          <w:numId w:val="163"/>
        </w:numPr>
        <w:rPr>
          <w:rFonts w:ascii="Arial" w:cs="Arial" w:eastAsia="Arial" w:hAnsi="Arial"/>
          <w:sz w:val="16"/>
          <w:szCs w:val="16"/>
          <w:color w:val="auto"/>
        </w:rPr>
      </w:pPr>
      <w:r>
        <w:rPr>
          <w:rFonts w:ascii="Arial" w:cs="Arial" w:eastAsia="Arial" w:hAnsi="Arial"/>
          <w:sz w:val="16"/>
          <w:szCs w:val="16"/>
          <w:color w:val="auto"/>
        </w:rPr>
        <w:t>Holdings, the Borrower or any of the Restricted Subsidiaries shall fail to observe or perform any covenant, condition or agreement contained in any First Lien Loan Document (other than those specified in paragraph (a), (b) or (d) of this Section 7.01), and such failure shall continue unremedied for a period of thirty (30) days after written notice thereof from the First Lien Administrative Agent to the Borrower;</w:t>
      </w:r>
    </w:p>
    <w:p>
      <w:pPr>
        <w:spacing w:after="0" w:line="148" w:lineRule="exact"/>
        <w:rPr>
          <w:rFonts w:ascii="Arial" w:cs="Arial" w:eastAsia="Arial" w:hAnsi="Arial"/>
          <w:sz w:val="16"/>
          <w:szCs w:val="16"/>
          <w:color w:val="auto"/>
        </w:rPr>
      </w:pPr>
    </w:p>
    <w:p>
      <w:pPr>
        <w:jc w:val="both"/>
        <w:ind w:left="660" w:firstLine="644"/>
        <w:spacing w:after="0" w:line="263" w:lineRule="auto"/>
        <w:tabs>
          <w:tab w:leader="none" w:pos="171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Holdings, the Borrower or any of the Restricted Subsidiaries shall fail to make any payment (whether of principal or interest and regardless of amount) in respect of any Material Indebtedness, when and as the same shall become due and payable (after giving effect to any applicable grace period);</w:t>
      </w:r>
    </w:p>
    <w:p>
      <w:pPr>
        <w:spacing w:after="0" w:line="183" w:lineRule="exact"/>
        <w:rPr>
          <w:rFonts w:ascii="Arial" w:cs="Arial" w:eastAsia="Arial" w:hAnsi="Arial"/>
          <w:sz w:val="18"/>
          <w:szCs w:val="18"/>
          <w:color w:val="auto"/>
        </w:rPr>
      </w:pPr>
    </w:p>
    <w:p>
      <w:pPr>
        <w:jc w:val="both"/>
        <w:ind w:left="660" w:firstLine="644"/>
        <w:spacing w:after="0" w:line="269" w:lineRule="auto"/>
        <w:tabs>
          <w:tab w:leader="none" w:pos="1711" w:val="left"/>
        </w:tabs>
        <w:numPr>
          <w:ilvl w:val="1"/>
          <w:numId w:val="163"/>
        </w:numPr>
        <w:rPr>
          <w:rFonts w:ascii="Arial" w:cs="Arial" w:eastAsia="Arial" w:hAnsi="Arial"/>
          <w:sz w:val="17"/>
          <w:szCs w:val="17"/>
          <w:color w:val="auto"/>
        </w:rPr>
      </w:pPr>
      <w:r>
        <w:rPr>
          <w:rFonts w:ascii="Arial" w:cs="Arial" w:eastAsia="Arial" w:hAnsi="Arial"/>
          <w:sz w:val="17"/>
          <w:szCs w:val="17"/>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paragraph (f) of this Section 7.01 will apply to any failure to make any payment required as a result of any such termination or similar event);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 default under any financial covenant in such Material Indebtedness shall not constitute an Event of Default unless and until 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w:t>
      </w:r>
    </w:p>
    <w:p>
      <w:pPr>
        <w:spacing w:after="0" w:line="178" w:lineRule="exact"/>
        <w:rPr>
          <w:rFonts w:ascii="Arial" w:cs="Arial" w:eastAsia="Arial" w:hAnsi="Arial"/>
          <w:sz w:val="17"/>
          <w:szCs w:val="17"/>
          <w:color w:val="auto"/>
        </w:rPr>
      </w:pPr>
    </w:p>
    <w:p>
      <w:pPr>
        <w:jc w:val="both"/>
        <w:ind w:left="660" w:firstLine="644"/>
        <w:spacing w:after="0" w:line="255" w:lineRule="auto"/>
        <w:tabs>
          <w:tab w:leader="none" w:pos="176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21" w:right="339" w:bottom="1440" w:gutter="0" w:footer="0" w:header="0"/>
        </w:sectPr>
      </w:pPr>
    </w:p>
    <w:bookmarkStart w:id="136" w:name="page137"/>
    <w:bookmarkEnd w:id="136"/>
    <w:p>
      <w:pPr>
        <w:jc w:val="both"/>
        <w:ind w:left="660" w:firstLine="644"/>
        <w:spacing w:after="0" w:line="254" w:lineRule="auto"/>
        <w:tabs>
          <w:tab w:leader="none" w:pos="175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Holdings, the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Section 7.01,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spacing w:after="0" w:line="194" w:lineRule="exact"/>
        <w:rPr>
          <w:rFonts w:ascii="Arial" w:cs="Arial" w:eastAsia="Arial" w:hAnsi="Arial"/>
          <w:sz w:val="18"/>
          <w:szCs w:val="18"/>
          <w:color w:val="auto"/>
        </w:rPr>
      </w:pPr>
    </w:p>
    <w:p>
      <w:pPr>
        <w:jc w:val="both"/>
        <w:ind w:left="660" w:firstLine="644"/>
        <w:spacing w:after="0" w:line="255" w:lineRule="auto"/>
        <w:tabs>
          <w:tab w:leader="none" w:pos="170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one or more enforceable judgments for the payment of money in an aggregate amount in excess of $25,000,000 (to the extent not covered by insurance as to which the insurer has been notified of such judgment or order and has not denied coverage) shall be rendered against Holdings, the Borrower and any of its Restricted Subsidiaries or any combination thereof and the same shall remain undischarged for a period of 60 consecutive days during which execution shall not be effectively stayed, or any judgment creditor shall legally attach or levy upon assets of such Loan Party that are material to the businesses and operations of Holdings, the Borrower and the Restricted Subsidiaries, taken as a whole, to enforce any such judgment;</w:t>
      </w:r>
    </w:p>
    <w:p>
      <w:pPr>
        <w:spacing w:after="0" w:line="192" w:lineRule="exact"/>
        <w:rPr>
          <w:rFonts w:ascii="Arial" w:cs="Arial" w:eastAsia="Arial" w:hAnsi="Arial"/>
          <w:sz w:val="18"/>
          <w:szCs w:val="18"/>
          <w:color w:val="auto"/>
        </w:rPr>
      </w:pPr>
    </w:p>
    <w:p>
      <w:pPr>
        <w:ind w:left="1700" w:hanging="396"/>
        <w:spacing w:after="0"/>
        <w:tabs>
          <w:tab w:leader="none" w:pos="17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ERISA Event occurs that has resulted or would reasonably be expected to result in a Material Adverse Effect;</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169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Lien purported to be created under any Security Document shall cease to be, or shall be asserted in writing by any Loan Party not to be, a valid and perfected Lien on any material portion of the Collateral, with the priority required by the applicable Security Documents, except (i) as a result of the sale or other disposition of the applicable Collateral to a Person that is not a Loan Party in a transaction permitted under the First Lien Loan Documents, (ii) as a result of the First Lien Administrative Agent’s failure to (A) maintain possession of any stock certificates, promissory notes or other instruments delivered to it under the Security Documents or (B) file Uniform Commercial Code amendment or continuation financing statements or (iii) as to Collateral consisting of Material Real Property to the extent that such losses are covered by a lender’s title insurance policy and such insurer has not denied coverage or (iv) as a result of acts or omissions of the First Lien Administrative Agent or any Lender;</w:t>
      </w:r>
    </w:p>
    <w:p>
      <w:pPr>
        <w:spacing w:after="0" w:line="191" w:lineRule="exact"/>
        <w:rPr>
          <w:rFonts w:ascii="Arial" w:cs="Arial" w:eastAsia="Arial" w:hAnsi="Arial"/>
          <w:sz w:val="18"/>
          <w:szCs w:val="18"/>
          <w:color w:val="auto"/>
        </w:rPr>
      </w:pPr>
    </w:p>
    <w:p>
      <w:pPr>
        <w:jc w:val="both"/>
        <w:ind w:left="660" w:firstLine="644"/>
        <w:spacing w:after="0" w:line="263" w:lineRule="auto"/>
        <w:tabs>
          <w:tab w:leader="none" w:pos="177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material provision of any First Lien Loan Document or any Guarantee of the First Lien Loan Document Obligations shall for any reason be asserted in writing by any Loan Party not to be a legal, valid and binding obligation of any Loan Party thereto other than as expressly permitted hereunder or thereunder;</w:t>
      </w:r>
    </w:p>
    <w:p>
      <w:pPr>
        <w:spacing w:after="0" w:line="183" w:lineRule="exact"/>
        <w:rPr>
          <w:rFonts w:ascii="Arial" w:cs="Arial" w:eastAsia="Arial" w:hAnsi="Arial"/>
          <w:sz w:val="18"/>
          <w:szCs w:val="18"/>
          <w:color w:val="auto"/>
        </w:rPr>
      </w:pPr>
    </w:p>
    <w:p>
      <w:pPr>
        <w:ind w:left="660" w:right="20" w:firstLine="644"/>
        <w:spacing w:after="0" w:line="342" w:lineRule="auto"/>
        <w:tabs>
          <w:tab w:leader="none" w:pos="174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Guarantees of the First Lien Loan Document Obligations by any Loan Party pursuant to the First Lien Guarantee Agreement shall cease to be in full force and effect (in each case, other than in accordance with the terms of the First Lien Loan Documents); or</w:t>
      </w:r>
    </w:p>
    <w:p>
      <w:pPr>
        <w:spacing w:after="0" w:line="123" w:lineRule="exact"/>
        <w:rPr>
          <w:rFonts w:ascii="Arial" w:cs="Arial" w:eastAsia="Arial" w:hAnsi="Arial"/>
          <w:sz w:val="16"/>
          <w:szCs w:val="16"/>
          <w:color w:val="auto"/>
        </w:rPr>
      </w:pPr>
    </w:p>
    <w:p>
      <w:pPr>
        <w:ind w:left="1700" w:hanging="396"/>
        <w:spacing w:after="0"/>
        <w:tabs>
          <w:tab w:leader="none" w:pos="17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there shall occur a Change of Control.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then, and in every such event, and at any time thereafter during the continuance of such event, the First Lien Administrative Agent may, and at the request of the Required Lenders (or, in the case of an Event of Default under Section 7.01(d)(ii) after giving effect to the proviso, the Required Revolving Lenders (with respect to the Revolving Commitments and the Revolving Loans)) shall, by notice to the Borrower,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(iii) demand the Borrower deposit cash collateral with the First Lien Administrative Agent as contemplated by Section 2.05(j) in the aggregate LC Exposure Amount of all outstanding Letters of Credit and thereupon the principal of the Loans and the LC Exposure of all Letters of Credit so declared to be due and payable, together with accrued interest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21" w:right="339" w:bottom="1440" w:gutter="0" w:footer="0" w:header="0"/>
        </w:sectPr>
      </w:pPr>
    </w:p>
    <w:bookmarkStart w:id="137" w:name="page138"/>
    <w:bookmarkEnd w:id="137"/>
    <w:p>
      <w:pPr>
        <w:jc w:val="both"/>
        <w:spacing w:after="0" w:line="275" w:lineRule="auto"/>
        <w:rPr>
          <w:sz w:val="20"/>
          <w:szCs w:val="20"/>
          <w:color w:val="auto"/>
        </w:rPr>
      </w:pPr>
      <w:r>
        <w:rPr>
          <w:rFonts w:ascii="Arial" w:cs="Arial" w:eastAsia="Arial" w:hAnsi="Arial"/>
          <w:sz w:val="17"/>
          <w:szCs w:val="17"/>
          <w:color w:val="auto"/>
        </w:rPr>
        <w:t>and all fees and other obligations of the Borrower accrued hereunder, shall become due and payable immediately, without presentment, demand, protest or other notice of any kind, all of which are hereby waived by the Borrower; and in case of any event with respect to Holdings or the Borrower described in paragraph (h) or (i) of this Section 7.01,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7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Right to Cure</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0" w:lineRule="auto"/>
        <w:tabs>
          <w:tab w:leader="none" w:pos="1941" w:val="left"/>
        </w:tabs>
        <w:numPr>
          <w:ilvl w:val="1"/>
          <w:numId w:val="165"/>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Section 7.01, in the event that Holdings and its Restricted Subsidiaries fail to comply with the requirements of the Financial Performance Covenant (if applicable) as of the last day of any applicable fiscal quarter of the Borrower, at any time after the beginning of such fiscal quarter until the expiration of the tenth (10th) Business Day subsequent to the date on which the financial statements with respect to such fiscal quarter (or the fiscal year ended on the last day of such fiscal quarter) are required to be delivered pursuant to Section 5.01(a) or (b), as applicable, Holdings shall have the right to issue Qualified Equity Interests for cash or otherwise receive cash contributions to the capital of Holdings as cash common equity or other Qualified Equity Interests (which Holdings shall contribute through its subsidiaries as cash common equity or other Qualified Equity Interests) (collectively, the “</w:t>
      </w:r>
      <w:r>
        <w:rPr>
          <w:rFonts w:ascii="Arial" w:cs="Arial" w:eastAsia="Arial" w:hAnsi="Arial"/>
          <w:sz w:val="17"/>
          <w:szCs w:val="17"/>
          <w:u w:val="single" w:color="auto"/>
          <w:color w:val="auto"/>
        </w:rPr>
        <w:t>Cure Right</w:t>
      </w:r>
      <w:r>
        <w:rPr>
          <w:rFonts w:ascii="Arial" w:cs="Arial" w:eastAsia="Arial" w:hAnsi="Arial"/>
          <w:sz w:val="17"/>
          <w:szCs w:val="17"/>
          <w:color w:val="auto"/>
        </w:rPr>
        <w:t>”), and upon the receipt by Holdings of the Net Proceeds of such issuance (the “</w:t>
      </w:r>
      <w:r>
        <w:rPr>
          <w:rFonts w:ascii="Arial" w:cs="Arial" w:eastAsia="Arial" w:hAnsi="Arial"/>
          <w:sz w:val="17"/>
          <w:szCs w:val="17"/>
          <w:u w:val="single" w:color="auto"/>
          <w:color w:val="auto"/>
        </w:rPr>
        <w:t>Cure Amount</w:t>
      </w:r>
      <w:r>
        <w:rPr>
          <w:rFonts w:ascii="Arial" w:cs="Arial" w:eastAsia="Arial" w:hAnsi="Arial"/>
          <w:sz w:val="17"/>
          <w:szCs w:val="17"/>
          <w:color w:val="auto"/>
        </w:rPr>
        <w:t>”) pursuant to the exercise by Holdings of such Cure Right the Financial Performance Covenant shall be recalculated giving effect to one of the following pro forma adjustments:</w:t>
      </w:r>
    </w:p>
    <w:p>
      <w:pPr>
        <w:spacing w:after="0" w:line="180" w:lineRule="exact"/>
        <w:rPr>
          <w:rFonts w:ascii="Arial" w:cs="Arial" w:eastAsia="Arial" w:hAnsi="Arial"/>
          <w:sz w:val="17"/>
          <w:szCs w:val="17"/>
          <w:color w:val="auto"/>
        </w:rPr>
      </w:pPr>
    </w:p>
    <w:p>
      <w:pPr>
        <w:jc w:val="both"/>
        <w:ind w:firstLine="915"/>
        <w:spacing w:after="0" w:line="263" w:lineRule="auto"/>
        <w:tabs>
          <w:tab w:leader="none" w:pos="149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Consolidated EBITDA shall be increased with respect to such applicable fiscal quarter and any four fiscal quarter period that contains such fiscal quarter, solely for the purpose of measuring the Financial Performance Covenant and not for any other purpose under this Agreement, by an amount equal to the Cure Amount; or</w:t>
      </w:r>
    </w:p>
    <w:p>
      <w:pPr>
        <w:spacing w:after="0" w:line="183" w:lineRule="exact"/>
        <w:rPr>
          <w:rFonts w:ascii="Arial" w:cs="Arial" w:eastAsia="Arial" w:hAnsi="Arial"/>
          <w:sz w:val="18"/>
          <w:szCs w:val="18"/>
          <w:color w:val="auto"/>
        </w:rPr>
      </w:pPr>
    </w:p>
    <w:p>
      <w:pPr>
        <w:jc w:val="both"/>
        <w:ind w:firstLine="915"/>
        <w:spacing w:after="0" w:line="254" w:lineRule="auto"/>
        <w:tabs>
          <w:tab w:leader="none" w:pos="128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after giving effect to the foregoing pro forma adjustment (without giving effect to any repayment of any Indebtedness with any portion of the Cure Amount or any portion of the Cure Amount on the balance sheet of Holdings and its Restricted Subsidiaries, in each case, with respect to such fiscal quarter only), Holdings and its Restricted Subsidiaries shall then be in compliance with the contained in the Financial Performance Covenant or the Financial Performance Covenant is not applicable for such fiscal quarter, Holdings and the Restricted Subsidiaries shall be deemed to have satisfied the requirements of the Financial Performance Covenant as of the relevant date of determination with the same effect as though there had been no failure to comply therewith at such date, and the applicable breach or default of the Financial Performance Covenant that had occurred shall be deemed cured for the purposes of this Agreement;</w:t>
      </w:r>
    </w:p>
    <w:p>
      <w:pPr>
        <w:spacing w:after="0" w:line="1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have notified the First Lien Administrative Agent of the exercise of such Cure Right within five (5) Business Days of the issuance of the relevant Qualified Equity Interests for cash or the receipt of the cash contributions by Holdings.</w:t>
      </w:r>
    </w:p>
    <w:p>
      <w:pPr>
        <w:spacing w:after="0" w:line="170" w:lineRule="exact"/>
        <w:rPr>
          <w:sz w:val="20"/>
          <w:szCs w:val="20"/>
          <w:color w:val="auto"/>
        </w:rPr>
      </w:pPr>
    </w:p>
    <w:p>
      <w:pPr>
        <w:jc w:val="both"/>
        <w:ind w:firstLine="1304"/>
        <w:spacing w:after="0" w:line="253" w:lineRule="auto"/>
        <w:tabs>
          <w:tab w:leader="none" w:pos="193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Notwithstanding anything herein to the contrary, (i) in each four consecutive fiscal quarter period of Holdings there shall be at least two (2) fiscal quarters in which the Cure Right is not exercised, (ii) during the term of this Agreement, the Cure Right shall not be exercised more than five (5) times and (iii) for purposes of this Section 7.02, the Cure Amount shall be no greater than the amount required for purposes of complying with the Financial Performance Covenant and any amounts in excess thereof shall not be deemed to be a Cure Amount. Notwithstanding any other provision in this Agreement to the contrary, the Cure Amount received pursuant to any exercise of the Cure Right shall be disregarded for purposes of determining any available basket under Article VI of this Agreement. For the avoidance of doubt, no Cure Amounts shall be applied to reduce the Indebtedness of Holdings and its Restricted Subsidiaries on a Pro Forma Basis for purposes of determining compliance with the Financial Performance Covenants and there shall not have been a breach of any covenant under Article VI of this Agreement by reason of having no longer included such Cure Amount in any basket during the relevant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21" w:right="339" w:bottom="1440" w:gutter="0" w:footer="0" w:header="0"/>
        </w:sectPr>
      </w:pPr>
    </w:p>
    <w:bookmarkStart w:id="138" w:name="page139"/>
    <w:bookmarkEnd w:id="138"/>
    <w:p>
      <w:pPr>
        <w:ind w:left="1300"/>
        <w:spacing w:after="0"/>
        <w:tabs>
          <w:tab w:leader="none" w:pos="258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w:t>
      </w:r>
    </w:p>
    <w:p>
      <w:pPr>
        <w:spacing w:after="0" w:line="225"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Subject to the terms of any applicable intercreditor agreement, the First Lien Collateral Agent shall apply the proceeds of any collection or sale of Collateral, including any Collateral consisting of cash, as follows:</w:t>
      </w:r>
    </w:p>
    <w:p>
      <w:pPr>
        <w:spacing w:after="0" w:line="170"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auto"/>
        </w:rPr>
        <w:t>FIRST, to the payment of all costs and expenses incurred by the First Lien Collateral Agent in connection with such collection or sale or otherwise in connection with this Agreement, any other First Lien Loan Document or any of the Secured Obligations, including all court costs and the fees and expenses of its agents and legal counsel, the repayment of all advances made by the First Lien Collateral Agent hereunder or under any other First Lien Loan Document on behalf of any Loan Party and any other costs or expenses incurred in connection with the exercise of any right or remedy hereunder or under any other First Lien Loan Document;</w:t>
      </w:r>
    </w:p>
    <w:p>
      <w:pPr>
        <w:spacing w:after="0" w:line="176"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SECOND, to the payment in full of the Secured Obligations (the amounts so applied to be distributed among the Secured Parties pro rata in accordance with the amounts of the Secured Obligations owed to them on the date of any such distribution);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THIRD, to any agent of any other junior secured debt, in accordance with any applicable intercreditor agreement; and</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FOURTH, to the Loan Parties, their successors or assigns, or as a court of competent jurisdiction may otherwise direct.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First Lien Collateral Agent shall have absolute discretion as to the time of application of any such proceeds, moneys or balances in accordance with this Agreement. Upon any sale of Collateral by the First Lien Collateral Agent (including pursuant to a power of sale granted by statute or under a judicial proceeding), the receipt of the First Lien Collateral Agent or of the officer making the sale shall be a sufficient discharge to the purchaser or purchasers of the Collateral so sold and such purchaser or purchasers shall not be obligated to see to the application of any part of the purchase money paid over to the First Lien Collateral Agent or such officer or be answerable in any way for the misapplication thereof. The First Lien Collateral Agent shall have no liability to any of the Secured Parties for actions taken in reliance on information supplied to it as to the amounts of unpaid principal and interest and other amounts outstanding with respect to the Secured Obligations. Notwithstanding the foregoing, Excluded Swap Obligations with respect to any Subsidiary Loan Party shall not be paid with amounts received from such Subsidiary Loan Party or its assets, but appropriate adjustments shall be made with respect to payments from other Loan Parties to preserve the allocation to Secured Obligations otherwise set forth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ADMINISTRATIVE AGENT</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Appointment and Authority</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5" w:lineRule="auto"/>
        <w:tabs>
          <w:tab w:leader="none" w:pos="194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Each of the Lenders and the Issuing Bank hereby irrevocably appoints Goldman Sachs to act on its behalf as the First Lien Administrative Agent and First Lien Collateral Agent hereunder and under the other First Lien Loan Documents and authorizes the First Lien Administrative Agent to take such actions on its behalf and to exercise such powers as are delegated to the First Lien Administrative Agent and First Lien Collateral Agent by the terms hereof or thereof, together with such actions and powers as are reasonably incidental thereto. The provisions of this Article are solely for the benefit of the First Lien Administrative Agent and the First Lien Collateral Agent, the Lenders and the Issuing Bank, and the Borrower shall not have rights as a third party beneficiary of any of such provisions.</w:t>
      </w:r>
    </w:p>
    <w:p>
      <w:pPr>
        <w:spacing w:after="0" w:line="192" w:lineRule="exact"/>
        <w:rPr>
          <w:rFonts w:ascii="Arial" w:cs="Arial" w:eastAsia="Arial" w:hAnsi="Arial"/>
          <w:sz w:val="18"/>
          <w:szCs w:val="18"/>
          <w:color w:val="auto"/>
        </w:rPr>
      </w:pPr>
    </w:p>
    <w:p>
      <w:pPr>
        <w:jc w:val="both"/>
        <w:ind w:firstLine="1304"/>
        <w:spacing w:after="0" w:line="263" w:lineRule="auto"/>
        <w:tabs>
          <w:tab w:leader="none" w:pos="193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First Lien Administrative Agent shall also act as the “First Lien Collateral Agent” under the First Lien Loan Documents, and each of the Lenders and the Issuing Bank hereby irrevocably appoints and authorizes the First Lien Collateral Agent to act as the agent of such Lender and the Issuing Bank for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21" w:right="339" w:bottom="1440" w:gutter="0" w:footer="0" w:header="0"/>
        </w:sectPr>
      </w:pPr>
    </w:p>
    <w:bookmarkStart w:id="139" w:name="page140"/>
    <w:bookmarkEnd w:id="139"/>
    <w:p>
      <w:pPr>
        <w:jc w:val="both"/>
        <w:spacing w:after="0" w:line="254" w:lineRule="auto"/>
        <w:rPr>
          <w:sz w:val="20"/>
          <w:szCs w:val="20"/>
          <w:color w:val="auto"/>
        </w:rPr>
      </w:pPr>
      <w:r>
        <w:rPr>
          <w:rFonts w:ascii="Arial" w:cs="Arial" w:eastAsia="Arial" w:hAnsi="Arial"/>
          <w:sz w:val="18"/>
          <w:szCs w:val="18"/>
          <w:color w:val="auto"/>
        </w:rPr>
        <w:t>of acquiring, holding and enforcing any and all Liens on Collateral granted by any of the Loan Parties to secure any of the Secured Obligations, together with such powers and discretion as are reasonably incidental thereto. In this connection, the First Lien Collateral Agent and any co-agents, sub-agents and attorneys-in-fact appointed by the First Lien Administrative Agent and First Lien Collateral Agent pursuant to Section 8.05 for purposes of holding or enforcing any Lien on the Collateral (or any portion thereof) granted under the Security Documents, or for exercising any rights and remedies thereunder at the direction of the First Lien Administrative Agent, shall be entitled to the benefits of all provisions of this Article VIII and Article IX (including Section 9.03 as though such co-agents, sub-agents and attorneys-in-fact were the “collateral agent” under the First Lien Loan Documents) as if set forth in full herein with respect thereto.</w:t>
      </w:r>
    </w:p>
    <w:p>
      <w:pPr>
        <w:spacing w:after="0" w:line="19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u w:val="single" w:color="auto"/>
          <w:color w:val="auto"/>
        </w:rPr>
        <w:t>Rights as a Lender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The Person serving as the First Lien Administrative Agent hereunder shall have the same rights and powers in its capacity as a Lender as any other Lender and may exercise the same as though it were not the First Lien Administrative Agent and the term “Lender” or “Lenders” shall, unless otherwise expressly indicated or unless the context otherwise requires, include the Person serving as the First Lien Administrative Agent hereunder in its individual capacity. Such Person and its Affiliates may accept deposits from, own securities of, lend money to, act as the financial advisor or in any other advisory capacity for and generally engage in any kind of business with the Borrower or any Subsidiary or other Affiliate of the Borrower as if such Person were not the First Lien Administrative Agent hereunder and without any duty to account therefor to the Lenders.</w:t>
      </w:r>
    </w:p>
    <w:p>
      <w:pPr>
        <w:spacing w:after="0" w:line="17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Exculpatory Provisions</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First Lien Administrative Agent shall not have any duties or obligations except those expressly set forth herein and in the other First Lien Loan Documents. Without limiting the generality of the foregoing, the First Lien Administrative Agent:</w:t>
      </w:r>
    </w:p>
    <w:p>
      <w:pPr>
        <w:spacing w:after="0" w:line="170" w:lineRule="exact"/>
        <w:rPr>
          <w:sz w:val="20"/>
          <w:szCs w:val="20"/>
          <w:color w:val="auto"/>
        </w:rPr>
      </w:pPr>
    </w:p>
    <w:p>
      <w:pPr>
        <w:ind w:left="1680" w:hanging="376"/>
        <w:spacing w:after="0"/>
        <w:tabs>
          <w:tab w:leader="none" w:pos="16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 continuing;</w:t>
      </w:r>
    </w:p>
    <w:p>
      <w:pPr>
        <w:spacing w:after="0" w:line="236" w:lineRule="exact"/>
        <w:rPr>
          <w:rFonts w:ascii="Arial" w:cs="Arial" w:eastAsia="Arial" w:hAnsi="Arial"/>
          <w:sz w:val="17"/>
          <w:szCs w:val="17"/>
          <w:color w:val="auto"/>
        </w:rPr>
      </w:pPr>
    </w:p>
    <w:p>
      <w:pPr>
        <w:jc w:val="both"/>
        <w:ind w:left="660" w:firstLine="644"/>
        <w:spacing w:after="0" w:line="255" w:lineRule="auto"/>
        <w:tabs>
          <w:tab w:leader="none" w:pos="17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First Lien Loan Documents that the First Lien Administrative Agent is required to exercise as directed in writing by the Required Lenders (or such other number or percentage of the Lenders as shall be expressly provided for herein or in the other First Lien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First Lien Administrative Agent shall not be required to take any action that, in its opinion or the opinion of its counsel, may expose the First Lien Administrative Agent to liability or that is contrary to any First Lien Loan Document or applicable law;</w:t>
      </w:r>
    </w:p>
    <w:p>
      <w:pPr>
        <w:spacing w:after="0" w:line="192" w:lineRule="exact"/>
        <w:rPr>
          <w:rFonts w:ascii="Arial" w:cs="Arial" w:eastAsia="Arial" w:hAnsi="Arial"/>
          <w:sz w:val="18"/>
          <w:szCs w:val="18"/>
          <w:color w:val="auto"/>
        </w:rPr>
      </w:pPr>
    </w:p>
    <w:p>
      <w:pPr>
        <w:jc w:val="both"/>
        <w:ind w:left="660" w:firstLine="644"/>
        <w:spacing w:after="0" w:line="263" w:lineRule="auto"/>
        <w:tabs>
          <w:tab w:leader="none" w:pos="171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First Lien Loan Documents, have any duty to disclose, and shall not be liable for the failure to disclose, any information relating to the Borrower or any of their Affiliates that is communicated to or obtained by the Person serving as the First Lien Administrative Agent or any of its Affiliates in any capacity;</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1703"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shall not be liable for any action taken or not taken by it (i) with the consent or at the request of the Required Lenders (or such other number or percentage of the Lenders as shall be necessary, or as the First Lien Administrative Agent shall believe in good faith shall be necessary, under the circumstances as provided in Section 9.02 and in the last paragraph of Section 7.01) or (ii) in the absence of its own gross negligence, bad faith or willful misconduct as determined by a court of competent jurisdiction by final and non-appealable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First Lien Administrative Agent shall be deemed not to have knowledge of any Default unless and until written notice describing such Default is given to the First Lien Administrative Agent by the Borrower, a Lender or the Issuing Bank;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21" w:right="339" w:bottom="1440" w:gutter="0" w:footer="0" w:header="0"/>
        </w:sectPr>
      </w:pPr>
    </w:p>
    <w:bookmarkStart w:id="140" w:name="page141"/>
    <w:bookmarkEnd w:id="140"/>
    <w:p>
      <w:pPr>
        <w:jc w:val="both"/>
        <w:ind w:left="660" w:firstLine="644"/>
        <w:spacing w:after="0" w:line="254" w:lineRule="auto"/>
        <w:tabs>
          <w:tab w:leader="none" w:pos="171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shall not be responsible for or have any duty to ascertain or inquire into (i) any statement, warranty or representation made in or in connection with this Agreement or any other First Lien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First Lien Loan Document or any other agreement, instrument or document, or the creation, perfection or priority of any Lien purported to be created by the Security Documents, (v) the value or the sufficiency of any Collateral, or (vi) the satisfaction of any condition set forth in Article IV or elsewhere herein, other than to confirm receipt of items expressly required to be delivered to the First Lien Administrative Agent.</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Reliance by First Lien Administrative Agent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The First Lien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First Lien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First Lien Administrative Agent may presume that such condition is satisfactory to such Lender or the Issuing Bank unless the First Lien Administrative Agent shall have received notice to the contrary from such Lender or the Issuing Bank prior to the making of such Loan or the issuance of such Letter of Credit. The First Lien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u w:val="single" w:color="auto"/>
          <w:color w:val="auto"/>
        </w:rPr>
        <w:t>Delegation of Duties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The First Lien Administrative Agent may perform any and all of its duties and exercise its rights and powers hereunder or under any other First Lien Loan Document by or through any one or more sub-agents (which may include such of the First Lien Administrative Agent’s affiliates or branches as it deems appropriate) appointed by the First Lien Administrative Agent. The First Lien Administrative Agent and any such sub-agent may perform any and all of its duties and exercise its rights and powers by or through their respective Related Parties. The exculpatory provisions of this Article VIII shall apply to any such sub-agent and to the Related Parties of the First Lien Administrative Agent and any such sub-agent, and shall apply to their respective activities in connection with the syndication of the credit facilities provided for herein as well as activities as First Lien Administrative Agent.</w:t>
      </w:r>
    </w:p>
    <w:p>
      <w:pPr>
        <w:spacing w:after="0" w:line="16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Resignation of First Lien Administrative Agent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Subject to the appointment and acceptance of a successor First Lien Administrative Agent as provided in this paragraph, the First Lien Administrative Agent may resign upon thirty (30) days’ notice to the Lenders, the Issuing Banks and the Borrower. Upon receipt of any such notice of resignation, the Required Lenders shall have the right, with the Borrower’s consent (such consent not to be unreasonably withheld or delayed) unless a Specified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First Lien Administrative Agent gives notice of its resignation, then such resignation shall nevertheless be effective and the retiring First Lien Administrative Agent may (but shall not be obligated to) on behalf of the Lenders and the Issuing Banks, appoint a successor First Lien Administrative Agent, which shall be an Approved Bank with an office in New York, New York, or an Affiliate of any such Approved Bank (the date upon which the retiring First Lien Administrative Agent is replaced,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21" w:right="339" w:bottom="1440" w:gutter="0" w:footer="0" w:header="0"/>
        </w:sectPr>
      </w:pPr>
    </w:p>
    <w:bookmarkStart w:id="141" w:name="page142"/>
    <w:bookmarkEnd w:id="141"/>
    <w:p>
      <w:pPr>
        <w:jc w:val="both"/>
        <w:spacing w:after="0" w:line="277" w:lineRule="auto"/>
        <w:rPr>
          <w:sz w:val="20"/>
          <w:szCs w:val="20"/>
          <w:color w:val="auto"/>
        </w:rPr>
      </w:pPr>
      <w:r>
        <w:rPr>
          <w:rFonts w:ascii="Arial" w:cs="Arial" w:eastAsia="Arial" w:hAnsi="Arial"/>
          <w:sz w:val="18"/>
          <w:szCs w:val="18"/>
          <w:color w:val="auto"/>
        </w:rPr>
        <w:t>the First Lien Administrative Agent shall notify the Borrower and the Lenders that no qualifying Person accepted such appointment, then such resignation shall nonetheless become effective in accordance with such notice.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If the Person serving as First Lien Administrative Agent is a Defaulting Lender, the Required Lenders and Holdings may, to the extent permitted by applicable law, by notice in writing to such Person remove such Person as First Lien Administrative Agent and, with the consent of the Borrower, appoint a successor. If no such successor shall have been so appointed by the Required Lenders and shall have accepted such appointment within thirty (30) days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88"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With effect from the Resignation Effective Date or the Removal Effective Date (as applicable) (1) the retiring or removed First Lien Administrative Agent shall be discharged from its duties and obligations hereunder and under the other First Lien Loan Documents (except (i) that in the case of any collateral security held by the First Lien Administrative Agent on behalf of the Lenders under any of the First Lien Loan Documents, the retiring or removed First Lien Administrative Agent shall continue to hold such collateral security until such time as a successor First Lien Administrative Agent is appointed and (ii) with respect to any outstanding payment obligations) and (2) except for any indemnity payments or other amounts then owed to the retiring or removed First Lien Administrative Agent, all payments, communications and determinations provided to be made by, to or through the First Lien Administrative Agent shall instead be made by or to each Lender directly, until such time, if any, as the Required Lenders appoint a successor First Lien Administrative Agent as provided for above. Upon the acceptance of a successor’s appointment as First Lien Administrative Agent hereunder, such successor shall succeed to and become vested with all of the rights, powers, privileges and duties of the retiring (or removed) First Lien Administrative Agent (other than any rights to indemnity payments or other amounts owed to the retiring or removed First Lien Administrative Agent as of the Resignation Effective Date or the Removal Effective Date, as applicable), and the retiring or removed First Lien Administrative Agent shall be discharged from all of its duties and obligations hereunder and under the other First Lien Loan Documents as set forth in this Section. The fees payable by the Borrower to a successor First Lien Administrative Agent shall be the same as those payable to its predecessor unless otherwise agreed between the Borrower and such successor. After the retiring or removed First Lien Administrative Agent’s resignation or removal hereunder and under the other First Lien Loan Documents, the provisions of this Article and Section 9.04 shall continue in effect for the benefit of such retiring or removed First Lien Administrative Agent, its sub-agents and their respective Related Parties in respect of any actions taken or omitted to be taken by any of them while the retiring or removed First Lien Administrative Agent was acting as First Lien Administrative Agent.</w:t>
      </w:r>
    </w:p>
    <w:p>
      <w:pPr>
        <w:spacing w:after="0" w:line="17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u w:val="single" w:color="auto"/>
          <w:color w:val="auto"/>
        </w:rPr>
        <w:t>Non-Reliance on First Lien Administrative Agent and Other Lenders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Each Lender and the Issuing Bank acknowledges that it has, independently and without reliance upon the First Lien Administrative Agent or any other Lender or any of their Related Parties and based on such documents and information as it has deemed appropriate, made its own credit analysis and decision to enter into this Agreement. Each Lender and the Issuing Bank also acknowledges that it will, independently and without reliance upon the First Lien Administrative Agent or any other Lender or any of their Related Parties and based on such documents and information as it shall from time to time deem appropriate, continue to make its own decisions in taking or not taking action under or based upon this Agreement, any other First Lien Loan Document or any related agreement or any document furnished hereunder or thereunder.</w:t>
      </w:r>
    </w:p>
    <w:p>
      <w:pPr>
        <w:spacing w:after="0" w:line="178"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First Lien Loan Document and each other document required to be delivered to, or be approved by or satisfactory to, the First Lien Administrative Agent or the Lenders on the Effective Date.</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 Lender shall have any right individually to realize upon any of the Collateral or to enforce any Guarantee of the Secured Obligations, it being understood and agreed that all powers, rights and remedies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21" w:right="339" w:bottom="1440" w:gutter="0" w:footer="0" w:header="0"/>
        </w:sectPr>
      </w:pPr>
    </w:p>
    <w:bookmarkStart w:id="142" w:name="page143"/>
    <w:bookmarkEnd w:id="142"/>
    <w:p>
      <w:pPr>
        <w:jc w:val="both"/>
        <w:spacing w:after="0" w:line="269" w:lineRule="auto"/>
        <w:rPr>
          <w:sz w:val="20"/>
          <w:szCs w:val="20"/>
          <w:color w:val="auto"/>
        </w:rPr>
      </w:pPr>
      <w:r>
        <w:rPr>
          <w:rFonts w:ascii="Arial" w:cs="Arial" w:eastAsia="Arial" w:hAnsi="Arial"/>
          <w:sz w:val="17"/>
          <w:szCs w:val="17"/>
          <w:color w:val="auto"/>
        </w:rPr>
        <w:t>First Lien Loan Documents may be exercised solely by the First Lien Administrative Agent and First Lien Collateral Agent on behalf of the Lenders in accordance with the terms thereof. In the event of a foreclosure by the First Lien Administrative Agent or First Lien Collateral Agent on any of the Collateral pursuant to a public or private sale or other disposition, the First Lien Administrative Agent, the First Lien Collateral Agent or any Lender may be the purchaser or licensor of any or all of such Collateral at any such sale or other disposition, and the First Lien Administrative Agent or First Lien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First Lien Administrative Agent or First Lien Collateral Agent on behalf of the Lenders at such sale or other disposition. Each Lender, whether or not a party hereto, will be deemed, by its acceptance of the benefits of the Collateral and of the Guarantees of the Secured Obligations, to have agreed to the foregoing provisions.</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u w:val="single" w:color="auto"/>
          <w:color w:val="auto"/>
        </w:rPr>
        <w:t>No Other Duties, Etc.</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Anything herein to the contrary notwithstanding, neither any Joint Lead Arrangers nor any person named on the cover page hereof as a Joint Lead Arranger shall have any powers, duties or responsibilities under this Agreement or any of the other First Lien Loan Documents, except in its capacity, as applicable, as the First Lien Administrative Agent, a Lender or an Issuing Bank hereunder.</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7"/>
          <w:szCs w:val="17"/>
          <w:u w:val="single" w:color="auto"/>
          <w:color w:val="auto"/>
        </w:rPr>
        <w:t>First Lien Administrative Agent May File Proofs of Claim</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In case of the pendency of any proceeding under any Debtor Relief Law or any other judicial proceeding relative to any Loan Party, the First Lien Administrative Agent (irrespective of whether the principal of any Loan or outstanding Letter of Credit shall then be due and payable as herein expressed or by declaration or otherwise and irrespective of whether the First Lien Administrative Agent shall have made any demand on the Borrower) shall be entitled and empowered, by intervention in such proceeding or otherwise:</w:t>
      </w:r>
    </w:p>
    <w:p>
      <w:pPr>
        <w:spacing w:after="0" w:line="187" w:lineRule="exact"/>
        <w:rPr>
          <w:sz w:val="20"/>
          <w:szCs w:val="20"/>
          <w:color w:val="auto"/>
        </w:rPr>
      </w:pPr>
    </w:p>
    <w:p>
      <w:pPr>
        <w:jc w:val="both"/>
        <w:ind w:left="660" w:firstLine="644"/>
        <w:spacing w:after="0" w:line="255" w:lineRule="auto"/>
        <w:tabs>
          <w:tab w:leader="none" w:pos="175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 and the First Lien Administrative Agent (including any claim for the reasonable compensation, expenses, disbursements and advances of the Lenders, the Issuing Bank and the First Lien Administrative Agent and their respective agents and counsel and all other amounts due the Lenders, the Issuing Bank and the First Lien Administrative Agent under Sections 2.12 and 9.03) allowed in such judicial proceeding; and</w:t>
      </w:r>
    </w:p>
    <w:p>
      <w:pPr>
        <w:spacing w:after="0" w:line="192" w:lineRule="exact"/>
        <w:rPr>
          <w:rFonts w:ascii="Arial" w:cs="Arial" w:eastAsia="Arial" w:hAnsi="Arial"/>
          <w:sz w:val="18"/>
          <w:szCs w:val="18"/>
          <w:color w:val="auto"/>
        </w:rPr>
      </w:pPr>
    </w:p>
    <w:p>
      <w:pPr>
        <w:ind w:left="1700" w:hanging="396"/>
        <w:spacing w:after="0"/>
        <w:tabs>
          <w:tab w:leader="none" w:pos="17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any custodian, receiver, assignee, trustee, liquidator, sequestrator or other similar official in any such judicial proceeding is hereby authorized by each Lender and the Issuing Bank to make such payments to the First Lien Administrative Agent and, if the First Lien Administrative Agent shall consent to the making of such payments directly to the Lenders and the Issuing Bank, to pay to the First Lien Administrative Agent any amount due for the reasonable compensation, expenses, disbursements and advances of the First Lien Administrative Agent and its agents and counsel, and any other amounts due the First Lien Administrative Agent under Sections 2.12 and 9.03.</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Nothing contained herein shall be deemed to authorize the First Lien Administrative Agent to authorize or consent to or accept or adopt on behalf of any Lender or the Issuing Bank any plan of reorganization, arrangement, adjustment or composition affecting the Secured Obligations or the rights of any Lender or the Issuing Bank to authorize the First Lien Administrative Agent to vote in respect of the claim of any Lender or the Issuing Bank or in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21" w:right="339" w:bottom="1440" w:gutter="0" w:footer="0" w:header="0"/>
        </w:sectPr>
      </w:pPr>
    </w:p>
    <w:bookmarkStart w:id="143" w:name="page144"/>
    <w:bookmarkEnd w:id="143"/>
    <w:p>
      <w:pPr>
        <w:ind w:left="1300"/>
        <w:spacing w:after="0"/>
        <w:tabs>
          <w:tab w:leader="none" w:pos="2580"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u w:val="single" w:color="auto"/>
          <w:color w:val="auto"/>
        </w:rPr>
        <w:t>No Waiver; Cumulative Remedies; Enforcement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No failure by any Lender, any Issuing Bank or the First Lien Administrative Agent to exercise, and no delay by any such Person in exercising, any right, remedy, power or privilege hereunder or under any other First Lien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First Lien Loan Document, are cumulative and not exclusive of any rights, remedies, powers and privileges provided by law.</w:t>
      </w:r>
    </w:p>
    <w:p>
      <w:pPr>
        <w:spacing w:after="0" w:line="17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Notwithstanding anything to the contrary contained herein or in any other First Lien Loan Document, the authority to enforce rights and remedies hereunder and under the other First Lien Loan Documents against the Loan Parties or any of them shall be vested exclusively in, and all actions and proceedings at law in connection with such enforcement shall be instituted and maintained exclusively by, the First Lien Administrative Agent in accordance with Article VII for the benefit of all the Lenders and the Issuing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First Lien Administrative Agent from exercising on its own behalf the rights and remedies that inure to its benefit (solely in its capacity as First Lien Administrative Agent) hereunder and under the other First Lien Loan Documents, (b) the Issuing Banks or the Swingline Lender from exercising the rights and remedies that inure to its benefit (solely in its capacity as Issuing Bank or Swingline Lender, as the case may be) hereunder and under the other First Lien Loan Documents, (c) any Lender from exercising setoff rights in accordance with Section 9.08 (subject to the terms of Section 2.18),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at any time there is no Person acting as First Lien Administrative Agent hereunder and under the other First Lien Loan Documents, then (i) the Required Lenders shall have the rights otherwise ascribed to the First Lien Administrative Agent pursuant to Article VII and (ii) in addition to the matters set forth in clauses (b), (c) and (d) of the preceding proviso and subject to Section 2.18, any Lender may, with the consent of the Required Lenders, enforce any rights and remedies available to it and as authorized by the Required Lenders.</w:t>
      </w:r>
    </w:p>
    <w:p>
      <w:pPr>
        <w:spacing w:after="0" w:line="17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225" w:lineRule="exact"/>
        <w:rPr>
          <w:sz w:val="20"/>
          <w:szCs w:val="20"/>
          <w:color w:val="auto"/>
        </w:rPr>
      </w:pPr>
    </w:p>
    <w:p>
      <w:pPr>
        <w:jc w:val="both"/>
        <w:ind w:left="120" w:right="100" w:firstLine="1292"/>
        <w:spacing w:after="0" w:line="259" w:lineRule="auto"/>
        <w:tabs>
          <w:tab w:leader="none" w:pos="195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214" w:lineRule="exact"/>
        <w:rPr>
          <w:sz w:val="20"/>
          <w:szCs w:val="20"/>
          <w:color w:val="auto"/>
        </w:rPr>
      </w:pPr>
    </w:p>
    <w:p>
      <w:pPr>
        <w:jc w:val="both"/>
        <w:ind w:left="760" w:right="100" w:firstLine="652"/>
        <w:spacing w:after="0" w:line="263" w:lineRule="auto"/>
        <w:tabs>
          <w:tab w:leader="none" w:pos="194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224" w:lineRule="exact"/>
        <w:rPr>
          <w:rFonts w:ascii="Arial" w:cs="Arial" w:eastAsia="Arial" w:hAnsi="Arial"/>
          <w:sz w:val="18"/>
          <w:szCs w:val="18"/>
          <w:color w:val="auto"/>
        </w:rPr>
      </w:pPr>
    </w:p>
    <w:p>
      <w:pPr>
        <w:jc w:val="both"/>
        <w:ind w:left="760" w:right="100" w:firstLine="652"/>
        <w:spacing w:after="0" w:line="273" w:lineRule="auto"/>
        <w:tabs>
          <w:tab w:leader="none" w:pos="193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04" w:lineRule="exact"/>
        <w:rPr>
          <w:rFonts w:ascii="Arial" w:cs="Arial" w:eastAsia="Arial" w:hAnsi="Arial"/>
          <w:sz w:val="17"/>
          <w:szCs w:val="17"/>
          <w:color w:val="auto"/>
        </w:rPr>
      </w:pPr>
    </w:p>
    <w:p>
      <w:pPr>
        <w:jc w:val="both"/>
        <w:ind w:left="760" w:right="120" w:firstLine="652"/>
        <w:spacing w:after="0" w:line="263" w:lineRule="auto"/>
        <w:tabs>
          <w:tab w:leader="none" w:pos="194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21" w:right="339" w:bottom="1440" w:gutter="0" w:footer="0" w:header="0"/>
        </w:sectPr>
      </w:pPr>
    </w:p>
    <w:bookmarkStart w:id="144" w:name="page145"/>
    <w:bookmarkEnd w:id="144"/>
    <w:p>
      <w:pPr>
        <w:jc w:val="both"/>
        <w:ind w:left="760" w:right="120"/>
        <w:spacing w:after="0" w:line="257" w:lineRule="auto"/>
        <w:rPr>
          <w:sz w:val="20"/>
          <w:szCs w:val="20"/>
          <w:color w:val="auto"/>
        </w:rPr>
      </w:pPr>
      <w:r>
        <w:rPr>
          <w:rFonts w:ascii="Arial" w:cs="Arial" w:eastAsia="Arial" w:hAnsi="Arial"/>
          <w:sz w:val="18"/>
          <w:szCs w:val="18"/>
          <w:color w:val="auto"/>
        </w:rPr>
        <w:t>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15" w:lineRule="exact"/>
        <w:rPr>
          <w:sz w:val="20"/>
          <w:szCs w:val="20"/>
          <w:color w:val="auto"/>
        </w:rPr>
      </w:pPr>
    </w:p>
    <w:p>
      <w:pPr>
        <w:ind w:left="760" w:right="420" w:firstLine="647"/>
        <w:spacing w:after="0" w:line="277" w:lineRule="auto"/>
        <w:tabs>
          <w:tab w:leader="none" w:pos="195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97" w:lineRule="exact"/>
        <w:rPr>
          <w:sz w:val="20"/>
          <w:szCs w:val="20"/>
          <w:color w:val="auto"/>
        </w:rPr>
      </w:pPr>
    </w:p>
    <w:p>
      <w:pPr>
        <w:jc w:val="both"/>
        <w:ind w:left="120" w:right="100" w:firstLine="1292"/>
        <w:spacing w:after="0" w:line="271" w:lineRule="auto"/>
        <w:tabs>
          <w:tab w:leader="none" w:pos="195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First Lien Loan Document or any documents related hereto or thereto).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1941"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spacing w:after="0" w:line="183" w:lineRule="exact"/>
        <w:rPr>
          <w:rFonts w:ascii="Arial" w:cs="Arial" w:eastAsia="Arial" w:hAnsi="Arial"/>
          <w:sz w:val="18"/>
          <w:szCs w:val="18"/>
          <w:color w:val="auto"/>
        </w:rPr>
      </w:pPr>
    </w:p>
    <w:p>
      <w:pPr>
        <w:ind w:firstLine="915"/>
        <w:spacing w:after="0" w:line="277" w:lineRule="auto"/>
        <w:tabs>
          <w:tab w:leader="none" w:pos="129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to Holdings, the Borrower, the First Lien Administrative Agent, the Issuing Bank or the Swingline Lender, to the address, fax number, e-mail address or telephone number specified for such Person on Schedule 9.01; and</w:t>
      </w:r>
    </w:p>
    <w:p>
      <w:pPr>
        <w:spacing w:after="0" w:line="170" w:lineRule="exact"/>
        <w:rPr>
          <w:rFonts w:ascii="Arial" w:cs="Arial" w:eastAsia="Arial" w:hAnsi="Arial"/>
          <w:sz w:val="18"/>
          <w:szCs w:val="18"/>
          <w:color w:val="auto"/>
        </w:rPr>
      </w:pPr>
    </w:p>
    <w:p>
      <w:pPr>
        <w:jc w:val="both"/>
        <w:ind w:firstLine="915"/>
        <w:spacing w:after="0" w:line="263" w:lineRule="auto"/>
        <w:tabs>
          <w:tab w:leader="none" w:pos="128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jc w:val="both"/>
        <w:ind w:firstLine="1304"/>
        <w:spacing w:after="0" w:line="259" w:lineRule="auto"/>
        <w:tabs>
          <w:tab w:leader="none" w:pos="1938"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the Issuing Bank and the Swingline Lender hereunder may be delivered or furnished through Electronic System (including e-mail and Internet or intranet websites) pursuant to procedures reasonably approved by the First Lien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the Issuing Bank or Swingline Lender pursuant to Article II if such Lender, the Issuing Bank or the Swingline Lender, as applicable,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2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notified the First Lien Administrative Agent that it is incapable of receiving notices under such Article by electronic communication.</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Unless the First Lien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95" w:lineRule="exact"/>
        <w:rPr>
          <w:sz w:val="20"/>
          <w:szCs w:val="20"/>
          <w:color w:val="auto"/>
        </w:rPr>
      </w:pPr>
    </w:p>
    <w:p>
      <w:pPr>
        <w:jc w:val="both"/>
        <w:ind w:firstLine="1304"/>
        <w:spacing w:after="0" w:line="268" w:lineRule="auto"/>
        <w:tabs>
          <w:tab w:leader="none" w:pos="1941"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First Lien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Holdings, the Borrower, any Lender, the Issuing Bank or any other Person for losses, claims, damages, liabilities or expenses of any kind (whether in tort, contract or otherwise) arising out of the Borrower’s or the First Lien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Holdings, the Borrower, any Lender, the Issuing Bank or any other Person for indirect, special, incidental, consequential or punitive damages (as opposed to direct or actual damages).</w:t>
      </w:r>
    </w:p>
    <w:p>
      <w:pPr>
        <w:spacing w:after="0" w:line="186" w:lineRule="exact"/>
        <w:rPr>
          <w:rFonts w:ascii="Arial" w:cs="Arial" w:eastAsia="Arial" w:hAnsi="Arial"/>
          <w:sz w:val="17"/>
          <w:szCs w:val="17"/>
          <w:color w:val="auto"/>
        </w:rPr>
      </w:pPr>
    </w:p>
    <w:p>
      <w:pPr>
        <w:jc w:val="both"/>
        <w:ind w:firstLine="1304"/>
        <w:spacing w:after="0" w:line="254" w:lineRule="auto"/>
        <w:tabs>
          <w:tab w:leader="none" w:pos="1938"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Holdings, the Borrower, the First Lien Administrative Agent, the Issuing Bank and the Swingline Lender may change its address, electronic mail address, fax or telephone number for notices and other communications or website hereunder by notice to the other parties hereto. Each other Lender may change its address, fax or telephone number for notices and other communications hereunder by notice to the Borrower, the First Lien Administrative Agent, the Issuing Bank and the Swingline Lender. In addition, each Lender agrees to notify the First Lien Administrative Agent from time to time to ensure that the First Lien Administrative Agent has on record (i) an effective address, contact name, telephone number, fax number and electronic mail address to which notices and other communications may be sent and (ii) accurate wire instructions for such Lender.</w:t>
      </w:r>
    </w:p>
    <w:p>
      <w:pPr>
        <w:spacing w:after="0" w:line="194" w:lineRule="exact"/>
        <w:rPr>
          <w:rFonts w:ascii="Arial" w:cs="Arial" w:eastAsia="Arial" w:hAnsi="Arial"/>
          <w:sz w:val="18"/>
          <w:szCs w:val="18"/>
          <w:color w:val="auto"/>
        </w:rPr>
      </w:pPr>
    </w:p>
    <w:p>
      <w:pPr>
        <w:jc w:val="both"/>
        <w:ind w:firstLine="1304"/>
        <w:spacing w:after="0" w:line="271" w:lineRule="auto"/>
        <w:tabs>
          <w:tab w:leader="none" w:pos="1941"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Reliance by</w:t>
      </w:r>
      <w:r>
        <w:rPr>
          <w:rFonts w:ascii="Arial" w:cs="Arial" w:eastAsia="Arial" w:hAnsi="Arial"/>
          <w:sz w:val="17"/>
          <w:szCs w:val="17"/>
          <w:color w:val="auto"/>
        </w:rPr>
        <w:t xml:space="preserve"> First Lien </w:t>
      </w:r>
      <w:r>
        <w:rPr>
          <w:rFonts w:ascii="Arial" w:cs="Arial" w:eastAsia="Arial" w:hAnsi="Arial"/>
          <w:sz w:val="17"/>
          <w:szCs w:val="17"/>
          <w:u w:val="single" w:color="auto"/>
          <w:color w:val="auto"/>
        </w:rPr>
        <w:t>Administrative Agent, Issuing Bank and Lenders</w:t>
      </w:r>
      <w:r>
        <w:rPr>
          <w:rFonts w:ascii="Arial" w:cs="Arial" w:eastAsia="Arial" w:hAnsi="Arial"/>
          <w:sz w:val="17"/>
          <w:szCs w:val="17"/>
          <w:color w:val="auto"/>
        </w:rPr>
        <w:t>. The First Lien Administrative Agent, the Issuing Bank and 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First Lien Administrative Agent, the Issuing Bank,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First Lien Administrative Agent may be recorded by the First Lien Administrative Agent and each of the parties hereto hereby consents to such recording.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21" w:right="339" w:bottom="1440" w:gutter="0" w:footer="0" w:header="0"/>
        </w:sectPr>
      </w:pPr>
    </w:p>
    <w:bookmarkStart w:id="146" w:name="page147"/>
    <w:bookmarkEnd w:id="146"/>
    <w:p>
      <w:pPr>
        <w:ind w:left="1300"/>
        <w:spacing w:after="0"/>
        <w:tabs>
          <w:tab w:leader="none" w:pos="25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Waivers; Amendments.</w:t>
      </w:r>
    </w:p>
    <w:p>
      <w:pPr>
        <w:spacing w:after="0" w:line="225" w:lineRule="exact"/>
        <w:rPr>
          <w:sz w:val="20"/>
          <w:szCs w:val="20"/>
          <w:color w:val="auto"/>
        </w:rPr>
      </w:pPr>
    </w:p>
    <w:p>
      <w:pPr>
        <w:jc w:val="both"/>
        <w:ind w:firstLine="1304"/>
        <w:spacing w:after="0" w:line="269" w:lineRule="auto"/>
        <w:tabs>
          <w:tab w:leader="none" w:pos="1941" w:val="left"/>
        </w:tabs>
        <w:numPr>
          <w:ilvl w:val="0"/>
          <w:numId w:val="180"/>
        </w:numPr>
        <w:rPr>
          <w:rFonts w:ascii="Arial" w:cs="Arial" w:eastAsia="Arial" w:hAnsi="Arial"/>
          <w:sz w:val="17"/>
          <w:szCs w:val="17"/>
          <w:color w:val="auto"/>
        </w:rPr>
      </w:pPr>
      <w:r>
        <w:rPr>
          <w:rFonts w:ascii="Arial" w:cs="Arial" w:eastAsia="Arial" w:hAnsi="Arial"/>
          <w:sz w:val="17"/>
          <w:szCs w:val="17"/>
          <w:color w:val="auto"/>
        </w:rPr>
        <w:t>No failure or delay by the First Lien Administrative Agent, any Issuing Bank or any Lender in exercising any right or power under this Agreement or any First Lien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First Lien Administrative Agent, the Issuing Banks and the Lenders hereunder and under the other First Lien Loan Documents are cumulative and are not exclusive of any rights or remedies that they would otherwise have. No waiver of any provision of this Agreement or any First Lien Loan Document or consent to any departure by any Loan Party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First Lien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w:t>
      </w:r>
    </w:p>
    <w:p>
      <w:pPr>
        <w:spacing w:after="0" w:line="181" w:lineRule="exact"/>
        <w:rPr>
          <w:rFonts w:ascii="Arial" w:cs="Arial" w:eastAsia="Arial" w:hAnsi="Arial"/>
          <w:sz w:val="17"/>
          <w:szCs w:val="17"/>
          <w:color w:val="auto"/>
        </w:rPr>
      </w:pPr>
    </w:p>
    <w:p>
      <w:pPr>
        <w:jc w:val="both"/>
        <w:ind w:firstLine="1304"/>
        <w:spacing w:after="0" w:line="284" w:lineRule="auto"/>
        <w:tabs>
          <w:tab w:leader="none" w:pos="193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Except as provided in Section 2.20 with respect to any Incremental Facility Amendment, Section 2.21 with respect to any Refinancing Amendment or Section 2.24 with respect to any Permitted Amendment, neither this Agreement, any First Lien Loan Document nor any provision hereof or thereof may be waived, amended or modified except, in the case of this Agreement, pursuant to an agreement or agreements in writing entered into by Holdings, the Borrower, the First Lien Administrative Agent (to the extent that such waiver, amendment or modification does not affect the rights, duties, privileges or obligations of the First Lien Administrative Agent under this Agreement, the First Lien Administrative Agent shall execute such waiver, amendment or other modification to the extent approved by the Required Lenders) and the Required Lenders or, in the case of any other First Lien Loan Document, pursuant to an agreement or agreements in writing entered into by the First Lien Administrative Agent and the Loan Party or Loan Parties that are parties thereto, in each case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(i) increase the Commitment of any Lender without the written consent of such Lender (it being understood that a waiver of any condition precedent set forth in Section 4.02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 for the LC Exposure at such time (it being understood that a waiver of any 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Interest Coverage Ratio or in the component definitions thereof shall not constitute a reduction of interest or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the Required Lenders shall be necessary to waive any obligation of the Borrower to pay default interest pursuant to Section 2.13(c), (iii) effectuate the subordination of the Secured Obligations without the written consent of each Lender directly and adversely affected thereby (iv) postpone the maturity of any Loan (it being understood that a waiver of any Default, Event of Default, mandatory prepayment or mandatory reduction of the Commitments shall not constitute a reduction or forgiveness of principal or an extension of any maturity date, date of any scheduled amortization payment or date for payment of interest or fees), or the date of any scheduled amortization payment of the principal amount of any Term Loan under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(it being understood that a waiver of any Default or Event of Default shall not constitute an extension of any maturity date, date of any scheduled amortization payment or date for payment of interest or fees) without the written consent of each Lender directly and adversely affected thereby, (v) change any of the provisions of Sections 2.18(a), Section 2.18 (b), Section 2.18(c), Section 7.03 or this Section 9.02 without the written consent of each Lender directly and adversely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change which is in favor of a Class of Lenders holding Loans maturing after the maturity of other Classes of Lenders (and only takes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21" w:right="339" w:bottom="1440" w:gutter="0" w:footer="0" w:header="0"/>
        </w:sectPr>
      </w:pPr>
    </w:p>
    <w:bookmarkStart w:id="147" w:name="page148"/>
    <w:bookmarkEnd w:id="147"/>
    <w:p>
      <w:pPr>
        <w:jc w:val="both"/>
        <w:spacing w:after="0" w:line="285" w:lineRule="auto"/>
        <w:rPr>
          <w:sz w:val="20"/>
          <w:szCs w:val="20"/>
          <w:color w:val="auto"/>
        </w:rPr>
      </w:pPr>
      <w:r>
        <w:rPr>
          <w:rFonts w:ascii="Arial" w:cs="Arial" w:eastAsia="Arial" w:hAnsi="Arial"/>
          <w:sz w:val="16"/>
          <w:szCs w:val="16"/>
          <w:color w:val="auto"/>
        </w:rPr>
        <w:t xml:space="preserve">effect after the maturity of such other Classes of Loans or Commitments) will require the written consent of the Required Lenders with respect to each Class directly and adversely affected thereby, (vi) change the percentage set forth in the definition of “Required Lenders”, or any other provision of any First Lien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(vii) release all or substantially all the value of the Guarantees under the First Lien Guarantee Agreement (except as expressly provided in the First Lien Loan Documents) without the written consent of each Lender (other than a Defaulting Lender), or (viii) release all or substantially all the Collateral from the Liens of the Security Documents, without the written consent of each Lender (other than a Defaulting Lender), except as expressly provided in the First Lien Loan Documents;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 no such agreement shall amend, modify or otherwise affect the rights or duties of the First Lien Administrative Agent, any Issuing Bank or the Swingline Lender without the prior written consent of the First Lien Administrative Agent, such Issuing Bank or the Swingline Lender, as the case may be, (B) any provision of this Agreement or any other First Lien Loan Document may be amended by an agreement in writing entered into by Holdings, the Borrower and the First Lien Administrative Agent to cure any ambiguity, omission, mistake, defect, incorrect cross-reference, inconsistency, obvious error or technical or immaterial errors (as reasonably determined by the First Lien Administrative Agent and the Borrower)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the Borrower and the requisite percentage in interest of the affected Class of Lenders stating that would be required to consent thereto under this Section 9.02 if such Class of Lenders were the only Class of Lenders hereunder at the time.</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Notwithstanding the foregoing, (a) this Agreement may be amended (or amended and restated) with the written consent of the Required Lenders, the First Lien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First Lien Loan Documents and (ii) to include appropriately the Lenders holding such credit facilities in any determination of the Required Lenders on substantially the same basis as the Lenders prior to such inclusion and (b) guarantees, collateral security documents (including Mortgages) and related documents in connection with this Agreement may be in a form reasonably determined by the First Lien Administrative Agent and may be, together with this Agreement and the other First Lien Loan Documents, amended and waived with the consent of the First Lien Administrative Agent at the request of the Borrower without the need to obtain the consent of any other Lender if such amendment or waiver is delivered in order (i) to comply with local law or advice of local counsel, (ii) to cure ambiguities, defects, omissions, inconsistencies or to make related modifications to provisions of other Loan Documents, (iii) to cause any guarantee, collateral security document (including Mortgages) or other document to be consistent with this Agreement and the other First Lien Loan Documents, (iv) to give effect to the provisions of Section 2.14(b) or (v) to integrate any First Lien Incremental Facility or Credit Agreement Refinancing Indebtedness in a manner consistent with this Agreement and the other First Lien Loan Documents.</w:t>
      </w:r>
    </w:p>
    <w:p>
      <w:pPr>
        <w:spacing w:after="0" w:line="168" w:lineRule="exact"/>
        <w:rPr>
          <w:sz w:val="20"/>
          <w:szCs w:val="20"/>
          <w:color w:val="auto"/>
        </w:rPr>
      </w:pPr>
    </w:p>
    <w:p>
      <w:pPr>
        <w:jc w:val="both"/>
        <w:ind w:firstLine="1304"/>
        <w:spacing w:after="0" w:line="269" w:lineRule="auto"/>
        <w:tabs>
          <w:tab w:leader="none" w:pos="194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In connection with any proposed amendment, modification, waiver or termination (a “</w:t>
      </w:r>
      <w:r>
        <w:rPr>
          <w:rFonts w:ascii="Arial" w:cs="Arial" w:eastAsia="Arial" w:hAnsi="Arial"/>
          <w:sz w:val="17"/>
          <w:szCs w:val="17"/>
          <w:u w:val="single" w:color="auto"/>
          <w:color w:val="auto"/>
        </w:rPr>
        <w:t>Proposed Change</w:t>
      </w:r>
      <w:r>
        <w:rPr>
          <w:rFonts w:ascii="Arial" w:cs="Arial" w:eastAsia="Arial" w:hAnsi="Arial"/>
          <w:sz w:val="17"/>
          <w:szCs w:val="17"/>
          <w:color w:val="auto"/>
        </w:rPr>
        <w:t>”) requiring the consent of all Lenders or all directly and adversely affected Lenders, if the consent of the Required Lenders (and, to the extent any Proposed Change requires the consent of Lenders holding Loans of any Class pursuant to clause (iv) of paragraph (b) of this Section 9.02,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9.02 being referred to as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xml:space="preserve">”), then, so long as the Lender that is acting as First Lien Administrative Agent is not a Non-Consenting Lender, the Borrower may, at its sole expense and effort, upon notice to such Non-Consenting Lender and the First Lien Administrative Agent, either (i) if exists, permanently prepay all of the Loans of any Class owing by it to, and terminating any Commitments of such Non-Consenting Lender or (ii)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17"/>
          <w:szCs w:val="17"/>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21" w:right="339" w:bottom="1440" w:gutter="0" w:footer="0" w:header="0"/>
        </w:sectPr>
      </w:pPr>
    </w:p>
    <w:bookmarkStart w:id="148" w:name="page149"/>
    <w:bookmarkEnd w:id="148"/>
    <w:p>
      <w:pPr>
        <w:jc w:val="both"/>
        <w:spacing w:after="0" w:line="287" w:lineRule="auto"/>
        <w:rPr>
          <w:sz w:val="20"/>
          <w:szCs w:val="20"/>
          <w:color w:val="auto"/>
        </w:rPr>
      </w:pPr>
      <w:r>
        <w:rPr>
          <w:rFonts w:ascii="Arial" w:cs="Arial" w:eastAsia="Arial" w:hAnsi="Arial"/>
          <w:sz w:val="16"/>
          <w:szCs w:val="16"/>
          <w:color w:val="auto"/>
        </w:rPr>
        <w:t>that (a) the Borrower shall have received the prior written consent of the First Lien Administrative Agent to the extent such consent would be required under Section 9.04(b) for an assignment of Loans or Commitments, as applicable (and, if a Revolving Commitment is being assigned, each Issuing Bank and Swingline Lender), which consent shall not unreasonably be withheld, (b) such Non-Consenting Lender shall have received payment of an amount equal to the outstanding par principal amount of its Loans and participations in LC Disbursements and Swingline Loans, accrued interest thereon, accrued fees and all other amounts payable to it hereunder (including pursuant to Section 2.11(a)(i)) from the Eligible Assignee (to the extent of such outstanding principal and accrued interest and fees) or the Borrower (in the case of all other amounts) and (c) unless waived, the Borrower or such Eligible Assignee shall have paid to the First Lien Administrative Agent the processing and recordation fee specified in Section 9.04(b). Each party hereto agrees that an assignment required pursuant to this Section 9.02(c) may be effected pursuant to an Assignment and Assumption executed by the Borrower, the First Lien Administrative Agent and the assignee and that the Non-Consenting Lender required to make such assignment need not be a party thereto, and each Lender hereby authorizes and directs the First Lien Administrative Agent to execute and deliver such documentation as may be required to give effect to an assignment in accordance with Section 9.04 on behalf of a Non-Consenting Lender and any such documentation so executed by the First Lien Administrative Agent shall be effective for purposes of documenting an assignment pursuant to Section 9.04.</w:t>
      </w:r>
    </w:p>
    <w:p>
      <w:pPr>
        <w:spacing w:after="0" w:line="168" w:lineRule="exact"/>
        <w:rPr>
          <w:sz w:val="20"/>
          <w:szCs w:val="20"/>
          <w:color w:val="auto"/>
        </w:rPr>
      </w:pPr>
    </w:p>
    <w:p>
      <w:pPr>
        <w:jc w:val="both"/>
        <w:ind w:firstLine="1304"/>
        <w:spacing w:after="0" w:line="253" w:lineRule="auto"/>
        <w:tabs>
          <w:tab w:leader="none" w:pos="193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or the other First Lien Loan Documents to the contrary, (i) the Revolving Commitments, Term Loans and Revolving Exposure of any Lender that is at the time a Defaulting Lender shall not have any voting or approval rights under the First Lien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and (ii) no Disqualified Lender shall have any right to approve or disapprove any amendment, waiver or consent hereunder or under any of the First Lien Loan Documents.</w:t>
      </w:r>
    </w:p>
    <w:p>
      <w:pPr>
        <w:spacing w:after="0" w:line="196" w:lineRule="exact"/>
        <w:rPr>
          <w:rFonts w:ascii="Arial" w:cs="Arial" w:eastAsia="Arial" w:hAnsi="Arial"/>
          <w:sz w:val="18"/>
          <w:szCs w:val="18"/>
          <w:color w:val="auto"/>
        </w:rPr>
      </w:pPr>
    </w:p>
    <w:p>
      <w:pPr>
        <w:ind w:left="1940" w:hanging="636"/>
        <w:spacing w:after="0"/>
        <w:tabs>
          <w:tab w:leader="none" w:pos="19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70" w:lineRule="auto"/>
        <w:tabs>
          <w:tab w:leader="none" w:pos="193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Notwithstanding anything in this Agreement or the other First Lien Loan Documents to the contrary, only the consent of the Required Revolving Lenders shall be necessary to (1) waive or consent to a waiver of an Event of Default under Section 7.01(d)(ii) or waive or amend the conditions set forth in Section 4.02 (and Section 4.02 may not be waived or amended in a manner that affects the making of any Revolving Borrowing without the consent of the Required Revolving Lenders), (2) modify or amend Section 6.11 (and Section 6.11 may not be modified or amended without the consent of the Required Revolving Lenders) or Section 7.02 (including, in each case, the related definitions, solely to the extent such definitions are used in such Sections (but not otherwise)) or this sentence, (3) increase or decrease the rate of interest or any fees payable with respect to the Revolving Commitments and the Revolving Loans or (4) amend any other provision of this Agreement in a manner that (x) is no less favorable to the Lenders than such provision prior to such amendment, (y) does not directly and adversely affect any Class of Lenders in any material respect as compared to any other Class of Lenders, and (z) does not require the consent of all Lenders or all directly and adversely affected Lenders.</w:t>
      </w:r>
    </w:p>
    <w:p>
      <w:pPr>
        <w:spacing w:after="0" w:line="180" w:lineRule="exact"/>
        <w:rPr>
          <w:rFonts w:ascii="Arial" w:cs="Arial" w:eastAsia="Arial" w:hAnsi="Arial"/>
          <w:sz w:val="17"/>
          <w:szCs w:val="17"/>
          <w:color w:val="auto"/>
        </w:rPr>
      </w:pPr>
    </w:p>
    <w:p>
      <w:pPr>
        <w:ind w:left="1940" w:hanging="636"/>
        <w:spacing w:after="0"/>
        <w:tabs>
          <w:tab w:leader="none" w:pos="19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73" w:lineRule="auto"/>
        <w:tabs>
          <w:tab w:leader="none" w:pos="193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So long as no Event of Default has occurred and is continuing or would result therefrom, any Wholly Owned Subsidiary of Holdings that is formed under the law of the United States, any State thereof or the District of Columbia may be designated as an additional Borrower (each such person, a “</w:t>
      </w:r>
      <w:r>
        <w:rPr>
          <w:rFonts w:ascii="Arial" w:cs="Arial" w:eastAsia="Arial" w:hAnsi="Arial"/>
          <w:sz w:val="17"/>
          <w:szCs w:val="17"/>
          <w:u w:val="single" w:color="auto"/>
          <w:color w:val="auto"/>
        </w:rPr>
        <w:t>Additional Borrower</w:t>
      </w:r>
      <w:r>
        <w:rPr>
          <w:rFonts w:ascii="Arial" w:cs="Arial" w:eastAsia="Arial" w:hAnsi="Arial"/>
          <w:sz w:val="17"/>
          <w:szCs w:val="17"/>
          <w:color w:val="auto"/>
        </w:rPr>
        <w:t xml:space="preserve">”) and any amendments to this Agreement and the Loan Documents necessary or advisable to implement the designation of such Additional Borrower may be made with the consent of the Borrower and the First Lien Administrative Agent acting reasonably;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such Person shall not be an Unrestricted Subsidiary, (y) the Lenders shall have received reasonably requested know your customer” information in compliance with </w:t>
      </w:r>
      <w:r>
        <w:rPr>
          <w:rFonts w:ascii="Arial" w:cs="Arial" w:eastAsia="Arial" w:hAnsi="Arial"/>
          <w:sz w:val="17"/>
          <w:szCs w:val="17"/>
          <w:u w:val="single" w:color="auto"/>
          <w:color w:val="auto"/>
        </w:rPr>
        <w:t>Section 9.13</w:t>
      </w:r>
      <w:r>
        <w:rPr>
          <w:rFonts w:ascii="Arial" w:cs="Arial" w:eastAsia="Arial" w:hAnsi="Arial"/>
          <w:sz w:val="17"/>
          <w:szCs w:val="17"/>
          <w:color w:val="auto"/>
        </w:rPr>
        <w:t xml:space="preserve"> hereof no later than three (3) Business Days prior to such designation, and (z) if reasonably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21" w:right="339" w:bottom="1440" w:gutter="0" w:footer="0" w:header="0"/>
        </w:sectPr>
      </w:pPr>
    </w:p>
    <w:bookmarkStart w:id="149" w:name="page150"/>
    <w:bookmarkEnd w:id="149"/>
    <w:p>
      <w:pPr>
        <w:jc w:val="both"/>
        <w:spacing w:after="0" w:line="263" w:lineRule="auto"/>
        <w:rPr>
          <w:sz w:val="20"/>
          <w:szCs w:val="20"/>
          <w:color w:val="auto"/>
        </w:rPr>
      </w:pPr>
      <w:r>
        <w:rPr>
          <w:rFonts w:ascii="Arial" w:cs="Arial" w:eastAsia="Arial" w:hAnsi="Arial"/>
          <w:sz w:val="18"/>
          <w:szCs w:val="18"/>
          <w:color w:val="auto"/>
        </w:rPr>
        <w:t>by the First Lien Administrative Agent, an opinion of counsel to the effect that designation of such Person as an Additional Borrower does not violate this Agreement or any other Loan Document and that any amendments necessary to designate such Additional Borrower preserve the enforceability of the Guarantees and the perfection of the Liens created under the applicable Security Documents.</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Expenses; Indemnity; Damage Waiver.</w:t>
      </w:r>
    </w:p>
    <w:p>
      <w:pPr>
        <w:spacing w:after="0" w:line="225" w:lineRule="exact"/>
        <w:rPr>
          <w:sz w:val="20"/>
          <w:szCs w:val="20"/>
          <w:color w:val="auto"/>
        </w:rPr>
      </w:pPr>
    </w:p>
    <w:p>
      <w:pPr>
        <w:jc w:val="both"/>
        <w:ind w:firstLine="1304"/>
        <w:spacing w:after="0" w:line="284" w:lineRule="auto"/>
        <w:tabs>
          <w:tab w:leader="none" w:pos="194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Borrower shall pay, if the Effective Date occurs and the Transactions have been consummated, (i) all reasonable and documented or invoiced out-of-pocket costs and expenses incurred by the First Lien Administrative Agent, the Joint Lead Arrangers, each Issuing Bank, the Swingline Lender and their respective Affiliates (without duplication), limited, in the case of (x) legal fees and expenses to the reasonable, documented and invoiced fees, charges and disbursements of one primary counsel (which shall be Milbank LLP for any and all of the foregoing in connection with the Transactions and other matters, including the primary syndication, to occur on or prior to or otherwise in connection with the Effective Date)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First Lien Administrative Agent, each Issuing Bank or any Lender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 each case for the First Lien Administrative Agent, in connection with the syndication of the credit facilities provided for herein, and the preparation, execution, delivery and administration of the First Lien Loan Documents or any amendments, modifications or waivers of the provisions thereof, (ii) all reasonable, documented and invoiced out-of-pocket costs and expenses incurred by each Issuing Bank in connection with the issuance, amendment, renewal or extension of any Letter of Credit or any demand for payment thereunder and (iii) all reasonable and documented and invoiced out-of-pocket expenses incurred by the First Lien Administrative Agent, each Issuing Bank or any Lender, including the fees, charges and disbursements of counsel for the First Lien Administrative Agent, the Issuing Banks and the Lenders (without duplication) (limited, in the case of (x) legal fees and expenses, to the reasonable, documented and invoiced fees, charges and disbursements of one primary counsel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the Borrower of the existence of such conflict and thereafter retains its own counsel, one additional conflicts counsel for the affected Indemnitees similarly situated and (y) the fees and expenses of any other advisor or consultant, to the reasonable, documented and invoiced fees, charges and disbursements of such advisor or consultant, but solely to the extent that such consultant or advisor has been retained with the Borrower’s written consent (such consent not to be unreasonably withheld or delayed), in connection with the enforcement or protection of any rights or remedies (A) in connection with the First Lien Loan Documents (including all such costs and expenses incurred during any legal proceeding, including any proceeding under any Debtor Relief Laws), including its rights under this Section 9.03 or (B) in connection with the Loans made or Letters of Credit issued hereunder, including all such out-of-pocket costs and expenses incurred during any workout, restructuring or negotiations in respect of such Loans or Letters of Credit.</w:t>
      </w:r>
    </w:p>
    <w:p>
      <w:pPr>
        <w:spacing w:after="0" w:line="387" w:lineRule="exact"/>
        <w:rPr>
          <w:rFonts w:ascii="Arial" w:cs="Arial" w:eastAsia="Arial" w:hAnsi="Arial"/>
          <w:sz w:val="16"/>
          <w:szCs w:val="16"/>
          <w:color w:val="auto"/>
        </w:rPr>
      </w:pPr>
    </w:p>
    <w:p>
      <w:pPr>
        <w:jc w:val="both"/>
        <w:ind w:firstLine="1304"/>
        <w:spacing w:after="0" w:line="271" w:lineRule="auto"/>
        <w:tabs>
          <w:tab w:leader="none" w:pos="193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Without duplication of the expense reimbursement obligations pursuant to clause (a) above, the Borrower shall indemnify the First Lien Administrative Agent, each Issuing Bank, each Lender, the Joint Lead Arrangers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against, and hold each Indemnitee harmless from, any and all losses, claims, damages, liabilities and reasonable and documented and invoiced out-of-pocket fees and expenses (limited, in the case of (x) legal fees and expenses, to the reasonable, documented and invoiced fees, charges and disbursements of one counsel for all Indemnitees and to the extent reasonably determined by the First Lien Administrative Agent to be necessary, one local counsel in each relevant material jurisdiction (which may include a single local counsel acting in multiple jurisdictions) and, in the case of an actual conflict of interest, where the Indemnitee affected by such conflict notifies Holdings of the existence of such conflict and thereafter retains its own counsel, one additional conflicts counsel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82" w:lineRule="auto"/>
        <w:rPr>
          <w:sz w:val="20"/>
          <w:szCs w:val="20"/>
          <w:color w:val="auto"/>
        </w:rPr>
      </w:pPr>
      <w:r>
        <w:rPr>
          <w:rFonts w:ascii="Arial" w:cs="Arial" w:eastAsia="Arial" w:hAnsi="Arial"/>
          <w:sz w:val="16"/>
          <w:szCs w:val="16"/>
          <w:color w:val="auto"/>
        </w:rPr>
        <w:t xml:space="preserve">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the Borrower’s consent in writing (such consent not to be unreasonably withheld or delayed)), incurred by or asserted against any Indemnitee by any third party or by the Borrower, Holdings or any Subsidiary to the extent arising out of, in connection with, or as a result of (i) the execution or delivery of this Agreement, any First Lien Loan Document or any other agreement or instrument contemplated hereby or thereby, the performance by the parties to the First Lien Loan Documents of their respective obligations thereunder or the consummation of the Transactions or any other transactions contemplated thereby, the syndication of the credit facilities provided for herein,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to the extent in any way arising from or relating to any of the foregoing, any Release or threatened Release of Hazardous Materials on, at, to or from any Mortgaged Property or any other real property owned or operated by Holdings, the Borrower or any Subsidiary, or any other Environmental Liability related in any way to Holdings, the Borrower or any Subsidiary, or (iv) any actual or prospective claim, litigation, investigation or proceeding relating to any of the foregoing, whether based on contract, tort or any other theory, whether brought by a third party or by the Borrower, Holdings or any Subsidiary or their Affiliates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costs or related expenses (w) resulted from the gross negligence, bad faith or willful misconduct of such Indemnitee or its Related Parties (as determined by a court of competent jurisdiction in a final and non-appealable judgment), (x) resulted from a material breach of the First Lien Loan Documents by such Indemnitee or its Related Parties (as determined by a court of competent jurisdiction in a final and non-appealable judgment), (y) arise from disputes between or among Indemnitees (other than disputes involving claims against the First Lien Administrative Agent, the First Lien Collateral Agent or the Joint Lead Arrangers, the Swingline Lender or any Issuing Bank, in each case, in their respective capacities) that do not involve an act or omission by Holdings, the Borrower or any Restricted Subsidiary or</w:t>
      </w:r>
    </w:p>
    <w:p>
      <w:pPr>
        <w:spacing w:after="0" w:line="11" w:lineRule="exact"/>
        <w:rPr>
          <w:sz w:val="20"/>
          <w:szCs w:val="20"/>
          <w:color w:val="auto"/>
        </w:rPr>
      </w:pPr>
    </w:p>
    <w:p>
      <w:pPr>
        <w:jc w:val="both"/>
        <w:ind w:firstLine="8"/>
        <w:spacing w:after="0" w:line="295" w:lineRule="auto"/>
        <w:tabs>
          <w:tab w:leader="none" w:pos="25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resulted from any settlement effected without the Borrower’s prior written consent;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any amounts paid to an Indemnitee in respect of this Section 9.03, such Indemnitee, by its acceptance of the benefits hereof, agrees to refund and return any and all amounts paid by the Borrower to it if, pursuant to the operation of the foregoing clauses (w) through (z), such Indemnitee was not entitled to receipt of such amount. This Section 9.03(b) shall not apply with respect to Taxes other than any Taxes that represent losses, claims, damages, etc. arising from any non-Tax claim.</w:t>
      </w:r>
    </w:p>
    <w:p>
      <w:pPr>
        <w:spacing w:after="0" w:line="161" w:lineRule="exact"/>
        <w:rPr>
          <w:rFonts w:ascii="Arial" w:cs="Arial" w:eastAsia="Arial" w:hAnsi="Arial"/>
          <w:sz w:val="16"/>
          <w:szCs w:val="16"/>
          <w:color w:val="auto"/>
        </w:rPr>
      </w:pPr>
    </w:p>
    <w:p>
      <w:pPr>
        <w:jc w:val="both"/>
        <w:ind w:firstLine="1304"/>
        <w:spacing w:after="0" w:line="290" w:lineRule="auto"/>
        <w:tabs>
          <w:tab w:leader="none" w:pos="1941"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To the extent that the Borrower fails to pay any amount required to be paid by it to the First Lien Administrative Agent, any Lender or any Issuing Bank under paragraph (a) or (b) of this Section 9.03, each Lender severally agrees to pay to the First Lien Administrative Agent, such Lender or such Issuing Bank, as the case may be, such Lender’s pro rata share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First Lien Administrative Agent, such Lender or such Issuing Bank in its capacity as such. For purposes hereof, a Lender’s “pro rata share” shall be determined based upon its share of the aggregate Revolving Exposures, outstanding Term Loans and unused Commitments at such time. The obligations of the Lenders under this paragraph (c) are subject to the last sentence of Section 2.02(a) (which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Lenders’ obligations under this paragraph (c)).</w:t>
      </w:r>
    </w:p>
    <w:p>
      <w:pPr>
        <w:spacing w:after="0" w:line="165" w:lineRule="exact"/>
        <w:rPr>
          <w:rFonts w:ascii="Arial" w:cs="Arial" w:eastAsia="Arial" w:hAnsi="Arial"/>
          <w:sz w:val="16"/>
          <w:szCs w:val="16"/>
          <w:color w:val="auto"/>
        </w:rPr>
      </w:pPr>
    </w:p>
    <w:p>
      <w:pPr>
        <w:jc w:val="both"/>
        <w:ind w:firstLine="1304"/>
        <w:spacing w:after="0" w:line="271" w:lineRule="auto"/>
        <w:tabs>
          <w:tab w:leader="none" w:pos="1938" w:val="left"/>
        </w:tabs>
        <w:numPr>
          <w:ilvl w:val="1"/>
          <w:numId w:val="184"/>
        </w:numPr>
        <w:rPr>
          <w:rFonts w:ascii="Arial" w:cs="Arial" w:eastAsia="Arial" w:hAnsi="Arial"/>
          <w:sz w:val="17"/>
          <w:szCs w:val="17"/>
          <w:color w:val="auto"/>
        </w:rPr>
      </w:pPr>
      <w:r>
        <w:rPr>
          <w:rFonts w:ascii="Arial" w:cs="Arial" w:eastAsia="Arial" w:hAnsi="Arial"/>
          <w:sz w:val="17"/>
          <w:szCs w:val="17"/>
          <w:color w:val="auto"/>
        </w:rPr>
        <w:t>To the extent permitted by applicable law, no party hereto nor any Affiliate of any party hereto, nor any officer, director, employee, agent, controlling person, advisor or other representative of the foregoing or any successor or permitted assign of any of the foregoing shall assert, and each hereby waives, any claim against any other such Person on any theory of liability for special, indirect, consequential or punitive damages (as opposed to direct or actual damages, but in any event including, without limitation, any lost profits, business or anticipated savings) (whether or not the claim therefor is based on contract, tort or duty imposed by any applicable legal requirement) arising out of,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21"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 xml:space="preserve">exist in its favor;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in no event limit the Borrower’s indemnification obligations under clause (b) above.</w:t>
      </w:r>
    </w:p>
    <w:p>
      <w:pPr>
        <w:spacing w:after="0" w:line="225" w:lineRule="exact"/>
        <w:rPr>
          <w:sz w:val="20"/>
          <w:szCs w:val="20"/>
          <w:color w:val="auto"/>
        </w:rPr>
      </w:pPr>
    </w:p>
    <w:p>
      <w:pPr>
        <w:jc w:val="both"/>
        <w:ind w:firstLine="1304"/>
        <w:spacing w:after="0" w:line="253" w:lineRule="auto"/>
        <w:tabs>
          <w:tab w:leader="none" w:pos="194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In case any proceeding is instituted involving any Indemnitee for which indemnification is to be sought hereunder by such Indemnitee, then such Indemnitee will promptly notify the Borrower of the commencement of any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do so will not relieve the Borrower from any liability that it may have to such Indemnitee hereunder, except to the extent that the Borrower is materially prejudiced by such failure. Notwithstanding the above, following such notification, the Borrower may elect in writing to assume the defense of such proceeding, and, upon such election, the Borrower will not be liable for any legal costs subsequently incurred by such Indemnitee (other than reasonable costs of investigation and providing evidence) in connection therewith, unless (i) the Borrower has failed to provide counsel reasonably satisfactory to such Indemnitee in a timely manner, (ii) counsel provided by the Borrower reasonably determines its representation of such Indemnitee would present it with a conflict of interest or (iii) the Indemnitee reasonably determines that there are actual conflicts of interest between the Borrower and the Indemnitee, including situations in which there may be legal defenses available to the Indemnitee which are different from or in addition to those available to the Borrower.</w:t>
      </w:r>
    </w:p>
    <w:p>
      <w:pPr>
        <w:spacing w:after="0" w:line="194" w:lineRule="exact"/>
        <w:rPr>
          <w:rFonts w:ascii="Arial" w:cs="Arial" w:eastAsia="Arial" w:hAnsi="Arial"/>
          <w:sz w:val="18"/>
          <w:szCs w:val="18"/>
          <w:color w:val="auto"/>
        </w:rPr>
      </w:pPr>
    </w:p>
    <w:p>
      <w:pPr>
        <w:jc w:val="both"/>
        <w:ind w:firstLine="1304"/>
        <w:spacing w:after="0" w:line="254" w:lineRule="auto"/>
        <w:tabs>
          <w:tab w:leader="none" w:pos="193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to the extent permitted by applicable law, no party hereto nor any Indemnitee shall assert, and each hereby waives, any claim against any Indemnitee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First Lien Loan Documents or the transactions contemplated hereby or thereby;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to the extent that such direct or actual damages are determined by a court of competent jurisdiction by final, non-appealable judgment to have resulted from the gross negligence, bad faith or willful misconduct of, or a material breach of the First Lien Loan Documents by, such Indemnitee or its Related Parties.</w:t>
      </w:r>
    </w:p>
    <w:p>
      <w:pPr>
        <w:spacing w:after="0" w:line="194" w:lineRule="exact"/>
        <w:rPr>
          <w:rFonts w:ascii="Arial" w:cs="Arial" w:eastAsia="Arial" w:hAnsi="Arial"/>
          <w:sz w:val="18"/>
          <w:szCs w:val="18"/>
          <w:color w:val="auto"/>
        </w:rPr>
      </w:pPr>
    </w:p>
    <w:p>
      <w:pPr>
        <w:jc w:val="both"/>
        <w:ind w:firstLine="1304"/>
        <w:spacing w:after="0" w:line="286" w:lineRule="auto"/>
        <w:tabs>
          <w:tab w:leader="none" w:pos="193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All amounts due under this Section 9.03 shall be payable not later than ten (10) Business Days after written demand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spacing w:after="0" w:line="16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5"/>
          <w:szCs w:val="15"/>
          <w:u w:val="single" w:color="auto"/>
          <w:color w:val="auto"/>
        </w:rPr>
        <w:t>Successors and Assig</w:t>
      </w:r>
      <w:r>
        <w:rPr>
          <w:rFonts w:ascii="Arial" w:cs="Arial" w:eastAsia="Arial" w:hAnsi="Arial"/>
          <w:sz w:val="15"/>
          <w:szCs w:val="15"/>
          <w:color w:val="auto"/>
        </w:rPr>
        <w:t>ns.</w:t>
      </w:r>
    </w:p>
    <w:p>
      <w:pPr>
        <w:spacing w:after="0" w:line="225" w:lineRule="exact"/>
        <w:rPr>
          <w:sz w:val="20"/>
          <w:szCs w:val="20"/>
          <w:color w:val="auto"/>
        </w:rPr>
      </w:pPr>
    </w:p>
    <w:p>
      <w:pPr>
        <w:jc w:val="both"/>
        <w:ind w:firstLine="1304"/>
        <w:spacing w:after="0" w:line="269" w:lineRule="auto"/>
        <w:tabs>
          <w:tab w:leader="none" w:pos="194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their rights or obligations hereunder without the prior written consent of each Lender, each Issuing Bank and the acknowledgement of the First Lien Administrative Agent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9.04.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9.04), the Indemnitees and, to the extent expressly contemplated hereby, the Related Parties of each of the First Lien Administrative Agent, the Issuing Bank and the Lenders) any legal or equitable right, remedy or claim under or by reason of this Agreement.</w:t>
      </w:r>
    </w:p>
    <w:p>
      <w:pPr>
        <w:spacing w:after="0" w:line="181" w:lineRule="exact"/>
        <w:rPr>
          <w:rFonts w:ascii="Arial" w:cs="Arial" w:eastAsia="Arial" w:hAnsi="Arial"/>
          <w:sz w:val="17"/>
          <w:szCs w:val="17"/>
          <w:color w:val="auto"/>
        </w:rPr>
      </w:pPr>
    </w:p>
    <w:p>
      <w:pPr>
        <w:jc w:val="both"/>
        <w:ind w:firstLine="1304"/>
        <w:spacing w:after="0" w:line="259" w:lineRule="auto"/>
        <w:tabs>
          <w:tab w:leader="none" w:pos="193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paragraphs (b)(ii) and (f)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the Borrower) not to be unreasonably withheld or delayed) of (A) the Borrower; </w:t>
      </w:r>
      <w:r>
        <w:rPr>
          <w:rFonts w:ascii="Arial" w:cs="Arial" w:eastAsia="Arial" w:hAnsi="Arial"/>
          <w:sz w:val="18"/>
          <w:szCs w:val="18"/>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21" w:right="339" w:bottom="1440" w:gutter="0" w:footer="0" w:header="0"/>
        </w:sectPr>
      </w:pPr>
    </w:p>
    <w:bookmarkStart w:id="152" w:name="page153"/>
    <w:bookmarkEnd w:id="152"/>
    <w:p>
      <w:pPr>
        <w:jc w:val="both"/>
        <w:spacing w:after="0" w:line="287" w:lineRule="auto"/>
        <w:rPr>
          <w:sz w:val="20"/>
          <w:szCs w:val="20"/>
          <w:color w:val="auto"/>
        </w:rPr>
      </w:pPr>
      <w:r>
        <w:rPr>
          <w:rFonts w:ascii="Arial" w:cs="Arial" w:eastAsia="Arial" w:hAnsi="Arial"/>
          <w:sz w:val="16"/>
          <w:szCs w:val="16"/>
          <w:color w:val="auto"/>
        </w:rPr>
        <w:t xml:space="preserve">that no consent of the Borrower shall be required for an assignment (x) if a Specified Event of Default has occurred and is continuing (other than with respect to any assignment to a Disqualified Lender) or (y) by a Revolving Lender to another Revolving Lender, an Affiliate of a Revolving Lender or an Approved Fund;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assignee contemplated by the immediately preceding proviso shall be entitled to receive any greater payment under Section 2.15 or Section 2.17 than the applicable assignor would have been entitled to receive with respect to the assignment made to such assignee, unless the assignment to such assignee is made with the Borrower’s prior written consent and such entitlement to receive a greater payment results from a Change in Law that occurs after the assignee acquired the applicable assignment, (B) the First Lien Administrative Agent, provided that no consent of the First Lien Administrative Agent shall be required for an assignment of a Term Loan or assignments pursuant to the proviso in clause (z) of Section 9.04(b) (i)(A) to a Lender, an Affiliate of a Lender or an Approved Fund, and (C) solely in case of Revolving Loans an Revolving Commitments, each Issuing Bank and the Swingline Lender (not to be unreasonably withheld or delayed). In addition, the Borrower shall be deemed to have consented to any assignment of Commitment or Loans (other than any assignment to any Disqualified Institution or any natural Person) unless it has objected thereto by written notice to the Administrative Agent within 10 Business Days after receipt by the Borrower of a written notice for consent thereto.</w:t>
      </w:r>
    </w:p>
    <w:p>
      <w:pPr>
        <w:spacing w:after="0" w:line="172" w:lineRule="exact"/>
        <w:rPr>
          <w:sz w:val="20"/>
          <w:szCs w:val="20"/>
          <w:color w:val="auto"/>
        </w:rPr>
      </w:pPr>
    </w:p>
    <w:p>
      <w:pPr>
        <w:jc w:val="both"/>
        <w:ind w:firstLine="1304"/>
        <w:spacing w:after="0" w:line="284" w:lineRule="auto"/>
        <w:tabs>
          <w:tab w:leader="none" w:pos="1686"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First Lien Administrative Agent) shall, in the case of Revolving Loans, not be less than $5,000,000 (and integral multiples thereof), unless the Borrower and the First Lien Administrative Agent otherwise consent (in each case,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 Specified Event of Default has occurred and is continuing, (B) each partial assignment shall be made as an assignment of a proportionate part of all the assigning Lender’s rights and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First Lien Administrative Agent an Assignment and Assumption via an electronic settlement system acceptable to the First Lien Administrative Agent or, if previously agreed with the First Lien Administrative Agent, manually execute and deliver to the First Lien Administrative Agent an Assignment and Assumption, and, in each case, together with a processing and recordation fee of $3,500;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First Lien Administrative Agent, in its sole discretion, may elect to waive or reduce such processing and recordation fee;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processing and recordation fee shall not be payable in the case of assignments by any Agent or any Lender to any of its Affiliates;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Assignment and Assumption shall include a representation by the assignee that the assignee is not a Disqualified Lender or an Affiliate of a Disqualified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assignments made pursuant to Section 2.19(b) or Section 9.02(c) shall not require the signature of the assigning Lender to become effective, (D) the assignee, if it shall not be a Lender, shall deliver to the First Lien Administrative Agent any tax forms required by Section 2.17(f)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the Swingline Lender or an Issuing Bank may be made unless (1) the assignee shall be or become a Swingline Lender and/or an Issuing Bank, as applicable, and assume a ratable portion of the rights and obligations of such assignor in its capacity as Swingline Lender and Issuing Bank,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Sections 2.04(a) and 2.05(b) by an amount not to exceed the difference between the assignor’s Revolving Commitment prior to such assignment and the assignor’s Revolving Commitment following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 Specified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21" w:right="339" w:bottom="1440" w:gutter="0" w:footer="0" w:header="0"/>
        </w:sectPr>
      </w:pPr>
    </w:p>
    <w:bookmarkStart w:id="153" w:name="page154"/>
    <w:bookmarkEnd w:id="153"/>
    <w:p>
      <w:pPr>
        <w:jc w:val="both"/>
        <w:ind w:firstLine="1304"/>
        <w:spacing w:after="0" w:line="270" w:lineRule="auto"/>
        <w:tabs>
          <w:tab w:leader="none" w:pos="1816" w:val="left"/>
        </w:tabs>
        <w:numPr>
          <w:ilvl w:val="0"/>
          <w:numId w:val="188"/>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2.15, 2.16, 2.17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spacing w:after="0" w:line="180" w:lineRule="exact"/>
        <w:rPr>
          <w:rFonts w:ascii="Arial" w:cs="Arial" w:eastAsia="Arial" w:hAnsi="Arial"/>
          <w:sz w:val="17"/>
          <w:szCs w:val="17"/>
          <w:color w:val="auto"/>
        </w:rPr>
      </w:pPr>
    </w:p>
    <w:p>
      <w:pPr>
        <w:jc w:val="both"/>
        <w:ind w:firstLine="1304"/>
        <w:spacing w:after="0" w:line="270" w:lineRule="auto"/>
        <w:tabs>
          <w:tab w:leader="none" w:pos="176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First Lien Administrative Agent, acting for this purpose as a non-fiduciary agent of the Borrower, shall maintain at one of its offices in the United States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Holdings, the Borrower, the First Lien Administrative Agent, the Issuing Banks and the Lenders shall treat each Person whose name is recorded in the Register pursuant to the terms hereof as a Lender hereunder for all purposes of this Agreement, notwithstanding notice to the contrary. In addition, the First Lien Administrative Agent shall maintain on the Register information regarding the designation, and revocation of designation, of any Lender as a Defaulting Lender. The Register shall be available for inspection by the Borrower, the Issuing Banks and any Lender (in each case as to its own interest, but not the interest of any other Lender), at any reasonable time and from time to time upon reasonable prior notice.</w:t>
      </w:r>
    </w:p>
    <w:p>
      <w:pPr>
        <w:spacing w:after="0" w:line="180" w:lineRule="exact"/>
        <w:rPr>
          <w:rFonts w:ascii="Arial" w:cs="Arial" w:eastAsia="Arial" w:hAnsi="Arial"/>
          <w:sz w:val="17"/>
          <w:szCs w:val="17"/>
          <w:color w:val="auto"/>
        </w:rPr>
      </w:pPr>
    </w:p>
    <w:p>
      <w:pPr>
        <w:jc w:val="both"/>
        <w:ind w:firstLine="1304"/>
        <w:spacing w:after="0" w:line="296" w:lineRule="auto"/>
        <w:tabs>
          <w:tab w:leader="none" w:pos="1707" w:val="left"/>
        </w:tabs>
        <w:numPr>
          <w:ilvl w:val="0"/>
          <w:numId w:val="188"/>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and an assignee, the assignee’s completed Administrative Questionnaire and any tax forms required by Section 2.17(f) (unless the assignee shall already be a Lender hereunder), the processing and recordation fee referred to in paragraph (b) of this Section 9.04 and any written consent to such assignment required by paragraph (b) of this Section 9.04, the First Lien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61" w:lineRule="exact"/>
        <w:rPr>
          <w:rFonts w:ascii="Arial" w:cs="Arial" w:eastAsia="Arial" w:hAnsi="Arial"/>
          <w:sz w:val="16"/>
          <w:szCs w:val="16"/>
          <w:color w:val="auto"/>
        </w:rPr>
      </w:pPr>
    </w:p>
    <w:p>
      <w:pPr>
        <w:jc w:val="both"/>
        <w:ind w:firstLine="1304"/>
        <w:spacing w:after="0" w:line="254" w:lineRule="auto"/>
        <w:tabs>
          <w:tab w:leader="none" w:pos="175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words “execution,” “execute”, “signed,” “signature,” and words of like import in or related to this Agreement, any other First Lien Loan Document and/or any Ancillary Document shall be deemed to include electronic signatures, the electronic matching of assignment terms and contract formations on electronic platforms approved by the First Lien Administrative Agent,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First Lien Administrative Agent to accept Electronic Signatures in any form or format without its prior written consent and pursuant to procedures approved by it.</w:t>
      </w:r>
    </w:p>
    <w:p>
      <w:pPr>
        <w:spacing w:after="0" w:line="192" w:lineRule="exact"/>
        <w:rPr>
          <w:sz w:val="20"/>
          <w:szCs w:val="20"/>
          <w:color w:val="auto"/>
        </w:rPr>
      </w:pPr>
    </w:p>
    <w:p>
      <w:pPr>
        <w:jc w:val="both"/>
        <w:ind w:firstLine="1304"/>
        <w:spacing w:after="0" w:line="272" w:lineRule="auto"/>
        <w:tabs>
          <w:tab w:leader="none" w:pos="194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 Any Lender may, without the consent of the Borrower, the First Lien Administrative Agent, the Issuing Banks or the Swingline Lender, sell participations to one or more banks or other Persons (other than to a Person that is not an Eligible Assignee)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 obligations under this Agreement (including all or a portion of its Commitment and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Lender’s obligations under this Agreement shall remain unchanged, (B) such Lender shall remain solely responsible to the other parties hereto for the performance of such obligations and (C) Holdings, the Borrower, the First Lien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21" w:right="339" w:bottom="1440" w:gutter="0" w:footer="0" w:header="0"/>
        </w:sectPr>
      </w:pPr>
    </w:p>
    <w:bookmarkStart w:id="154" w:name="page155"/>
    <w:bookmarkEnd w:id="154"/>
    <w:p>
      <w:pPr>
        <w:jc w:val="both"/>
        <w:spacing w:after="0" w:line="269" w:lineRule="auto"/>
        <w:rPr>
          <w:sz w:val="20"/>
          <w:szCs w:val="20"/>
          <w:color w:val="auto"/>
        </w:rPr>
      </w:pPr>
      <w:r>
        <w:rPr>
          <w:rFonts w:ascii="Arial" w:cs="Arial" w:eastAsia="Arial" w:hAnsi="Arial"/>
          <w:sz w:val="17"/>
          <w:szCs w:val="17"/>
          <w:color w:val="auto"/>
        </w:rPr>
        <w:t xml:space="preserve">retain the sole right to enforce this Agreement and any other First Lien Loan Documents and to approve any amendment, modification or waiver of any provision of this Agreement and any other First Lien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described in clauses (i), (ii), (iv), (vii) and (viii) of the first proviso to Section 9.02(b) that directly and adversely affects such Participant. Subject to paragraph (c)(iii) of this Section, the Borrower agrees that each Participant shall be entitled to the benefits of Sections 2.15, 2.16 and 2.17 (subject to the obligations and limitations thereof and Section 2.19, it being understood that any tax forms required by Section 2.17(f) shall be provided solely to the participating Lender) to the same extent as if it were a Lender and had acquired its interest by assignment pursuant to paragraph (b) of this Section 9.04; provided that such Participant agrees to be subject to the provisions of Section 2.19 as if it were an assignee under paragraph (b) of Section 9.04. 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Section 2.18(c) as though it were a Lender.</w:t>
      </w:r>
    </w:p>
    <w:p>
      <w:pPr>
        <w:spacing w:after="0" w:line="182" w:lineRule="exact"/>
        <w:rPr>
          <w:sz w:val="20"/>
          <w:szCs w:val="20"/>
          <w:color w:val="auto"/>
        </w:rPr>
      </w:pPr>
    </w:p>
    <w:p>
      <w:pPr>
        <w:jc w:val="both"/>
        <w:ind w:firstLine="1304"/>
        <w:spacing w:after="0" w:line="270" w:lineRule="auto"/>
        <w:tabs>
          <w:tab w:leader="none" w:pos="1777"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First Lien Loan Documents) except to the extent that the relevant parties, acting reasonably and in good faith, determine that such disclosure is necessary in connection with a Tax audit or other proceeding to establish that any Loan or other obligation under the First Lien Loan Documents is in registered form for U.S. federal income tax purposes.</w:t>
      </w:r>
    </w:p>
    <w:p>
      <w:pPr>
        <w:spacing w:after="0" w:line="180" w:lineRule="exact"/>
        <w:rPr>
          <w:rFonts w:ascii="Arial" w:cs="Arial" w:eastAsia="Arial" w:hAnsi="Arial"/>
          <w:sz w:val="17"/>
          <w:szCs w:val="17"/>
          <w:color w:val="auto"/>
        </w:rPr>
      </w:pPr>
    </w:p>
    <w:p>
      <w:pPr>
        <w:jc w:val="both"/>
        <w:ind w:firstLine="1304"/>
        <w:spacing w:after="0" w:line="259" w:lineRule="auto"/>
        <w:tabs>
          <w:tab w:leader="none" w:pos="17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Participant (other than a Revolving Lender pursuant to Section 2.05(e)) shall not be entitled to receive any greater payment under Section 2.15, 2.16 or 2.17 than the applicable Lender would have been entitled to receive with respect to the participation sold to such Participant, unless the sale of the participation to such Participant is made with the Borrower’s prior written consent and such entitlement to receive a greater payment results from a Change in Law that occurs after the Participant acquired the applicable participation.</w:t>
      </w:r>
    </w:p>
    <w:p>
      <w:pPr>
        <w:spacing w:after="0" w:line="187" w:lineRule="exact"/>
        <w:rPr>
          <w:sz w:val="20"/>
          <w:szCs w:val="20"/>
          <w:color w:val="auto"/>
        </w:rPr>
      </w:pPr>
    </w:p>
    <w:p>
      <w:pPr>
        <w:jc w:val="both"/>
        <w:ind w:firstLine="1304"/>
        <w:spacing w:after="0" w:line="257" w:lineRule="auto"/>
        <w:tabs>
          <w:tab w:leader="none" w:pos="193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First Lien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9.04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7" w:lineRule="exact"/>
        <w:rPr>
          <w:rFonts w:ascii="Arial" w:cs="Arial" w:eastAsia="Arial" w:hAnsi="Arial"/>
          <w:sz w:val="18"/>
          <w:szCs w:val="18"/>
          <w:color w:val="auto"/>
        </w:rPr>
      </w:pPr>
    </w:p>
    <w:p>
      <w:pPr>
        <w:jc w:val="both"/>
        <w:ind w:firstLine="1304"/>
        <w:spacing w:after="0" w:line="289" w:lineRule="auto"/>
        <w:tabs>
          <w:tab w:leader="none" w:pos="1941"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First Lien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First Lien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First Lien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21" w:right="339" w:bottom="1440" w:gutter="0" w:footer="0" w:header="0"/>
        </w:sectPr>
      </w:pPr>
    </w:p>
    <w:bookmarkStart w:id="155" w:name="page156"/>
    <w:bookmarkEnd w:id="155"/>
    <w:p>
      <w:pPr>
        <w:spacing w:after="0" w:line="277" w:lineRule="auto"/>
        <w:rPr>
          <w:sz w:val="20"/>
          <w:szCs w:val="20"/>
          <w:color w:val="auto"/>
        </w:rPr>
      </w:pPr>
      <w:r>
        <w:rPr>
          <w:rFonts w:ascii="Arial" w:cs="Arial" w:eastAsia="Arial" w:hAnsi="Arial"/>
          <w:sz w:val="18"/>
          <w:szCs w:val="18"/>
          <w:color w:val="auto"/>
        </w:rPr>
        <w:t>compliance with the provisions of this paragraph, then the assignee of such interest shall be deemed to be a Defaulting Lender for all purposes of this Agreement until such compliance occurs.</w:t>
      </w:r>
    </w:p>
    <w:p>
      <w:pPr>
        <w:spacing w:after="0" w:line="170" w:lineRule="exact"/>
        <w:rPr>
          <w:sz w:val="20"/>
          <w:szCs w:val="20"/>
          <w:color w:val="auto"/>
        </w:rPr>
      </w:pPr>
    </w:p>
    <w:p>
      <w:pPr>
        <w:ind w:left="1940" w:hanging="636"/>
        <w:spacing w:after="0"/>
        <w:tabs>
          <w:tab w:leader="none" w:pos="19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304"/>
        <w:spacing w:after="0" w:line="342" w:lineRule="auto"/>
        <w:tabs>
          <w:tab w:leader="none" w:pos="193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Notwithstanding the forgoing, no consent of the Borrower, the First Lien Administrative Agent or the Issuing Banks shall be required for any assignment of Commitments or Loans between Goldman Sachs Bank USA and Goldman Sachs Lending Partners LLC (or vice versa).</w:t>
      </w:r>
    </w:p>
    <w:p>
      <w:pPr>
        <w:spacing w:after="0" w:line="123" w:lineRule="exact"/>
        <w:rPr>
          <w:rFonts w:ascii="Arial" w:cs="Arial" w:eastAsia="Arial" w:hAnsi="Arial"/>
          <w:sz w:val="16"/>
          <w:szCs w:val="16"/>
          <w:color w:val="auto"/>
        </w:rPr>
      </w:pPr>
    </w:p>
    <w:p>
      <w:pPr>
        <w:jc w:val="both"/>
        <w:ind w:firstLine="1304"/>
        <w:spacing w:after="0" w:line="282" w:lineRule="auto"/>
        <w:tabs>
          <w:tab w:leader="none" w:pos="193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Notwithstanding the foregoing, no assignment may be made or participation sold to a Disqualified Lender without the prior written consent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inquiry by any Lender to the First Lien Administrative Agent as to whether a specified potential assignee or prospective participant is a Disqualified Lender, the First Lien Administrative Agent shall be permitted to disclose to such Lender the list of Disqualified Lenders ;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First Lien Loan Document to the contrary, if any Lender was a Disqualified Lender at the time of the assignment of any Loans or Commitments to such Lender, following written notice from the Borrower to such Lender and the First Lien Administrative Agent and otherwise in accordance with Section 2.19(b), as applicable: (1) such Lender shall promptly assign all Loans and Commitments held by such Lender to an Eligible Assignee;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First Lien Administrative Agent shall not have any obligation to the Borrower, such Lender or any other Person to find such a replacement Lender, (B) the Borrower shall not have any obligation to such Disqualified Lender or any other Person to find such a replacement Lender or accept or consent to any such assignment to itself or any other Person subject to the Borrower’s consent in accordance with Section 9.04(b)(i) and (C) the assignment of such Loans and/or Commitments, as the case may be, shall be at par plus accrued and unpaid interest and fees; (2) such Lender shall not have any voting or approval rights under the First Lien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Section 9.02);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Commitment of any Disqualified Lender may not be increased or extended without the consent of such Lender and</w:t>
      </w:r>
    </w:p>
    <w:p>
      <w:pPr>
        <w:spacing w:after="0" w:line="11" w:lineRule="exact"/>
        <w:rPr>
          <w:rFonts w:ascii="Arial" w:cs="Arial" w:eastAsia="Arial" w:hAnsi="Arial"/>
          <w:sz w:val="16"/>
          <w:szCs w:val="16"/>
          <w:color w:val="auto"/>
        </w:rPr>
      </w:pPr>
    </w:p>
    <w:p>
      <w:pPr>
        <w:jc w:val="both"/>
        <w:ind w:firstLine="8"/>
        <w:spacing w:after="0" w:line="252" w:lineRule="auto"/>
        <w:tabs>
          <w:tab w:leader="none" w:pos="25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First Lien Administrative Agent or any Lender or will be permitted to attend or participate in meetings attended solely by the Lenders and the First Lien Administrative Agent, other than the right to receive notices or Borrowings, notices or prepayments and other administrative notices in respect of its Loans or Commitments required to be delivered to Lenders pursuant to Article II. The Administrative Agent shall have no obligation or liability with respect to monitoring or enforcing prohibitions on assignments to Disqualified Lenders and the list of Disqualified Lenders.</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All covenants, agreements, representations and warranties made by the Loan Parties in the First Lien Loan Documents and in the certificates or other instruments delivered in connection with or pursuant to any First Lien Loan Document shall be considered to have been relied upon by the other parties hereto and shall survive the execution and delivery of the First Lien Loan Documents and the making of any Loans and issuance of any Letters of Credit, regardless of any investigation made by any such other party or on its behalf and notwithstanding that the First Lien Administrative Agent, any Issuing Bank or any Lender may have had notice or knowledge of any Default or incorrect representation or warranty at the time any credit is extended hereunder, and shall continue in full force and effect until the Termination Date. The provisions of Sections 2.15, 2.16, 2.17, 8.11 and 9.03 and Article VIII 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21" w:right="339" w:bottom="1440" w:gutter="0" w:footer="0" w:header="0"/>
        </w:sectPr>
      </w:pPr>
    </w:p>
    <w:bookmarkStart w:id="156" w:name="page157"/>
    <w:bookmarkEnd w:id="156"/>
    <w:p>
      <w:pPr>
        <w:jc w:val="both"/>
        <w:spacing w:after="0" w:line="272" w:lineRule="auto"/>
        <w:rPr>
          <w:sz w:val="20"/>
          <w:szCs w:val="20"/>
          <w:color w:val="auto"/>
        </w:rPr>
      </w:pPr>
      <w:r>
        <w:rPr>
          <w:rFonts w:ascii="Arial" w:cs="Arial" w:eastAsia="Arial" w:hAnsi="Arial"/>
          <w:sz w:val="17"/>
          <w:szCs w:val="17"/>
          <w:color w:val="auto"/>
        </w:rPr>
        <w:t>in connection with the refinancing or repayment in full of the credit facilities provided for herein, an Issuing Bank shall have provided to the First Lien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First Lien Loan Documents, and the Revolving Lenders shall be deemed to have no participations in such Letter of Credit, and no obligations with respect thereto, under Section 2.05(e) or (f).</w:t>
      </w:r>
    </w:p>
    <w:p>
      <w:pPr>
        <w:spacing w:after="0" w:line="17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This Agreement may be executed in counterparts (and by different parties hereto on different counterparts), each of which shall constitute an original, but all of which when taken together shall constitute a single contract. This Agreement, the other First Lien Loan Documents and any separate letter agreements with respect to fees payable to the First Lien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First Lien Administrative Agent and when the First Lien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w:t>
      </w:r>
    </w:p>
    <w:p>
      <w:pPr>
        <w:spacing w:after="0" w:line="18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Delivery of an executed counterpart of a signature page of this Agreement, any other First Lien Loan Document or any document, amendment, approval, consent, information, notice (including, for the avoidance of doubt, any notice delivered pursuant to Section 9.01), certificate, request, statement, disclosure or authorization related to this Agreement, any other First Lien Loan Document or the transactions contemplated hereby or thereby (each, an “</w:t>
      </w:r>
      <w:r>
        <w:rPr>
          <w:rFonts w:ascii="Arial" w:cs="Arial" w:eastAsia="Arial" w:hAnsi="Arial"/>
          <w:sz w:val="18"/>
          <w:szCs w:val="18"/>
          <w:u w:val="single" w:color="auto"/>
          <w:color w:val="auto"/>
        </w:rPr>
        <w:t>Ancillary Document</w:t>
      </w:r>
      <w:r>
        <w:rPr>
          <w:rFonts w:ascii="Arial" w:cs="Arial" w:eastAsia="Arial" w:hAnsi="Arial"/>
          <w:sz w:val="18"/>
          <w:szCs w:val="18"/>
          <w:color w:val="auto"/>
        </w:rPr>
        <w:t>”) that is an Electronic Signature transmitted by fax, emailed .pdf or any other electronic means that reproduces an image of an actual executed signature page shall be effective as delivery of a manually executed counterpart of this Agreement, such other First Lien Loan Document or such Ancillary Document, as applicable.</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9.07</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First Lien Administrative Agent, the Issuing Bank or the Swingline Lender, as applicable, then such provisions shall be deemed to be in effect only to the extent not so limited.</w:t>
      </w:r>
    </w:p>
    <w:p>
      <w:pPr>
        <w:spacing w:after="0" w:line="17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9.08</w:t>
      </w:r>
      <w:r>
        <w:rPr>
          <w:sz w:val="20"/>
          <w:szCs w:val="20"/>
          <w:color w:val="auto"/>
        </w:rPr>
        <w:tab/>
      </w:r>
      <w:r>
        <w:rPr>
          <w:rFonts w:ascii="Arial" w:cs="Arial" w:eastAsia="Arial" w:hAnsi="Arial"/>
          <w:sz w:val="16"/>
          <w:szCs w:val="16"/>
          <w:u w:val="single" w:color="auto"/>
          <w:color w:val="auto"/>
        </w:rPr>
        <w:t>Right of Setoff</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the Borrower (excluding, for the avoidance of doubt, any Settlement Assets except to effect Settlement Payments such Lender is obligated to make to a third party in respect of such Settlement Assets or as otherwise agreed in writing between the Borrower and such Lender) against any of and all the obligations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21" w:right="339" w:bottom="1440" w:gutter="0" w:footer="0" w:header="0"/>
        </w:sectPr>
      </w:pPr>
    </w:p>
    <w:bookmarkStart w:id="157" w:name="page158"/>
    <w:bookmarkEnd w:id="157"/>
    <w:p>
      <w:pPr>
        <w:jc w:val="both"/>
        <w:spacing w:after="0" w:line="269" w:lineRule="auto"/>
        <w:rPr>
          <w:sz w:val="20"/>
          <w:szCs w:val="20"/>
          <w:color w:val="auto"/>
        </w:rPr>
      </w:pPr>
      <w:r>
        <w:rPr>
          <w:rFonts w:ascii="Arial" w:cs="Arial" w:eastAsia="Arial" w:hAnsi="Arial"/>
          <w:sz w:val="17"/>
          <w:szCs w:val="17"/>
          <w:color w:val="auto"/>
        </w:rPr>
        <w:t xml:space="preserve">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First Lien Administrative Agent for further application in accordance with the provisions of Section 2.22 and, pending such payment, shall be segregated by such Defaulting Lender from its other funds and deemed held in trust for the benefit of the First Lien Administrative Agent and the Lenders and (y) the Defaulting Lender shall provide promptly to the First Lien Administrative Agent a statement describing in reasonable detail the Secured Obligations owing to such Defaulting Lender as to which it exercised such right of setoff. The applicable Lender and applicable Issuing Bank shall notify the Borrower and the First Lien Administrative Agent of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and application under this Section 9.08. The rights of each Lender and each Issuing Bank under this Section 9.08 are in addition to other rights and remedies (including other rights of setoff) that such Lender or such Issuing Bank may have. Notwithstanding the foregoing, no amount set off from any Loan Party (other than the Borrower) shall be applied to any Excluded Swap Obligation of such Loan Party (other than the Borrower).</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225" w:lineRule="exact"/>
        <w:rPr>
          <w:sz w:val="20"/>
          <w:szCs w:val="20"/>
          <w:color w:val="auto"/>
        </w:rPr>
      </w:pPr>
    </w:p>
    <w:p>
      <w:pPr>
        <w:ind w:left="1940" w:hanging="636"/>
        <w:spacing w:after="0"/>
        <w:tabs>
          <w:tab w:leader="none" w:pos="19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and governed by the laws of the State of New York.</w:t>
      </w:r>
    </w:p>
    <w:p>
      <w:pPr>
        <w:spacing w:after="0" w:line="225" w:lineRule="exact"/>
        <w:rPr>
          <w:rFonts w:ascii="Arial" w:cs="Arial" w:eastAsia="Arial" w:hAnsi="Arial"/>
          <w:sz w:val="18"/>
          <w:szCs w:val="18"/>
          <w:color w:val="auto"/>
        </w:rPr>
      </w:pPr>
    </w:p>
    <w:p>
      <w:pPr>
        <w:jc w:val="both"/>
        <w:ind w:firstLine="1304"/>
        <w:spacing w:after="0" w:line="270" w:lineRule="auto"/>
        <w:tabs>
          <w:tab w:leader="none" w:pos="193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First Lien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First Lien Loan Document shall affect any right that the First Lien Administrative Agent, any Issuing Bank or any Lender may otherwise have to bring any action or proceeding to enforce any award or judgment or exercise any rights under the Security Documents against any Collateral in any other forum in which Collateral is located.</w:t>
      </w:r>
    </w:p>
    <w:p>
      <w:pPr>
        <w:spacing w:after="0" w:line="180" w:lineRule="exact"/>
        <w:rPr>
          <w:rFonts w:ascii="Arial" w:cs="Arial" w:eastAsia="Arial" w:hAnsi="Arial"/>
          <w:sz w:val="17"/>
          <w:szCs w:val="17"/>
          <w:color w:val="auto"/>
        </w:rPr>
      </w:pPr>
    </w:p>
    <w:p>
      <w:pPr>
        <w:jc w:val="both"/>
        <w:ind w:firstLine="1304"/>
        <w:spacing w:after="0" w:line="279" w:lineRule="auto"/>
        <w:tabs>
          <w:tab w:leader="none" w:pos="1941" w:val="left"/>
        </w:tabs>
        <w:numPr>
          <w:ilvl w:val="0"/>
          <w:numId w:val="194"/>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any First Lien Loan Document in any court referred to in paragraph (b) of this Section 9.09. Each of the parties hereto hereby irrevocably waives, to the fullest extent permitted by law, the defense of an inconvenient forum to the maintenance of such action or proceeding in any such court.</w:t>
      </w:r>
    </w:p>
    <w:p>
      <w:pPr>
        <w:spacing w:after="0" w:line="171" w:lineRule="exact"/>
        <w:rPr>
          <w:rFonts w:ascii="Arial" w:cs="Arial" w:eastAsia="Arial" w:hAnsi="Arial"/>
          <w:sz w:val="17"/>
          <w:szCs w:val="17"/>
          <w:color w:val="auto"/>
        </w:rPr>
      </w:pPr>
    </w:p>
    <w:p>
      <w:pPr>
        <w:ind w:firstLine="1304"/>
        <w:spacing w:after="0" w:line="308" w:lineRule="auto"/>
        <w:tabs>
          <w:tab w:leader="none" w:pos="193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9.01. Nothing in any First Lien Loan Document will affect the right of any party to this Agreement to serve process in any other manner permitted by law.</w:t>
      </w:r>
    </w:p>
    <w:p>
      <w:pPr>
        <w:spacing w:after="0" w:line="14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7"/>
          <w:szCs w:val="17"/>
          <w:u w:val="single" w:color="auto"/>
          <w:color w:val="auto"/>
        </w:rPr>
        <w:t>WAIVER OF JURY TRIAL</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EACH PARTY HERETO HEREBY WAIVES, TO THE FULLEST EXTENT PERMITTED BY APPLICABLE LAW, ANY RIGHT IT MAY HAVE TO A TRIAL BY JURY IN ANY LEGAL PROCEEDING DIRECTLY OR INDIRECTLY ARISING OUT OF OR RELATING TO ANY FIRST LIEN LOAN DOCUMENT OR THE TRANSACTIONS CONTEMPLATED THEREBY (WHETHER BASED ON CONTRACT, TORT OR ANY OTHER THEORY). EACH PARTY HERETO (A) CERTIFIES THAT NO REPRESENTATIVE, AGENT OR ATTORNEY OF ANY OTHER PARTY HAS REPRESENTED, EXPRESSLY OR OTHERWISE,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21"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SUCH  OTHER  PARTY  WOULD  NOT,  IN  THE  EVENT  OF  LITIGATION,  SEEK  TO  ENFORCE  THE  FOREGOING  WAIVER  AND</w:t>
      </w:r>
    </w:p>
    <w:p>
      <w:pPr>
        <w:spacing w:after="0" w:line="23" w:lineRule="exact"/>
        <w:rPr>
          <w:sz w:val="20"/>
          <w:szCs w:val="20"/>
          <w:color w:val="auto"/>
        </w:rPr>
      </w:pPr>
    </w:p>
    <w:p>
      <w:pPr>
        <w:ind w:firstLine="8"/>
        <w:spacing w:after="0" w:line="260" w:lineRule="auto"/>
        <w:tabs>
          <w:tab w:leader="none" w:pos="30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ACKNOWLEDGES THAT IT AND THE OTHER PARTIES HERETO HAVE BEEN INDUCED TO ENTER INTO THIS AGREEMENT BY, AMONG OTHER THINGS, THE MUTUAL WAIVERS AND CERTIFICATIONS IN THIS SECTION 9.10.</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9.11</w:t>
      </w:r>
      <w:r>
        <w:rPr>
          <w:sz w:val="20"/>
          <w:szCs w:val="20"/>
          <w:color w:val="auto"/>
        </w:rPr>
        <w:tab/>
      </w:r>
      <w:r>
        <w:rPr>
          <w:rFonts w:ascii="Arial" w:cs="Arial" w:eastAsia="Arial" w:hAnsi="Arial"/>
          <w:sz w:val="15"/>
          <w:szCs w:val="15"/>
          <w:u w:val="single" w:color="auto"/>
          <w:color w:val="auto"/>
        </w:rPr>
        <w:t>Headings</w:t>
      </w:r>
      <w:r>
        <w:rPr>
          <w:rFonts w:ascii="Arial" w:cs="Arial" w:eastAsia="Arial" w:hAnsi="Arial"/>
          <w:sz w:val="15"/>
          <w:szCs w:val="15"/>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9.12</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283" w:lineRule="auto"/>
        <w:tabs>
          <w:tab w:leader="none" w:pos="194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Each of the First Lien Administrative Agent, the Issuing Banks and the Lenders agrees to maintain the confidentiality of the Information (as defined below), except that Information may be disclosed (i) to its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of the confidential nature of such Information and instructed to keep such Information confidential and any failure of such Persons acting on behalf of the First Lien Administrative Agent, any Issuing Bank or the relevant Lender to comply with this Section 9.12 shall constitute a breach of this Section 9.12 by the First Lien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solely to the extent permitted by law and other than in connection with routine audits and reviews by regulatory and self-regulatory authorities, each Lender and the First Lien Administrative Agent shall notify the Borrower as promptly as practicable of any such requested or required disclosure in connection with any legal or regulatory proceeding and (y) in the case of clause (ii) only, each Lender and the First Lien Administrative Agent shall use commercially reasonable efforts to ensure that such Information is kept confidential in connection with the exercise of such remedies;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any Lender or the First Lien Administrative Agent be obligated or required to return any materials furnished by the Borrower or any Subsidiary of Holdings, (iii) to any other party to this Agreement, (iv) subject to an agreement containing confidentiality undertakings substantially similar to those of this Section 9.12, to (A) 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First Lien Loan Documents or (C) any pledgee referred to in Section 9.04(d), (v) if required by any rating agency;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such disclosure, such rating agency shall have agreed in writing to maintain the confidentiality of such Information, (vi) to service providers providing administrative and ministerial services solely in connection with the syndication and administration of the First Lien Loan Documents and the facilities (e.g., identities of parties, maturity dates, interest rates, etc.) on a confidential basis, or (vii) to the extent such Information (x) becomes publicly available other than as a result of a breach of this Section 9.12 or (y) becomes available to the First Lien Administrative Agent, any Issuing Bank, any Lender or any of their respective Affiliates on a nonconfidential basis from a source other than Holdings, the Borrower or any Subsidiary, which source is not known by the recipient of such information to be subject to a confidentiality obligation. For the purposes hereof,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or on behalf of Holdings or the Borrower relating to Holdings, the Borrower, any other Subsidiary or their business, other than any such information that is available to the First Lien Administrative Agent, any Issuing Bank or any Lender on a nonconfidential basis prior to disclosure by Holdings, the Borrower or any Subsidiary and other than information pertaining to this Agreement routinely provided by arrangers to data service providers, including league table providers, that serve the lending industry;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Holdings, the Borrower or any Subsidiary after the Effective Date, such information is clearly identified at the time of delivery as 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21" w:right="339" w:bottom="1440" w:gutter="0" w:footer="0" w:header="0"/>
        </w:sectPr>
      </w:pPr>
    </w:p>
    <w:bookmarkStart w:id="159" w:name="page160"/>
    <w:bookmarkEnd w:id="159"/>
    <w:p>
      <w:pPr>
        <w:spacing w:after="0" w:line="277" w:lineRule="auto"/>
        <w:rPr>
          <w:sz w:val="20"/>
          <w:szCs w:val="20"/>
          <w:color w:val="auto"/>
        </w:rPr>
      </w:pPr>
      <w:r>
        <w:rPr>
          <w:rFonts w:ascii="Arial" w:cs="Arial" w:eastAsia="Arial" w:hAnsi="Arial"/>
          <w:sz w:val="18"/>
          <w:szCs w:val="18"/>
          <w:color w:val="auto"/>
        </w:rPr>
        <w:t>information. Notwithstanding the foregoing, no such information shall be disclosed to a Disqualified Lender that constitutes a Disqualified Lender at the time of such disclosure without the Borrower’s prior written consent.</w:t>
      </w:r>
    </w:p>
    <w:p>
      <w:pPr>
        <w:spacing w:after="0" w:line="170" w:lineRule="exact"/>
        <w:rPr>
          <w:sz w:val="20"/>
          <w:szCs w:val="20"/>
          <w:color w:val="auto"/>
        </w:rPr>
      </w:pPr>
    </w:p>
    <w:p>
      <w:pPr>
        <w:jc w:val="both"/>
        <w:ind w:firstLine="1304"/>
        <w:spacing w:after="0" w:line="255" w:lineRule="auto"/>
        <w:tabs>
          <w:tab w:leader="none" w:pos="193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92" w:lineRule="exact"/>
        <w:rPr>
          <w:rFonts w:ascii="Arial" w:cs="Arial" w:eastAsia="Arial" w:hAnsi="Arial"/>
          <w:sz w:val="18"/>
          <w:szCs w:val="18"/>
          <w:color w:val="auto"/>
        </w:rPr>
      </w:pPr>
    </w:p>
    <w:p>
      <w:pPr>
        <w:jc w:val="both"/>
        <w:ind w:firstLine="1304"/>
        <w:spacing w:after="0" w:line="254" w:lineRule="auto"/>
        <w:tabs>
          <w:tab w:leader="none" w:pos="194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ALL INFORMATION, INCLUDING REQUESTS FOR WAIVERS AND AMENDMENTS FURNISHED BY THE BORROWER OR THE FIRST LIEN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FIRST LIEN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9.13</w:t>
      </w:r>
      <w:r>
        <w:rPr>
          <w:sz w:val="20"/>
          <w:szCs w:val="20"/>
          <w:color w:val="auto"/>
        </w:rPr>
        <w:tab/>
      </w:r>
      <w:r>
        <w:rPr>
          <w:rFonts w:ascii="Arial" w:cs="Arial" w:eastAsia="Arial" w:hAnsi="Arial"/>
          <w:sz w:val="17"/>
          <w:szCs w:val="17"/>
          <w:u w:val="single" w:color="auto"/>
          <w:color w:val="auto"/>
        </w:rPr>
        <w:t>USA PATRIOT Act</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Each Lender that is subject to the USA PATRIOT Act and the First Lien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First Lien Administrative Agent, as applicable, to identify each Loan Party in accordance with the USA PATRIOT Act.</w:t>
      </w:r>
    </w:p>
    <w:p>
      <w:pPr>
        <w:spacing w:after="0" w:line="17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9.14</w:t>
      </w:r>
      <w:r>
        <w:rPr>
          <w:sz w:val="20"/>
          <w:szCs w:val="20"/>
          <w:color w:val="auto"/>
        </w:rPr>
        <w:tab/>
      </w:r>
      <w:r>
        <w:rPr>
          <w:rFonts w:ascii="Arial" w:cs="Arial" w:eastAsia="Arial" w:hAnsi="Arial"/>
          <w:sz w:val="15"/>
          <w:szCs w:val="15"/>
          <w:u w:val="single" w:color="auto"/>
          <w:color w:val="auto"/>
        </w:rPr>
        <w:t>Release of Liens and Guarantees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86" w:lineRule="auto"/>
        <w:tabs>
          <w:tab w:leader="none" w:pos="194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A Subsidiary Loan Party shall automatically be released from its obligations under the First Lien Loan Documents, and all security interests created by the Security Documents in Collateral owned by such Subsidiary Loan Party shall be automatically released upon the consummation of any transaction or designation permitted by this Agreement as a result of which such Subsidiary Loan Party ceases to be a Restricted Subsidiary (including pursuant to a permitted merger or amalgamation with a Subsidiary that is not a Loan Party or a designation as an Unrestricted Subsidiary) or becomes an Excluded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so required by this Agreement, the Required Lenders shall have consented to such transaction and the terms of such consent shall not have provided otherwise;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if such Subsidiary Loan Party qualifies as an Excluded Subsidiary pursuant to clause (a) of the definition of such term, such Subsidiary Loan Party so qualifies as a result of a bona fide transaction not undertaken for the primary purpose of obtaining the release of such Subsidiary Loan Party from its obligations under the First Lien Loan Documents (and its Guarantee and any Liens granted by it under the First Lien Loan Documents). Upon any sale, disposition or other transfer by any Loan Party (other than to any other Loan Party) of any Collateral in a 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 this Agreement, the security interest created by the Security Documents in the Equity Interests of such new Unrestricted Subsidiary shall automatically be released. Upon the Termination Date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21" w:right="339" w:bottom="1440" w:gutter="0" w:footer="0" w:header="0"/>
        </w:sectPr>
      </w:pPr>
    </w:p>
    <w:bookmarkStart w:id="160" w:name="page161"/>
    <w:bookmarkEnd w:id="160"/>
    <w:p>
      <w:pPr>
        <w:jc w:val="both"/>
        <w:spacing w:after="0" w:line="293" w:lineRule="auto"/>
        <w:rPr>
          <w:sz w:val="20"/>
          <w:szCs w:val="20"/>
          <w:color w:val="auto"/>
        </w:rPr>
      </w:pPr>
      <w:r>
        <w:rPr>
          <w:rFonts w:ascii="Arial" w:cs="Arial" w:eastAsia="Arial" w:hAnsi="Arial"/>
          <w:sz w:val="16"/>
          <w:szCs w:val="16"/>
          <w:color w:val="auto"/>
        </w:rPr>
        <w:t>obligations under the First Lien Loan Documents and all security interests created by the Security Documents shall be automatically released. In connection with any termination or release pursuant to this Section 9.14, the First Lien Administrative Agent or the First Lien Collateral Agent, as the case may be, shall execute and deliver to any Loan Party, at such Loan Party’s expense, all documents that such Loan Party shall reasonably request to evidence or to file or register in any office such termination or release so long as the Borrower or applicable Loan Party shall have provided the First Lien Administrative Agent or the First Lien Collateral Agent, as the case may be, such certifications or documents as the First Lien Administrative Agent or the First Lien Collateral Agent, as the case may be, shall reasonably request in order to demonstrate compliance with this Agreement.</w:t>
      </w:r>
    </w:p>
    <w:p>
      <w:pPr>
        <w:spacing w:after="0" w:line="164" w:lineRule="exact"/>
        <w:rPr>
          <w:sz w:val="20"/>
          <w:szCs w:val="20"/>
          <w:color w:val="auto"/>
        </w:rPr>
      </w:pPr>
    </w:p>
    <w:p>
      <w:pPr>
        <w:jc w:val="both"/>
        <w:ind w:firstLine="1304"/>
        <w:spacing w:after="0" w:line="279" w:lineRule="auto"/>
        <w:tabs>
          <w:tab w:leader="none" w:pos="193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First Lien Administrative Agent or the First Lien Collateral Agent, as the case may be, will, at the Borrower’s expense, execute and deliver to the applicable Loan Party or to file or register in any office such documents as such Loan Party may reasonably request to subordinate its Lien on any property granted to or held by the First Lien Administrative Agent or the First Lien Collateral Agent, as the case may be, under any First Lien Loan Document to the holder of any Lien on such property that is permitted by Section 6.02(iv).</w:t>
      </w:r>
    </w:p>
    <w:p>
      <w:pPr>
        <w:spacing w:after="0" w:line="171" w:lineRule="exact"/>
        <w:rPr>
          <w:rFonts w:ascii="Arial" w:cs="Arial" w:eastAsia="Arial" w:hAnsi="Arial"/>
          <w:sz w:val="17"/>
          <w:szCs w:val="17"/>
          <w:color w:val="auto"/>
        </w:rPr>
      </w:pPr>
    </w:p>
    <w:p>
      <w:pPr>
        <w:jc w:val="both"/>
        <w:ind w:firstLine="1304"/>
        <w:spacing w:after="0" w:line="255" w:lineRule="auto"/>
        <w:tabs>
          <w:tab w:leader="none" w:pos="194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of the Lenders and the Issuing Banks irrevocably authorizes the First Lien Administrative Agent or the First Lien Collateral Agent, as the case may be, to provide any release or evidence of release, termination or subordination contemplated by this Section 9.14. Upon request by the First Lien Administrative Agent or the First Lien Collateral Agent, as the case may be, at any time, the Required Lenders will confirm in writing the First Lien Administrative Agent’s authority or the First Lien Collateral Agent’s authority, as the case may be, to release or subordinate its interest in particular types or items of property, or to release any Loan Party from its obligations under any First Lien Loan Document, in each case in accordance with the terms of the First Lien Loan Documents and this Section 9.14.</w:t>
      </w:r>
    </w:p>
    <w:p>
      <w:pPr>
        <w:spacing w:after="0" w:line="192" w:lineRule="exact"/>
        <w:rPr>
          <w:rFonts w:ascii="Arial" w:cs="Arial" w:eastAsia="Arial" w:hAnsi="Arial"/>
          <w:sz w:val="18"/>
          <w:szCs w:val="18"/>
          <w:color w:val="auto"/>
        </w:rPr>
      </w:pPr>
    </w:p>
    <w:p>
      <w:pPr>
        <w:jc w:val="both"/>
        <w:ind w:firstLine="1304"/>
        <w:spacing w:after="0" w:line="288" w:lineRule="auto"/>
        <w:tabs>
          <w:tab w:leader="none" w:pos="193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If in compliance with the terms and provisions of the Loan Documents (except as permitted thereunder), an Additional Borrower has merged with a Loan Party (other than Holdings) and is not the surviving entity, ceases to be a Subsidiary of Holdings or becomes an Excluded Subsidiary (other than an Immaterial Subsidiary) in accordance with the terms of this Agreement and a Borrower has delivered written notice to the Administrative Agent specifying in reasonable detail the reason that such Additional Borrower has become an Excluded Subsidiary, then such Additional Borrower shall be automatically released from its obligations under this Agreement and all other Loan Documents (including under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hereof and its obligations to pledge and grant any Collateral owned by it pursuant to any Security Document) without further action by any person, and First Lien Administrative Agent, First Lien Collateral Agent and the Lenders shall at the sole expense of the Borrower execute and deliver without recourse, representation or warranty all releases or other documents as are reasonably requested by the Borrower to effect and/or evidence such release, so long as the Borrower shall have provided the Agents such certifications or documents as any Agent shall reasonably request in order to demonstrate compliance with this Agreement (which the Lenders authorize the Agents to rely upon in performing their obligations under this paragraph).</w:t>
      </w:r>
    </w:p>
    <w:p>
      <w:pPr>
        <w:spacing w:after="0" w:line="16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9.15</w:t>
      </w:r>
      <w:r>
        <w:rPr>
          <w:sz w:val="20"/>
          <w:szCs w:val="20"/>
          <w:color w:val="auto"/>
        </w:rPr>
        <w:tab/>
      </w:r>
      <w:r>
        <w:rPr>
          <w:rFonts w:ascii="Arial" w:cs="Arial" w:eastAsia="Arial" w:hAnsi="Arial"/>
          <w:sz w:val="16"/>
          <w:szCs w:val="16"/>
          <w:color w:val="auto"/>
        </w:rPr>
        <w:t>No Advisory or Fiduciary Responsibility.</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In connection with all aspects of each transaction contemplated hereby (including in connection with any amendment, waiver or other modification hereof or of any other First Lien Loan Document), each of the Borrower and Holdings acknowledges and agrees that (i) (A) the arranging and other services regarding this Agreement provided by the First Lien Administrative Agent, the Joint Lead Arrangers, the Issuing Banks and the Lenders are arm’s-length commercial transactions between the Borrower, Holdings and their respective Affiliates, on the one hand, and the First Lien Administrative Agent, the Joint Lead Arrangers, the Issuing Banks and the Lenders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First Lien Loan Documents; (ii) (A) each of the First Lien Administrative Agent, the Joint Lead Arrangers, the Issuing Banks and the Lenders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21" w:right="339" w:bottom="1440" w:gutter="0" w:footer="0" w:header="0"/>
        </w:sectPr>
      </w:pPr>
    </w:p>
    <w:bookmarkStart w:id="161" w:name="page162"/>
    <w:bookmarkEnd w:id="161"/>
    <w:p>
      <w:pPr>
        <w:jc w:val="both"/>
        <w:spacing w:after="0" w:line="290" w:lineRule="auto"/>
        <w:rPr>
          <w:sz w:val="20"/>
          <w:szCs w:val="20"/>
          <w:color w:val="auto"/>
        </w:rPr>
      </w:pPr>
      <w:r>
        <w:rPr>
          <w:rFonts w:ascii="Arial" w:cs="Arial" w:eastAsia="Arial" w:hAnsi="Arial"/>
          <w:sz w:val="16"/>
          <w:szCs w:val="16"/>
          <w:color w:val="auto"/>
        </w:rPr>
        <w:t>Lien Administrative Agent, the Joint Lead Arrangers, the Issuing Banks and the Lenders has any obligation to the Borrower, Holdings or any of their respective Affiliates with respect to the transactions contemplated hereby except those obligations expressly set forth herein and in the other First Lien Loan Documents; and (iii) the First Lien Administrative Agent, the Joint Lead Arrangers, the Issuing Banks and the Lenders and their respective Affiliates may be engaged in a broad range of transactions that involve interests that differ from those of the Borrower, Holdings and their respective Affiliates, and none of the First Lien Administrative Agent, the Joint Lead Arrangers, the Issuing Banks and the Lenders has any obligation to disclose any of such interests to the Borrower, Holdings or any of their respective Affiliates. To the fullest extent permitted by law, each of the Borrower and Holdings hereby waives and releases any claims that it may have against the First Lien Administrative Agent, the Joint Lead Arrangers, the Issuing Banks and the Lenders with respect to any breach or alleged breach of agency or fiduciary duty in connection with any aspect of any transaction contemplated hereby.</w:t>
      </w:r>
    </w:p>
    <w:p>
      <w:pPr>
        <w:spacing w:after="0" w:line="16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9.16</w:t>
      </w:r>
      <w:r>
        <w:rPr>
          <w:sz w:val="20"/>
          <w:szCs w:val="20"/>
          <w:color w:val="auto"/>
        </w:rPr>
        <w:tab/>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Notwithstanding anything to the contrary contained in any First Lien Loan Document, the interest paid or agreed to be paid under the First Lien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the First Lien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First Lien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9.17</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If, for the purposes of obtaining judgment in any court, it is necessary to convert a sum due hereunder or any other First Lien Loan Document in one currency into another currency, the rate of exchange used shall be that at which in accordance with normal banking procedures the First Lien Administrative Agent could purchase the first currency with such other currency on the Business Day preceding that on which final judgment is given. The obligation of the Borrower in respect of any such sum due from it to the Secured Parties hereunder or under the other First Lien Loan Documents shall, notwithstanding any judgment in a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other than that in which such sum is denominated in accordance with the applicable provisions of this Agreement (the “</w:t>
      </w:r>
      <w:r>
        <w:rPr>
          <w:rFonts w:ascii="Arial" w:cs="Arial" w:eastAsia="Arial" w:hAnsi="Arial"/>
          <w:sz w:val="17"/>
          <w:szCs w:val="17"/>
          <w:u w:val="single" w:color="auto"/>
          <w:color w:val="auto"/>
        </w:rPr>
        <w:t>Agreement Currency</w:t>
      </w:r>
      <w:r>
        <w:rPr>
          <w:rFonts w:ascii="Arial" w:cs="Arial" w:eastAsia="Arial" w:hAnsi="Arial"/>
          <w:sz w:val="17"/>
          <w:szCs w:val="17"/>
          <w:color w:val="auto"/>
        </w:rPr>
        <w:t>”), be discharged only to the extent that on the Business Day following receipt by the First Lien Administrative Agent of any sum adjudged to be so due in the Judgment Currency, the First Lien Administrative Agent may in accordance with normal banking procedures purchase the Agreement Currency with the Judgment Currency. If the amount of the Agreement Currency so purchased is less than the sum originally due to the First Lien Administrative Agent from the Borrower in the Agreement Currency, the Borrower agrees, as a separate obligation and notwithstanding any such judgment, to indemnify the First Lien Administrative Agent or the Person to whom such obligation was owing against such loss. If the amount of the Agreement Currency so purchased is greater than the sum originally due to the First Lien Administrative Agent in such currency, the First Lien Administrative Agent agrees to return the amount of any excess to the Borrower (or to any other Person who may be entitled thereto under Requirements of Law).</w:t>
      </w:r>
    </w:p>
    <w:p>
      <w:pPr>
        <w:spacing w:after="0" w:line="18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9.18</w:t>
      </w:r>
      <w:r>
        <w:rPr>
          <w:sz w:val="20"/>
          <w:szCs w:val="20"/>
          <w:color w:val="auto"/>
        </w:rPr>
        <w:tab/>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Notwithstanding anything to the contrary in any First Lien Loan Document or in any other agreement, arrangement or understanding among any such parties, each party hereto acknowledges that any liability of any Affected Financial Institution arising under any First Lien Loan Document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21" w:right="339" w:bottom="1440" w:gutter="0" w:footer="0" w:header="0"/>
        </w:sectPr>
      </w:pPr>
    </w:p>
    <w:bookmarkStart w:id="162" w:name="page163"/>
    <w:bookmarkEnd w:id="162"/>
    <w:p>
      <w:pPr>
        <w:ind w:firstLine="1304"/>
        <w:spacing w:after="0" w:line="277" w:lineRule="auto"/>
        <w:tabs>
          <w:tab w:leader="none" w:pos="194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w:t>
      </w:r>
    </w:p>
    <w:p>
      <w:pPr>
        <w:spacing w:after="0" w:line="170" w:lineRule="exact"/>
        <w:rPr>
          <w:rFonts w:ascii="Arial" w:cs="Arial" w:eastAsia="Arial" w:hAnsi="Arial"/>
          <w:sz w:val="18"/>
          <w:szCs w:val="18"/>
          <w:color w:val="auto"/>
        </w:rPr>
      </w:pPr>
    </w:p>
    <w:p>
      <w:pPr>
        <w:ind w:left="1940" w:hanging="636"/>
        <w:spacing w:after="0"/>
        <w:tabs>
          <w:tab w:leader="none" w:pos="19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940" w:hanging="377"/>
        <w:spacing w:after="0"/>
        <w:tabs>
          <w:tab w:leader="none" w:pos="19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660" w:firstLine="903"/>
        <w:spacing w:after="0" w:line="259" w:lineRule="auto"/>
        <w:tabs>
          <w:tab w:leader="none" w:pos="1949"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First Lien Loan Document; or</w:t>
      </w:r>
    </w:p>
    <w:p>
      <w:pPr>
        <w:spacing w:after="0" w:line="186" w:lineRule="exact"/>
        <w:rPr>
          <w:rFonts w:ascii="Arial" w:cs="Arial" w:eastAsia="Arial" w:hAnsi="Arial"/>
          <w:sz w:val="18"/>
          <w:szCs w:val="18"/>
          <w:color w:val="auto"/>
        </w:rPr>
      </w:pPr>
    </w:p>
    <w:p>
      <w:pPr>
        <w:ind w:left="660" w:firstLine="903"/>
        <w:spacing w:after="0" w:line="277" w:lineRule="auto"/>
        <w:tabs>
          <w:tab w:leader="none" w:pos="1945"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9.19</w:t>
      </w:r>
      <w:r>
        <w:rPr>
          <w:sz w:val="20"/>
          <w:szCs w:val="20"/>
          <w:color w:val="auto"/>
        </w:rPr>
        <w:tab/>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6" w:lineRule="auto"/>
        <w:tabs>
          <w:tab w:leader="none" w:pos="194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Each Secured Party hereby agrees that the First Lien Administrative Agent and/or First Lien Collateral Agent may enter into any intercreditor agreement and/or subordination agreement or amendment thereof pursuant to, or contemplated by, the terms of this Agreement (including with respect to Indebtedness permitted pursuant to Section 6.01, any applicable Liens on Collateral permitted pursuant to Section 6.02 and, in each case, together with the defined terms referenced therein) on its behalf and agrees to be bound by the terms thereof and, in each case, consents and agrees to the appointment of Goldman Sachs (or its affiliated designee, representative, agent or successor) on its behalf as collateral agent, respectively, thereunder.</w:t>
      </w:r>
    </w:p>
    <w:p>
      <w:pPr>
        <w:spacing w:after="0" w:line="161" w:lineRule="exact"/>
        <w:rPr>
          <w:rFonts w:ascii="Arial" w:cs="Arial" w:eastAsia="Arial" w:hAnsi="Arial"/>
          <w:sz w:val="16"/>
          <w:szCs w:val="16"/>
          <w:color w:val="auto"/>
        </w:rPr>
      </w:pPr>
    </w:p>
    <w:p>
      <w:pPr>
        <w:jc w:val="both"/>
        <w:ind w:firstLine="1304"/>
        <w:spacing w:after="0" w:line="272" w:lineRule="auto"/>
        <w:tabs>
          <w:tab w:leader="none" w:pos="193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in any other First Lien Loan Document: (a) the Liens granted to the First Lien Collateral Agent in favor of the Secured Parties pursuant to the First Lien Loan Documents and the exercise of any right related to any Collateral shall be subject, in each case, to the terms of the Customary Intercreditor Agreements then in effect, (b) in the event of any conflict between the express terms and provisions of this Agreement or any other First Lien Loan Document, on the one hand, and of any Customary Intercreditor Agreements then in effect, on the other hand, the terms and provisions of the relevant Customary Intercreditor Agreements shall control, and (c) each Lender authorizes the First Lien Administrative Agent and/or the First Lien Collateral Agent to execute any such Customary Intercreditor Agreement (or amendment thereof) on behalf of such Lender, and such Lender agrees to be bound by the terms thereof.</w:t>
      </w:r>
    </w:p>
    <w:p>
      <w:pPr>
        <w:spacing w:after="0" w:line="17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9.20</w:t>
      </w:r>
      <w:r>
        <w:rPr>
          <w:sz w:val="20"/>
          <w:szCs w:val="20"/>
          <w:color w:val="auto"/>
        </w:rPr>
        <w:tab/>
      </w:r>
      <w:r>
        <w:rPr>
          <w:rFonts w:ascii="Arial" w:cs="Arial" w:eastAsia="Arial" w:hAnsi="Arial"/>
          <w:sz w:val="15"/>
          <w:szCs w:val="15"/>
          <w:u w:val="single" w:color="auto"/>
          <w:color w:val="auto"/>
        </w:rPr>
        <w:t>Cashless Settlement</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First Lien Administrative Agent and such Lender.</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9.21</w:t>
      </w:r>
      <w:r>
        <w:rPr>
          <w:sz w:val="20"/>
          <w:szCs w:val="20"/>
          <w:color w:val="auto"/>
        </w:rPr>
        <w:tab/>
      </w:r>
      <w:r>
        <w:rPr>
          <w:rFonts w:ascii="Arial" w:cs="Arial" w:eastAsia="Arial" w:hAnsi="Arial"/>
          <w:sz w:val="16"/>
          <w:szCs w:val="16"/>
          <w:u w:val="single" w:color="auto"/>
          <w:color w:val="auto"/>
        </w:rPr>
        <w:t>Acknowledgment Regarding Any Supported QFCs</w:t>
      </w:r>
      <w:r>
        <w:rPr>
          <w:rFonts w:ascii="Arial" w:cs="Arial" w:eastAsia="Arial" w:hAnsi="Arial"/>
          <w:sz w:val="16"/>
          <w:szCs w:val="16"/>
          <w:color w:val="auto"/>
        </w:rPr>
        <w:t>.</w:t>
      </w:r>
    </w:p>
    <w:p>
      <w:pPr>
        <w:spacing w:after="0" w:line="225" w:lineRule="exact"/>
        <w:rPr>
          <w:sz w:val="20"/>
          <w:szCs w:val="20"/>
          <w:color w:val="auto"/>
        </w:rPr>
      </w:pPr>
    </w:p>
    <w:p>
      <w:pPr>
        <w:ind w:right="120" w:firstLine="1296"/>
        <w:spacing w:after="0" w:line="255" w:lineRule="auto"/>
        <w:rPr>
          <w:sz w:val="20"/>
          <w:szCs w:val="20"/>
          <w:color w:val="auto"/>
        </w:rPr>
      </w:pPr>
      <w:r>
        <w:rPr>
          <w:rFonts w:ascii="Arial" w:cs="Arial" w:eastAsia="Arial" w:hAnsi="Arial"/>
          <w:sz w:val="18"/>
          <w:szCs w:val="18"/>
          <w:color w:val="auto"/>
        </w:rPr>
        <w:t>To the extent that the First Lien Loan Documents provide support, through a guarantee or otherwise, for any Swap Agreement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First Lien Loan Documents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21" w:right="339" w:bottom="1440" w:gutter="0" w:footer="0" w:header="0"/>
        </w:sectPr>
      </w:pPr>
    </w:p>
    <w:bookmarkStart w:id="163" w:name="page164"/>
    <w:bookmarkEnd w:id="163"/>
    <w:p>
      <w:pPr>
        <w:ind w:right="480"/>
        <w:spacing w:after="0" w:line="277" w:lineRule="auto"/>
        <w:rPr>
          <w:sz w:val="20"/>
          <w:szCs w:val="20"/>
          <w:color w:val="auto"/>
        </w:rPr>
      </w:pPr>
      <w:r>
        <w:rPr>
          <w:rFonts w:ascii="Arial" w:cs="Arial" w:eastAsia="Arial" w:hAnsi="Arial"/>
          <w:sz w:val="18"/>
          <w:szCs w:val="18"/>
          <w:color w:val="auto"/>
        </w:rPr>
        <w:t>Supported QFC may in fact be stated to be governed by the laws of the State of New York and/or of the United States or any other state of the United States):</w:t>
      </w:r>
    </w:p>
    <w:p>
      <w:pPr>
        <w:spacing w:after="0" w:line="170" w:lineRule="exact"/>
        <w:rPr>
          <w:sz w:val="20"/>
          <w:szCs w:val="20"/>
          <w:color w:val="auto"/>
        </w:rPr>
      </w:pPr>
    </w:p>
    <w:p>
      <w:pPr>
        <w:jc w:val="both"/>
        <w:ind w:firstLine="1628"/>
        <w:spacing w:after="0" w:line="287" w:lineRule="auto"/>
        <w:tabs>
          <w:tab w:leader="none" w:pos="1941" w:val="left"/>
        </w:tabs>
        <w:numPr>
          <w:ilvl w:val="0"/>
          <w:numId w:val="202"/>
        </w:numPr>
        <w:rPr>
          <w:rFonts w:ascii="Arial" w:cs="Arial" w:eastAsia="Arial" w:hAnsi="Arial"/>
          <w:sz w:val="16"/>
          <w:szCs w:val="16"/>
          <w:color w:val="010000"/>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First Lien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First Lien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1" w:lineRule="exact"/>
        <w:rPr>
          <w:rFonts w:ascii="Arial" w:cs="Arial" w:eastAsia="Arial" w:hAnsi="Arial"/>
          <w:sz w:val="16"/>
          <w:szCs w:val="16"/>
          <w:color w:val="010000"/>
        </w:rPr>
      </w:pPr>
    </w:p>
    <w:p>
      <w:pPr>
        <w:ind w:left="1940" w:hanging="312"/>
        <w:spacing w:after="0"/>
        <w:tabs>
          <w:tab w:leader="none" w:pos="1940" w:val="left"/>
        </w:tabs>
        <w:numPr>
          <w:ilvl w:val="0"/>
          <w:numId w:val="202"/>
        </w:numPr>
        <w:rPr>
          <w:rFonts w:ascii="Arial" w:cs="Arial" w:eastAsia="Arial" w:hAnsi="Arial"/>
          <w:sz w:val="18"/>
          <w:szCs w:val="18"/>
          <w:color w:val="010000"/>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9.21</w:t>
      </w:r>
      <w:r>
        <w:rPr>
          <w:rFonts w:ascii="Arial" w:cs="Arial" w:eastAsia="Arial" w:hAnsi="Arial"/>
          <w:sz w:val="18"/>
          <w:szCs w:val="18"/>
          <w:color w:val="auto"/>
        </w:rPr>
        <w:t>, the following terms have the following meanings: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Act Affiliate</w:t>
      </w:r>
      <w:r>
        <w:rPr>
          <w:rFonts w:ascii="Arial" w:cs="Arial" w:eastAsia="Arial" w:hAnsi="Arial"/>
          <w:sz w:val="17"/>
          <w:szCs w:val="17"/>
          <w:color w:val="auto"/>
        </w:rPr>
        <w:t>” of a party means an “affiliate” (as such term is defined under, and interpreted in accordance with, 12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1841(k)) of such party.</w:t>
      </w:r>
    </w:p>
    <w:p>
      <w:pPr>
        <w:spacing w:after="0" w:line="211"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382.1, as applicable.</w:t>
      </w:r>
    </w:p>
    <w:p>
      <w:pPr>
        <w:spacing w:after="0" w:line="207"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5390(c)(8)(D).</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9.22</w:t>
      </w:r>
      <w:r>
        <w:rPr>
          <w:sz w:val="20"/>
          <w:szCs w:val="20"/>
          <w:color w:val="auto"/>
        </w:rPr>
        <w:tab/>
      </w:r>
      <w:r>
        <w:rPr>
          <w:rFonts w:ascii="Arial" w:cs="Arial" w:eastAsia="Arial" w:hAnsi="Arial"/>
          <w:sz w:val="16"/>
          <w:szCs w:val="16"/>
          <w:u w:val="single" w:color="auto"/>
          <w:color w:val="auto"/>
        </w:rPr>
        <w:t>Acknowledgment of Issuing Lenders and Lenders</w:t>
      </w:r>
      <w:r>
        <w:rPr>
          <w:rFonts w:ascii="Arial" w:cs="Arial" w:eastAsia="Arial" w:hAnsi="Arial"/>
          <w:sz w:val="16"/>
          <w:szCs w:val="16"/>
          <w:color w:val="auto"/>
        </w:rPr>
        <w:t>.</w:t>
      </w:r>
    </w:p>
    <w:p>
      <w:pPr>
        <w:spacing w:after="0" w:line="239" w:lineRule="exact"/>
        <w:rPr>
          <w:sz w:val="20"/>
          <w:szCs w:val="20"/>
          <w:color w:val="auto"/>
        </w:rPr>
      </w:pPr>
    </w:p>
    <w:p>
      <w:pPr>
        <w:jc w:val="both"/>
        <w:ind w:firstLine="656"/>
        <w:spacing w:after="0" w:line="266" w:lineRule="auto"/>
        <w:tabs>
          <w:tab w:leader="none" w:pos="1286" w:val="left"/>
        </w:tabs>
        <w:numPr>
          <w:ilvl w:val="0"/>
          <w:numId w:val="203"/>
        </w:numPr>
        <w:rPr>
          <w:rFonts w:ascii="Arial" w:cs="Arial" w:eastAsia="Arial" w:hAnsi="Arial"/>
          <w:sz w:val="19"/>
          <w:szCs w:val="19"/>
          <w:color w:val="auto"/>
        </w:rPr>
      </w:pPr>
      <w:r>
        <w:rPr>
          <w:rFonts w:ascii="Arial" w:cs="Arial" w:eastAsia="Arial" w:hAnsi="Arial"/>
          <w:sz w:val="17"/>
          <w:szCs w:val="17"/>
          <w:color w:val="auto"/>
        </w:rPr>
        <w:t>Each Lender and Issuing Lender hereby agrees that (x) if the First Lien Administrative Agent notifies such Lender or Issuing Lender that the First Lien Administrative Agent has determined in its sole discretion that any funds received by such Lender or Issuing Lender from the First Lien Administrative Agent or any of its Affiliates (whether as a payment, prepayment or repayment of principal, interest, fees or otherwise; individually and collectively, a “</w:t>
      </w:r>
      <w:r>
        <w:rPr>
          <w:rFonts w:ascii="Arial" w:cs="Arial" w:eastAsia="Arial" w:hAnsi="Arial"/>
          <w:sz w:val="17"/>
          <w:szCs w:val="17"/>
          <w:u w:val="single" w:color="auto"/>
          <w:color w:val="auto"/>
        </w:rPr>
        <w:t>Payment</w:t>
      </w:r>
      <w:r>
        <w:rPr>
          <w:rFonts w:ascii="Arial" w:cs="Arial" w:eastAsia="Arial" w:hAnsi="Arial"/>
          <w:sz w:val="17"/>
          <w:szCs w:val="17"/>
          <w:color w:val="auto"/>
        </w:rPr>
        <w:t>”) were erroneously transmitted to such Lender or Issuing Lender (whether or not known to such Lender or Issuing Lender), and demands the return of such Payment (or a portion thereof), such Lender or Issuing Lender shall promptly, but in no event later than one Business Day thereafter, return to the First Lien Administrative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First Lien Administrative Agent at the greater of the NYFRB Rate and a rate determined by the First Lien Administrative Agent in accordance with banking industry rules on interbank compensation from time to time in effect, and (y) to the extent permitted by applicable law, such Lender or Issuing Lender shall not assert, and hereby waives, as to the Administrative Agent, any claim, counterclaim, defense or right of set-off or recoupment with respect to any demand, claim or counterclaim by the Administrative Agent for the return of any Payments received,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21" w:right="339" w:bottom="1440" w:gutter="0" w:footer="0" w:header="0"/>
        </w:sectPr>
      </w:pPr>
    </w:p>
    <w:bookmarkStart w:id="164" w:name="page165"/>
    <w:bookmarkEnd w:id="164"/>
    <w:p>
      <w:pPr>
        <w:spacing w:after="0" w:line="277" w:lineRule="auto"/>
        <w:rPr>
          <w:sz w:val="20"/>
          <w:szCs w:val="20"/>
          <w:color w:val="auto"/>
        </w:rPr>
      </w:pPr>
      <w:r>
        <w:rPr>
          <w:rFonts w:ascii="Arial" w:cs="Arial" w:eastAsia="Arial" w:hAnsi="Arial"/>
          <w:sz w:val="18"/>
          <w:szCs w:val="18"/>
          <w:color w:val="auto"/>
        </w:rPr>
        <w:t xml:space="preserve">without limitation any defense based on “discharge for value” or any similar doctrine. A notice of the First Lien Administrative Agent to any Lender or Issuing Lender under this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shall be conclusive, absent manifest error.</w:t>
      </w:r>
    </w:p>
    <w:p>
      <w:pPr>
        <w:spacing w:after="0" w:line="184" w:lineRule="exact"/>
        <w:rPr>
          <w:sz w:val="20"/>
          <w:szCs w:val="20"/>
          <w:color w:val="auto"/>
        </w:rPr>
      </w:pPr>
    </w:p>
    <w:p>
      <w:pPr>
        <w:jc w:val="both"/>
        <w:ind w:firstLine="656"/>
        <w:spacing w:after="0" w:line="284" w:lineRule="auto"/>
        <w:tabs>
          <w:tab w:leader="none" w:pos="1284" w:val="left"/>
        </w:tabs>
        <w:numPr>
          <w:ilvl w:val="0"/>
          <w:numId w:val="204"/>
        </w:numPr>
        <w:rPr>
          <w:rFonts w:ascii="Arial" w:cs="Arial" w:eastAsia="Arial" w:hAnsi="Arial"/>
          <w:sz w:val="18"/>
          <w:szCs w:val="18"/>
          <w:color w:val="auto"/>
        </w:rPr>
      </w:pPr>
      <w:r>
        <w:rPr>
          <w:rFonts w:ascii="Arial" w:cs="Arial" w:eastAsia="Arial" w:hAnsi="Arial"/>
          <w:sz w:val="16"/>
          <w:szCs w:val="16"/>
          <w:color w:val="auto"/>
        </w:rPr>
        <w:t>Each Lender or Issuing Lender hereby further agrees that if it receives a Payment from the First Lien Administrative Agent or any of its Affiliates (x) that is in a different amount than, or on a different date from, that specified in a notice of payment sent by the First Lien Administrative Agent (or any of its Affiliates) with respect to such Payment (a “</w:t>
      </w:r>
      <w:r>
        <w:rPr>
          <w:rFonts w:ascii="Arial" w:cs="Arial" w:eastAsia="Arial" w:hAnsi="Arial"/>
          <w:sz w:val="16"/>
          <w:szCs w:val="16"/>
          <w:u w:val="single" w:color="auto"/>
          <w:color w:val="auto"/>
        </w:rPr>
        <w:t>Payment Notice</w:t>
      </w:r>
      <w:r>
        <w:rPr>
          <w:rFonts w:ascii="Arial" w:cs="Arial" w:eastAsia="Arial" w:hAnsi="Arial"/>
          <w:sz w:val="16"/>
          <w:szCs w:val="16"/>
          <w:color w:val="auto"/>
        </w:rPr>
        <w:t>”) or (y) that was not preceded or accompanied by a Payment Notice, it shall be on notice, in each such case, that an error has been made with respect to such Payment. Each Lender or Issuing Lender agrees that, in each such case, or if it otherwise becomes aware a Payment (or portion thereof) may have been sent in error, such Lender or Issuing Lender shall promptly notify the First Lien Administrative Agent of such occurrence and, upon demand from the Administrative Agent, it shall promptly, but in no event later than one Business Day thereafter, return to the First Lien Administrative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First Lien Administrative Agent at the greater of the NYFRB Rate and a rate determined by the Administrative Agent in accordance with banking industry rules on interbank compensation from time to time in effect.</w:t>
      </w:r>
    </w:p>
    <w:p>
      <w:pPr>
        <w:spacing w:after="0" w:line="185" w:lineRule="exact"/>
        <w:rPr>
          <w:rFonts w:ascii="Arial" w:cs="Arial" w:eastAsia="Arial" w:hAnsi="Arial"/>
          <w:sz w:val="18"/>
          <w:szCs w:val="18"/>
          <w:color w:val="auto"/>
        </w:rPr>
      </w:pPr>
    </w:p>
    <w:p>
      <w:pPr>
        <w:jc w:val="both"/>
        <w:ind w:firstLine="656"/>
        <w:spacing w:after="0" w:line="250" w:lineRule="auto"/>
        <w:tabs>
          <w:tab w:leader="none" w:pos="1286" w:val="left"/>
        </w:tabs>
        <w:numPr>
          <w:ilvl w:val="0"/>
          <w:numId w:val="204"/>
        </w:numPr>
        <w:rPr>
          <w:rFonts w:ascii="Arial" w:cs="Arial" w:eastAsia="Arial" w:hAnsi="Arial"/>
          <w:sz w:val="20"/>
          <w:szCs w:val="20"/>
          <w:color w:val="auto"/>
        </w:rPr>
      </w:pPr>
      <w:r>
        <w:rPr>
          <w:rFonts w:ascii="Arial" w:cs="Arial" w:eastAsia="Arial" w:hAnsi="Arial"/>
          <w:sz w:val="18"/>
          <w:szCs w:val="18"/>
          <w:color w:val="auto"/>
        </w:rPr>
        <w:t>The Borrower and each other Loan Party hereby agrees that (x) in the event an erroneous Payment (or portion thereof) are not recovered from any Lender or Issuing Lender that has received such Payment (or portion thereof) for any reason, the First Lien Administrative Agent shall be subrogated to all the rights of such Lender or Issuing Lender with respect to such amount and (y) an erroneous Payment shall not pay, prepay, repay, discharge or otherwise satisfy any Obligations owed by the Borrower or any other Credit Party, except to the extent such erroneous Payment is, and solely with respect to the amount of such erroneous Payment that is, compromised of funds received by the Administrative Agent from the Borrower or any other Credit Party for the purpose of making such erroneous Payment.</w:t>
      </w:r>
    </w:p>
    <w:p>
      <w:pPr>
        <w:spacing w:after="0" w:line="207"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204"/>
        </w:numPr>
        <w:rPr>
          <w:rFonts w:ascii="Arial" w:cs="Arial" w:eastAsia="Arial" w:hAnsi="Arial"/>
          <w:sz w:val="20"/>
          <w:szCs w:val="20"/>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9.22</w:t>
      </w:r>
      <w:r>
        <w:rPr>
          <w:rFonts w:ascii="Arial" w:cs="Arial" w:eastAsia="Arial" w:hAnsi="Arial"/>
          <w:sz w:val="18"/>
          <w:szCs w:val="18"/>
          <w:color w:val="auto"/>
        </w:rPr>
        <w:t xml:space="preserve"> shall survive the resignation or replacement of the First Lien Administrative Agent or any transfer of rights or obligations by, or the replacement of, a Lender or Issuing Lender, the termination of the Commitments or the repayment, satisfaction or discharge of all Obligations under any Credit Document.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21" w:right="339" w:bottom="1440" w:gutter="0" w:footer="0" w:header="0"/>
        </w:sectPr>
      </w:pPr>
    </w:p>
    <w:bookmarkStart w:id="165" w:name="page166"/>
    <w:bookmarkEnd w:id="165"/>
    <w:p>
      <w:pPr>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38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LIVANOVA PLC</w:t>
      </w:r>
      <w:r>
        <w:rPr>
          <w:rFonts w:ascii="Arial" w:cs="Arial" w:eastAsia="Arial" w:hAnsi="Arial"/>
          <w:sz w:val="18"/>
          <w:szCs w:val="18"/>
          <w:color w:val="auto"/>
        </w:rPr>
        <w:t>,</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as Holdings</w:t>
      </w:r>
    </w:p>
    <w:p>
      <w:pPr>
        <w:spacing w:after="0" w:line="200" w:lineRule="exact"/>
        <w:rPr>
          <w:sz w:val="20"/>
          <w:szCs w:val="20"/>
          <w:color w:val="auto"/>
        </w:rPr>
      </w:pPr>
    </w:p>
    <w:p>
      <w:pPr>
        <w:spacing w:after="0" w:line="227"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-10160</wp:posOffset>
            </wp:positionV>
            <wp:extent cx="11658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Alex Shvartsburg</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7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LIVANOVA USA INC.</w:t>
      </w:r>
      <w:r>
        <w:rPr>
          <w:rFonts w:ascii="Arial" w:cs="Arial" w:eastAsia="Arial" w:hAnsi="Arial"/>
          <w:sz w:val="18"/>
          <w:szCs w:val="18"/>
          <w:color w:val="auto"/>
        </w:rPr>
        <w:t>, as Borrower</w:t>
      </w:r>
    </w:p>
    <w:p>
      <w:pPr>
        <w:spacing w:after="0" w:line="200" w:lineRule="exact"/>
        <w:rPr>
          <w:sz w:val="20"/>
          <w:szCs w:val="20"/>
          <w:color w:val="auto"/>
        </w:rPr>
      </w:pPr>
    </w:p>
    <w:p>
      <w:pPr>
        <w:spacing w:after="0" w:line="245"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-10160</wp:posOffset>
            </wp:positionV>
            <wp:extent cx="945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spacing w:after="0" w:line="3"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Kevin Smith</w:t>
      </w:r>
    </w:p>
    <w:p>
      <w:pPr>
        <w:spacing w:after="0" w:line="9"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1240"/>
          </w:cols>
          <w:pgMar w:left="320" w:top="1421" w:right="339" w:bottom="1440" w:gutter="0" w:footer="0" w:header="0"/>
        </w:sectPr>
      </w:pPr>
    </w:p>
    <w:bookmarkStart w:id="166" w:name="page167"/>
    <w:bookmarkEnd w:id="166"/>
    <w:p>
      <w:pPr>
        <w:ind w:left="2780"/>
        <w:spacing w:after="0" w:line="282" w:lineRule="auto"/>
        <w:rPr>
          <w:sz w:val="20"/>
          <w:szCs w:val="20"/>
          <w:color w:val="auto"/>
        </w:rPr>
      </w:pPr>
      <w:r>
        <w:rPr>
          <w:rFonts w:ascii="Arial" w:cs="Arial" w:eastAsia="Arial" w:hAnsi="Arial"/>
          <w:sz w:val="18"/>
          <w:szCs w:val="18"/>
          <w:b w:val="1"/>
          <w:bCs w:val="1"/>
          <w:color w:val="auto"/>
        </w:rPr>
        <w:t xml:space="preserve">GOLDMAN SACHS BANK USA </w:t>
      </w:r>
      <w:r>
        <w:rPr>
          <w:rFonts w:ascii="Arial" w:cs="Arial" w:eastAsia="Arial" w:hAnsi="Arial"/>
          <w:sz w:val="18"/>
          <w:szCs w:val="18"/>
          <w:color w:val="auto"/>
        </w:rPr>
        <w:t>as Administrative Agent, Swingline Lender, an Issuing Bank and</w:t>
      </w:r>
      <w:r>
        <w:rPr>
          <w:rFonts w:ascii="Arial" w:cs="Arial" w:eastAsia="Arial" w:hAnsi="Arial"/>
          <w:sz w:val="18"/>
          <w:szCs w:val="18"/>
          <w:b w:val="1"/>
          <w:bCs w:val="1"/>
          <w:color w:val="auto"/>
        </w:rPr>
        <w:t xml:space="preserve"> </w:t>
      </w:r>
      <w:r>
        <w:rPr>
          <w:rFonts w:ascii="Arial" w:cs="Arial" w:eastAsia="Arial" w:hAnsi="Arial"/>
          <w:sz w:val="18"/>
          <w:szCs w:val="18"/>
          <w:color w:val="auto"/>
        </w:rPr>
        <w:t>a Lender</w:t>
      </w:r>
    </w:p>
    <w:p>
      <w:pPr>
        <w:spacing w:after="0" w:line="200" w:lineRule="exact"/>
        <w:rPr>
          <w:sz w:val="20"/>
          <w:szCs w:val="20"/>
          <w:color w:val="auto"/>
        </w:rPr>
      </w:pPr>
    </w:p>
    <w:p>
      <w:pPr>
        <w:spacing w:after="0" w:line="236"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Pr>
          <w:p>
            <w:pPr>
              <w:ind w:left="20"/>
              <w:spacing w:after="0"/>
              <w:rPr>
                <w:sz w:val="20"/>
                <w:szCs w:val="20"/>
                <w:color w:val="auto"/>
              </w:rPr>
            </w:pPr>
            <w:r>
              <w:rPr>
                <w:rFonts w:ascii="Arial" w:cs="Arial" w:eastAsia="Arial" w:hAnsi="Arial"/>
                <w:sz w:val="18"/>
                <w:szCs w:val="18"/>
                <w:color w:val="auto"/>
              </w:rPr>
              <w:t>/s/ C.D. Johnston</w:t>
            </w:r>
          </w:p>
        </w:tc>
      </w:tr>
      <w:tr>
        <w:trPr>
          <w:trHeight w:val="27"/>
        </w:trPr>
        <w:tc>
          <w:tcPr>
            <w:tcW w:w="62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0"/>
        <w:spacing w:after="0"/>
        <w:rPr>
          <w:sz w:val="20"/>
          <w:szCs w:val="20"/>
          <w:color w:val="auto"/>
        </w:rPr>
      </w:pPr>
      <w:r>
        <w:rPr>
          <w:rFonts w:ascii="Arial" w:cs="Arial" w:eastAsia="Arial" w:hAnsi="Arial"/>
          <w:sz w:val="17"/>
          <w:szCs w:val="17"/>
          <w:b w:val="1"/>
          <w:bCs w:val="1"/>
          <w:color w:val="auto"/>
        </w:rPr>
        <w:t>BARCLAYS BANK PLC</w:t>
      </w:r>
      <w:r>
        <w:rPr>
          <w:rFonts w:ascii="Arial" w:cs="Arial" w:eastAsia="Arial" w:hAnsi="Arial"/>
          <w:sz w:val="17"/>
          <w:szCs w:val="17"/>
          <w:color w:val="auto"/>
        </w:rPr>
        <w:t>, as an Issuing Bank and a Lender</w:t>
      </w:r>
    </w:p>
    <w:p>
      <w:pPr>
        <w:spacing w:after="0" w:line="200" w:lineRule="exact"/>
        <w:rPr>
          <w:sz w:val="20"/>
          <w:szCs w:val="20"/>
          <w:color w:val="auto"/>
        </w:rPr>
      </w:pPr>
    </w:p>
    <w:p>
      <w:pPr>
        <w:spacing w:after="0" w:line="311"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/s/ Ronnie Glenn</w:t>
            </w:r>
          </w:p>
        </w:tc>
      </w:tr>
      <w:tr>
        <w:trPr>
          <w:trHeight w:val="27"/>
        </w:trPr>
        <w:tc>
          <w:tcPr>
            <w:tcW w:w="6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00" w:type="dxa"/>
            <w:vAlign w:val="bottom"/>
          </w:tcPr>
          <w:p>
            <w:pPr>
              <w:ind w:left="120"/>
              <w:spacing w:after="0"/>
              <w:rPr>
                <w:sz w:val="20"/>
                <w:szCs w:val="20"/>
                <w:color w:val="auto"/>
              </w:rPr>
            </w:pPr>
            <w:r>
              <w:rPr>
                <w:rFonts w:ascii="Arial" w:cs="Arial" w:eastAsia="Arial" w:hAnsi="Arial"/>
                <w:sz w:val="18"/>
                <w:szCs w:val="18"/>
                <w:color w:val="auto"/>
              </w:rPr>
              <w:t>Ronnie Glenn</w:t>
            </w:r>
          </w:p>
        </w:tc>
      </w:tr>
      <w:tr>
        <w:trPr>
          <w:trHeight w:val="270"/>
        </w:trPr>
        <w:tc>
          <w:tcPr>
            <w:tcW w:w="620" w:type="dxa"/>
            <w:vAlign w:val="bottom"/>
          </w:tcPr>
          <w:p>
            <w:pPr>
              <w:spacing w:after="0"/>
              <w:rPr>
                <w:sz w:val="23"/>
                <w:szCs w:val="23"/>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Title:</w:t>
            </w:r>
          </w:p>
        </w:tc>
        <w:tc>
          <w:tcPr>
            <w:tcW w:w="2800" w:type="dxa"/>
            <w:vAlign w:val="bottom"/>
          </w:tcPr>
          <w:p>
            <w:pPr>
              <w:ind w:left="8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7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UBS AG, STAMFORD BRANCH</w:t>
      </w:r>
      <w:r>
        <w:rPr>
          <w:rFonts w:ascii="Arial" w:cs="Arial" w:eastAsia="Arial" w:hAnsi="Arial"/>
          <w:sz w:val="18"/>
          <w:szCs w:val="18"/>
          <w:color w:val="auto"/>
        </w:rPr>
        <w:t>, as an Issuing</w:t>
      </w:r>
    </w:p>
    <w:p>
      <w:pPr>
        <w:ind w:left="2740"/>
        <w:spacing w:after="0"/>
        <w:rPr>
          <w:sz w:val="20"/>
          <w:szCs w:val="20"/>
          <w:color w:val="auto"/>
        </w:rPr>
      </w:pPr>
      <w:r>
        <w:rPr>
          <w:rFonts w:ascii="Arial" w:cs="Arial" w:eastAsia="Arial" w:hAnsi="Arial"/>
          <w:sz w:val="18"/>
          <w:szCs w:val="18"/>
          <w:color w:val="auto"/>
        </w:rPr>
        <w:t>Bank and a Lender</w:t>
      </w:r>
    </w:p>
    <w:p>
      <w:pPr>
        <w:spacing w:after="0" w:line="223"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/s/ Anthony N Joseph</w:t>
            </w:r>
          </w:p>
        </w:tc>
      </w:tr>
      <w:tr>
        <w:trPr>
          <w:trHeight w:val="27"/>
        </w:trPr>
        <w:tc>
          <w:tcPr>
            <w:tcW w:w="6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00" w:type="dxa"/>
            <w:vAlign w:val="bottom"/>
          </w:tcPr>
          <w:p>
            <w:pPr>
              <w:ind w:left="100"/>
              <w:spacing w:after="0"/>
              <w:rPr>
                <w:sz w:val="20"/>
                <w:szCs w:val="20"/>
                <w:color w:val="auto"/>
              </w:rPr>
            </w:pPr>
            <w:r>
              <w:rPr>
                <w:rFonts w:ascii="Arial" w:cs="Arial" w:eastAsia="Arial" w:hAnsi="Arial"/>
                <w:sz w:val="18"/>
                <w:szCs w:val="18"/>
                <w:color w:val="auto"/>
              </w:rPr>
              <w:t>Anthony N Joseph</w:t>
            </w:r>
          </w:p>
        </w:tc>
      </w:tr>
      <w:tr>
        <w:trPr>
          <w:trHeight w:val="270"/>
        </w:trPr>
        <w:tc>
          <w:tcPr>
            <w:tcW w:w="620" w:type="dxa"/>
            <w:vAlign w:val="bottom"/>
          </w:tcPr>
          <w:p>
            <w:pPr>
              <w:spacing w:after="0"/>
              <w:rPr>
                <w:sz w:val="23"/>
                <w:szCs w:val="23"/>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Title:</w:t>
            </w:r>
          </w:p>
        </w:tc>
        <w:tc>
          <w:tcPr>
            <w:tcW w:w="2800" w:type="dxa"/>
            <w:vAlign w:val="bottom"/>
          </w:tcPr>
          <w:p>
            <w:pPr>
              <w:jc w:val="center"/>
              <w:ind w:right="1230"/>
              <w:spacing w:after="0"/>
              <w:rPr>
                <w:sz w:val="20"/>
                <w:szCs w:val="20"/>
                <w:color w:val="auto"/>
              </w:rPr>
            </w:pPr>
            <w:r>
              <w:rPr>
                <w:rFonts w:ascii="Arial" w:cs="Arial" w:eastAsia="Arial" w:hAnsi="Arial"/>
                <w:sz w:val="18"/>
                <w:szCs w:val="18"/>
                <w:color w:val="auto"/>
                <w:w w:val="93"/>
              </w:rPr>
              <w:t>Associate Director</w:t>
            </w:r>
          </w:p>
        </w:tc>
      </w:tr>
      <w:tr>
        <w:trPr>
          <w:trHeight w:val="68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/s/ Dionne Robinson</w:t>
            </w:r>
          </w:p>
        </w:tc>
      </w:tr>
      <w:tr>
        <w:trPr>
          <w:trHeight w:val="27"/>
        </w:trPr>
        <w:tc>
          <w:tcPr>
            <w:tcW w:w="6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6"/>
        </w:trPr>
        <w:tc>
          <w:tcPr>
            <w:tcW w:w="62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00" w:type="dxa"/>
            <w:vAlign w:val="bottom"/>
          </w:tcPr>
          <w:p>
            <w:pPr>
              <w:jc w:val="center"/>
              <w:ind w:right="1210"/>
              <w:spacing w:after="0"/>
              <w:rPr>
                <w:sz w:val="20"/>
                <w:szCs w:val="20"/>
                <w:color w:val="auto"/>
              </w:rPr>
            </w:pPr>
            <w:r>
              <w:rPr>
                <w:rFonts w:ascii="Arial" w:cs="Arial" w:eastAsia="Arial" w:hAnsi="Arial"/>
                <w:sz w:val="18"/>
                <w:szCs w:val="18"/>
                <w:color w:val="auto"/>
                <w:w w:val="91"/>
              </w:rPr>
              <w:t>Dionne Robinson</w:t>
            </w:r>
          </w:p>
        </w:tc>
      </w:tr>
      <w:tr>
        <w:trPr>
          <w:trHeight w:val="270"/>
        </w:trPr>
        <w:tc>
          <w:tcPr>
            <w:tcW w:w="620" w:type="dxa"/>
            <w:vAlign w:val="bottom"/>
          </w:tcPr>
          <w:p>
            <w:pPr>
              <w:spacing w:after="0"/>
              <w:rPr>
                <w:sz w:val="23"/>
                <w:szCs w:val="23"/>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Title:</w:t>
            </w:r>
          </w:p>
        </w:tc>
        <w:tc>
          <w:tcPr>
            <w:tcW w:w="2800" w:type="dxa"/>
            <w:vAlign w:val="bottom"/>
          </w:tcPr>
          <w:p>
            <w:pPr>
              <w:jc w:val="center"/>
              <w:ind w:right="1230"/>
              <w:spacing w:after="0"/>
              <w:rPr>
                <w:sz w:val="20"/>
                <w:szCs w:val="20"/>
                <w:color w:val="auto"/>
              </w:rPr>
            </w:pPr>
            <w:r>
              <w:rPr>
                <w:rFonts w:ascii="Arial" w:cs="Arial" w:eastAsia="Arial" w:hAnsi="Arial"/>
                <w:sz w:val="18"/>
                <w:szCs w:val="18"/>
                <w:color w:val="auto"/>
                <w:w w:val="93"/>
              </w:rPr>
              <w:t>Associate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120"/>
          </w:cols>
          <w:pgMar w:left="1440" w:top="1417"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184340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4340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0"/>
          <w:szCs w:val="20"/>
          <w:color w:val="6D2077"/>
        </w:rPr>
        <w:t>NEWS RELEASE</w:t>
      </w:r>
    </w:p>
    <w:p>
      <w:pPr>
        <w:spacing w:after="0" w:line="200" w:lineRule="exact"/>
        <w:rPr>
          <w:sz w:val="20"/>
          <w:szCs w:val="20"/>
          <w:color w:val="auto"/>
        </w:rPr>
      </w:pPr>
    </w:p>
    <w:p>
      <w:pPr>
        <w:spacing w:after="0" w:line="264" w:lineRule="exact"/>
        <w:rPr>
          <w:sz w:val="20"/>
          <w:szCs w:val="20"/>
          <w:color w:val="auto"/>
        </w:rPr>
      </w:pPr>
    </w:p>
    <w:p>
      <w:pPr>
        <w:jc w:val="center"/>
        <w:spacing w:after="0" w:line="245" w:lineRule="auto"/>
        <w:rPr>
          <w:sz w:val="20"/>
          <w:szCs w:val="20"/>
          <w:color w:val="auto"/>
        </w:rPr>
      </w:pPr>
      <w:r>
        <w:rPr>
          <w:rFonts w:ascii="Arial" w:cs="Arial" w:eastAsia="Arial" w:hAnsi="Arial"/>
          <w:sz w:val="25"/>
          <w:szCs w:val="25"/>
          <w:color w:val="6D2077"/>
        </w:rPr>
        <w:t>LivaNova Announces Early Retirement of $450 Million Term Loan and Executes $125 Million Revolving Credit Facility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580E64"/>
        </w:rPr>
        <w:t>Announcement follows closing of underwritten offering of ordinary shares</w:t>
      </w:r>
    </w:p>
    <w:p>
      <w:pPr>
        <w:spacing w:after="0" w:line="381" w:lineRule="exact"/>
        <w:rPr>
          <w:sz w:val="20"/>
          <w:szCs w:val="20"/>
          <w:color w:val="auto"/>
        </w:rPr>
      </w:pPr>
    </w:p>
    <w:p>
      <w:pPr>
        <w:jc w:val="both"/>
        <w:spacing w:after="0" w:line="377" w:lineRule="auto"/>
        <w:rPr>
          <w:sz w:val="20"/>
          <w:szCs w:val="20"/>
          <w:color w:val="auto"/>
        </w:rPr>
      </w:pPr>
      <w:r>
        <w:rPr>
          <w:rFonts w:ascii="Arial" w:cs="Arial" w:eastAsia="Arial" w:hAnsi="Arial"/>
          <w:sz w:val="19"/>
          <w:szCs w:val="19"/>
          <w:b w:val="1"/>
          <w:bCs w:val="1"/>
          <w:color w:val="auto"/>
        </w:rPr>
        <w:t xml:space="preserve">London, August 16, 2021 – </w:t>
      </w:r>
      <w:r>
        <w:rPr>
          <w:rFonts w:ascii="Arial" w:cs="Arial" w:eastAsia="Arial" w:hAnsi="Arial"/>
          <w:sz w:val="19"/>
          <w:szCs w:val="19"/>
          <w:color w:val="auto"/>
        </w:rPr>
        <w:t>LivaNova PLC (NASDAQ:LIVN), a market-leading medical technology and innovation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today announced the early retirement of its $450 million five-year senior secured term loan (the Term Loan). To retire the Term Loan, LivaNova repaid the $450 million principal amount outstanding, plus accrued interest and an approximately $35.6 million make-whole premium (including $28.8 million which is the present value of interest through June 17, 2022, and a $6.8 million termination fee). The repayment was funded by proceeds from an underwritten offering of ordinary shares that closed on August 6, 2021 (including the full exercise of the underwriters’ option) and cash on hand. Early retirement of the Term Loan, which bore interest on a floating-rate basis, will result in reduced interest expense of approximately $39 million on an annualized basis (based on currently prevailing rates), including approximately $5 million of amortization of debt issuance costs.</w:t>
      </w:r>
    </w:p>
    <w:p>
      <w:pPr>
        <w:spacing w:after="0" w:line="194"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In addition, LivaNova today announced the execution of a $125 million secured revolving credit facility (the Credit Facility) with Goldman Sachs Bank USA as agent, and Goldman Sachs Bank USA, Barclays Bank PLC and UBS AG, Stamford Branch as lenders. The Credit Facility will be available for general corporate purposes.</w:t>
      </w:r>
    </w:p>
    <w:p>
      <w:pPr>
        <w:spacing w:after="0" w:line="208"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After giving effect to retirement of the Term Loan and completion of the equity offering, LivaNova now expects full-year 2021 adjusted diluted earnings per share from continuing operations to be in the range of $1.75 to $2.05 and full-year 2021 adjusted free cash flow to be in the range of $50 to $70 million. These metrics exclude the impact of the $35.6 million make-whole premium described above.</w:t>
      </w:r>
    </w:p>
    <w:p>
      <w:pPr>
        <w:spacing w:after="0" w:line="209"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“The successful completion of these transactions represents a significant step toward enhancing our liquidity position, provides improved terms and conditions, and creates financial flexibility,” said Alex Shvartsburg, Chief Financial Officer of LivaNova.</w:t>
      </w:r>
    </w:p>
    <w:p>
      <w:pPr>
        <w:sectPr>
          <w:pgSz w:w="11900" w:h="16838" w:orient="portrait"/>
          <w:cols w:equalWidth="0" w:num="1">
            <w:col w:w="11240"/>
          </w:cols>
          <w:pgMar w:left="320" w:top="121" w:right="339" w:bottom="1440" w:gutter="0" w:footer="0" w:header="0"/>
        </w:sectPr>
      </w:pPr>
    </w:p>
    <w:bookmarkStart w:id="168" w:name="page169"/>
    <w:bookmarkEnd w:id="168"/>
    <w:p>
      <w:pPr>
        <w:spacing w:after="0" w:line="155"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The Credit Facility has a five-year term and bears interest at a rate equal to, for U.S. dollar-denominated loans, an adjusted London Interbank Offered Rate (LIBOR), with a floor of 0.00%, or a base rate determined under the terms of the Credit Facility, plus, in each case, a variable margin based on LivaNova’s senior secured net leverage ratio. As of the effective date of the Credit Facility (August 13, 2021), the applicable margin was equal to 3.00% per annum. Interest will be paid monthly or quarterly, as selected by the borrower, with any outstanding principal due at maturity. The Credit Facility also contemplates the payment of commitment fees on the unused portion of the commitments, at a variable percentage based on LivaNova’s senior secured net leverage ratio. As of the effective date of the Credit Facility, the applicable commitment fee percentage was equal to 0.25% per annum. The Credit Facility, if drawn, can be repaid at any time without premium or penalty. Additional terms and conditions are described in the Company’s 8-K filing that is being filed substantially concurrently with this release.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580E64"/>
        </w:rPr>
        <w:t>About LivaNova</w:t>
      </w:r>
    </w:p>
    <w:p>
      <w:pPr>
        <w:spacing w:after="0" w:line="216"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 xml:space="preserve">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3,000 employees and has a presence in more than 100 countries for the benefit of patients, healthcare professionals and healthcare systems worldwide. For more information, please visit </w:t>
      </w:r>
      <w:r>
        <w:rPr>
          <w:rFonts w:ascii="Arial" w:cs="Arial" w:eastAsia="Arial" w:hAnsi="Arial"/>
          <w:sz w:val="20"/>
          <w:szCs w:val="20"/>
          <w:u w:val="single" w:color="auto"/>
          <w:color w:val="0070C0"/>
        </w:rPr>
        <w:t>www.livanova.com</w:t>
      </w:r>
      <w:r>
        <w:rPr>
          <w:rFonts w:ascii="Arial" w:cs="Arial" w:eastAsia="Arial" w:hAnsi="Arial"/>
          <w:sz w:val="20"/>
          <w:szCs w:val="20"/>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580E64"/>
        </w:rPr>
        <w:t>Use of Non-GAAP Financial Measures</w:t>
      </w:r>
    </w:p>
    <w:p>
      <w:pPr>
        <w:spacing w:after="0" w:line="243"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This press release includes unaudited forward-looking non-GAAP financial measures including adjusted diluted earnings per share from continuing operations and adjusted free cash flow.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11"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LivaNova calculates forward-looking non-GAAP financial measures based on internal forecasts that omit certain amounts that would be included in GAAP financial measures. For example, forward-looking non-GAAP adjusted diluted earnings per share guidance excludes items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47" w:lineRule="exact"/>
        <w:rPr>
          <w:sz w:val="20"/>
          <w:szCs w:val="20"/>
          <w:color w:val="auto"/>
        </w:rPr>
      </w:pPr>
    </w:p>
    <w:p>
      <w:pPr>
        <w:jc w:val="both"/>
        <w:spacing w:after="0" w:line="352" w:lineRule="auto"/>
        <w:rPr>
          <w:sz w:val="20"/>
          <w:szCs w:val="20"/>
          <w:color w:val="auto"/>
        </w:rPr>
      </w:pPr>
      <w:r>
        <w:rPr>
          <w:rFonts w:ascii="Arial" w:cs="Arial" w:eastAsia="Arial" w:hAnsi="Arial"/>
          <w:sz w:val="20"/>
          <w:szCs w:val="20"/>
          <w:color w:val="auto"/>
        </w:rPr>
        <w:t>but not limited to, the make-whole premium related to the Term Loan, changes in fair value of contingent consideration arrangements, asset impairment charges and product remediation costs that would be included in comparable GAAP financial measures. The most directly comparable GAAP measure for adjusted diluted earnings per share from continuing operations is earnings per share. The most directly comparable GAAP measure for adjusted free cash flow is net cash provided by operating activities.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aforementioned items, tax law changes or other tax matters. Accordingly, reconciliations to the most directly comparable forward-looking GAAP financial measures are not available without unreasonable effort.</w:t>
      </w:r>
    </w:p>
    <w:p>
      <w:pPr>
        <w:spacing w:after="0" w:line="245"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The Company believes adjusted financial measures used by LivaNova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580E64"/>
        </w:rPr>
        <w:t>Safe Harbor Statement</w:t>
      </w:r>
    </w:p>
    <w:p>
      <w:pPr>
        <w:spacing w:after="0" w:line="216"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This news release contains “forward-looking statements” concerning our goals, beliefs, expectations, strategies, objectives, plans and underlying assumptions and other statements that are not necessarily based on historical facts. These statements include, but are not limited to, statements regarding LivaNova’s expected full-year 2021 adjusted diluted earnings per share from continuing operations and adjusted free cash flow and the use of any proceeds from borrowings under the Credit Facility. Actual results may differ materially from those indicated in our forward-looking statements as a result of various factors, including those factors set forth in Item 1A of our Annual Report on Form 10-K for the year ended December 31, 2020, as supplemented by any risk factors contained in our Quarterly Reports on Form 10-Q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55" w:lineRule="exact"/>
        <w:rPr>
          <w:sz w:val="20"/>
          <w:szCs w:val="20"/>
          <w:color w:val="auto"/>
        </w:rPr>
      </w:pPr>
    </w:p>
    <w:p>
      <w:pPr>
        <w:spacing w:after="0" w:line="359" w:lineRule="auto"/>
        <w:rPr>
          <w:sz w:val="20"/>
          <w:szCs w:val="20"/>
          <w:color w:val="auto"/>
        </w:rPr>
      </w:pPr>
      <w:r>
        <w:rPr>
          <w:rFonts w:ascii="Arial" w:cs="Arial" w:eastAsia="Arial" w:hAnsi="Arial"/>
          <w:sz w:val="20"/>
          <w:szCs w:val="20"/>
          <w:color w:val="auto"/>
        </w:rPr>
        <w:t>Current Reports on Form 8-K. We undertake no obligation to update the information contained in this press release to reflect subsequently occurring events or circumstances.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6D2077"/>
        </w:rPr>
        <w:t>LivaNova Investor Relations Contact</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Lindsey Little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+1 281-895-2382</w:t>
      </w:r>
    </w:p>
    <w:p>
      <w:pPr>
        <w:spacing w:after="0"/>
        <w:rPr>
          <w:sz w:val="20"/>
          <w:szCs w:val="20"/>
          <w:color w:val="auto"/>
        </w:rPr>
      </w:pPr>
      <w:r>
        <w:rPr>
          <w:rFonts w:ascii="Arial" w:cs="Arial" w:eastAsia="Arial" w:hAnsi="Arial"/>
          <w:sz w:val="20"/>
          <w:szCs w:val="20"/>
          <w:color w:val="auto"/>
        </w:rPr>
        <w:t>Senior Director, Investor Relations</w:t>
      </w:r>
    </w:p>
    <w:p>
      <w:pPr>
        <w:spacing w:after="0"/>
        <w:rPr>
          <w:sz w:val="20"/>
          <w:szCs w:val="20"/>
          <w:color w:val="auto"/>
        </w:rPr>
      </w:pPr>
      <w:r>
        <w:rPr>
          <w:rFonts w:ascii="Arial" w:cs="Arial" w:eastAsia="Arial" w:hAnsi="Arial"/>
          <w:sz w:val="20"/>
          <w:szCs w:val="20"/>
          <w:u w:val="single" w:color="auto"/>
          <w:color w:val="0000FF"/>
        </w:rPr>
        <w:t>InvestorRelations@livanova.com</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1)"/>
      <w:numFmt w:val="lowerLetter"/>
      <w:start w:val="4"/>
    </w:lvl>
  </w:abstractNum>
  <w:abstractNum w:abstractNumId="2">
    <w:nsid w:val="14FCE74E"/>
    <w:multiLevelType w:val="hybridMultilevel"/>
    <w:lvl w:ilvl="0">
      <w:lvlJc w:val="left"/>
      <w:lvlText w:val="%1"/>
      <w:numFmt w:val="decimal"/>
      <w:start w:val="104"/>
    </w:lvl>
  </w:abstractNum>
  <w:abstractNum w:abstractNumId="3">
    <w:nsid w:val="6A3DD3E8"/>
    <w:multiLevelType w:val="hybridMultilevel"/>
    <w:lvl w:ilvl="0">
      <w:lvlJc w:val="left"/>
      <w:lvlText w:val="1"/>
      <w:numFmt w:val="bullet"/>
      <w:start w:val="1"/>
    </w:lvl>
  </w:abstractNum>
  <w:abstractNum w:abstractNumId="4">
    <w:nsid w:val="71C91298"/>
    <w:multiLevelType w:val="hybridMultilevel"/>
    <w:lvl w:ilvl="0">
      <w:lvlJc w:val="left"/>
      <w:lvlText w:val="(%1)"/>
      <w:numFmt w:val="lowerLetter"/>
      <w:start w:val="1"/>
    </w:lvl>
  </w:abstractNum>
  <w:abstractNum w:abstractNumId="5">
    <w:nsid w:val="9DAF632"/>
    <w:multiLevelType w:val="hybridMultilevel"/>
    <w:lvl w:ilvl="0">
      <w:lvlJc w:val="left"/>
      <w:lvlText w:val="(%1)"/>
      <w:numFmt w:val="lowerRoman"/>
      <w:start w:val="1"/>
    </w:lvl>
  </w:abstractNum>
  <w:abstractNum w:abstractNumId="6">
    <w:nsid w:val="53299938"/>
    <w:multiLevelType w:val="hybridMultilevel"/>
    <w:lvl w:ilvl="0">
      <w:lvlJc w:val="left"/>
      <w:lvlText w:val="(%1)"/>
      <w:numFmt w:val="decimal"/>
      <w:start w:val="1"/>
    </w:lvl>
    <w:lvl w:ilvl="1">
      <w:lvlJc w:val="left"/>
      <w:lvlText w:val="(%2)"/>
      <w:numFmt w:val="lowerLetter"/>
      <w:start w:val="1"/>
    </w:lvl>
  </w:abstractNum>
  <w:abstractNum w:abstractNumId="7">
    <w:nsid w:val="1FBFE8E0"/>
    <w:multiLevelType w:val="hybridMultilevel"/>
    <w:lvl w:ilvl="0">
      <w:lvlJc w:val="left"/>
      <w:lvlText w:val="%1"/>
      <w:numFmt w:val="decimal"/>
      <w:start w:val="1"/>
    </w:lvl>
    <w:lvl w:ilvl="1">
      <w:lvlJc w:val="left"/>
      <w:lvlText w:val="(%2)"/>
      <w:numFmt w:val="lowerLetter"/>
      <w:start w:val="2"/>
    </w:lvl>
  </w:abstractNum>
  <w:abstractNum w:abstractNumId="8">
    <w:nsid w:val="5092CA79"/>
    <w:multiLevelType w:val="hybridMultilevel"/>
    <w:lvl w:ilvl="0">
      <w:lvlJc w:val="left"/>
      <w:lvlText w:val="(%1)"/>
      <w:numFmt w:val="decimal"/>
      <w:start w:val="2"/>
    </w:lvl>
    <w:lvl w:ilvl="1">
      <w:lvlJc w:val="left"/>
      <w:lvlText w:val="%2"/>
      <w:numFmt w:val="lowerLetter"/>
      <w:start w:val="1"/>
    </w:lvl>
  </w:abstractNum>
  <w:abstractNum w:abstractNumId="9">
    <w:nsid w:val="1D545C4D"/>
    <w:multiLevelType w:val="hybridMultilevel"/>
    <w:lvl w:ilvl="0">
      <w:lvlJc w:val="left"/>
      <w:lvlText w:val="(%1)"/>
      <w:numFmt w:val="lowerLetter"/>
      <w:start w:val="1"/>
    </w:lvl>
  </w:abstractNum>
  <w:abstractNum w:abstractNumId="10">
    <w:nsid w:val="59ADEA3D"/>
    <w:multiLevelType w:val="hybridMultilevel"/>
    <w:lvl w:ilvl="0">
      <w:lvlJc w:val="left"/>
      <w:lvlText w:val="(%1)"/>
      <w:numFmt w:val="lowerLetter"/>
      <w:start w:val="2"/>
    </w:lvl>
  </w:abstractNum>
  <w:abstractNum w:abstractNumId="11">
    <w:nsid w:val="288F1A34"/>
    <w:multiLevelType w:val="hybridMultilevel"/>
    <w:lvl w:ilvl="0">
      <w:lvlJc w:val="left"/>
      <w:lvlText w:val="(%1)"/>
      <w:numFmt w:val="lowerLetter"/>
      <w:start w:val="6"/>
    </w:lvl>
  </w:abstractNum>
  <w:abstractNum w:abstractNumId="12">
    <w:nsid w:val="2A155DBC"/>
    <w:multiLevelType w:val="hybridMultilevel"/>
    <w:lvl w:ilvl="0">
      <w:lvlJc w:val="left"/>
      <w:lvlText w:val="(%1)"/>
      <w:numFmt w:val="lowerLetter"/>
      <w:start w:val="1"/>
    </w:lvl>
  </w:abstractNum>
  <w:abstractNum w:abstractNumId="13">
    <w:nsid w:val="1D9F6E5F"/>
    <w:multiLevelType w:val="hybridMultilevel"/>
    <w:lvl w:ilvl="0">
      <w:lvlJc w:val="left"/>
      <w:lvlText w:val="(%1)"/>
      <w:numFmt w:val="upperLetter"/>
      <w:start w:val="1"/>
    </w:lvl>
  </w:abstractNum>
  <w:abstractNum w:abstractNumId="14">
    <w:nsid w:val="97E1B4E"/>
    <w:multiLevelType w:val="hybridMultilevel"/>
    <w:lvl w:ilvl="0">
      <w:lvlJc w:val="left"/>
      <w:lvlText w:val="(%1)"/>
      <w:numFmt w:val="upperLetter"/>
      <w:start w:val="9"/>
    </w:lvl>
  </w:abstractNum>
  <w:abstractNum w:abstractNumId="15">
    <w:nsid w:val="51088277"/>
    <w:multiLevelType w:val="hybridMultilevel"/>
    <w:lvl w:ilvl="0">
      <w:lvlJc w:val="left"/>
      <w:lvlText w:val="(%1)"/>
      <w:numFmt w:val="upperLetter"/>
      <w:start w:val="35"/>
    </w:lvl>
  </w:abstractNum>
  <w:abstractNum w:abstractNumId="16">
    <w:nsid w:val="1CA0C5FA"/>
    <w:multiLevelType w:val="hybridMultilevel"/>
    <w:lvl w:ilvl="0">
      <w:lvlJc w:val="left"/>
      <w:lvlText w:val="(%1)"/>
      <w:numFmt w:val="upperLetter"/>
      <w:start w:val="61"/>
    </w:lvl>
  </w:abstractNum>
  <w:abstractNum w:abstractNumId="17">
    <w:nsid w:val="53584BCB"/>
    <w:multiLevelType w:val="hybridMultilevel"/>
    <w:lvl w:ilvl="0">
      <w:lvlJc w:val="left"/>
      <w:lvlText w:val="(%1)"/>
      <w:numFmt w:val="lowerRoman"/>
      <w:start w:val="3"/>
    </w:lvl>
  </w:abstractNum>
  <w:abstractNum w:abstractNumId="18">
    <w:nsid w:val="415E286C"/>
    <w:multiLevelType w:val="hybridMultilevel"/>
    <w:lvl w:ilvl="0">
      <w:lvlJc w:val="left"/>
      <w:lvlText w:val="(%1)"/>
      <w:numFmt w:val="lowerLetter"/>
      <w:start w:val="1"/>
    </w:lvl>
  </w:abstractNum>
  <w:abstractNum w:abstractNumId="19">
    <w:nsid w:val="7C58FD05"/>
    <w:multiLevelType w:val="hybridMultilevel"/>
    <w:lvl w:ilvl="0">
      <w:lvlJc w:val="left"/>
      <w:lvlText w:val="(%1)"/>
      <w:numFmt w:val="decimal"/>
      <w:start w:val="2"/>
    </w:lvl>
  </w:abstractNum>
  <w:abstractNum w:abstractNumId="20">
    <w:nsid w:val="23D86AAC"/>
    <w:multiLevelType w:val="hybridMultilevel"/>
    <w:lvl w:ilvl="0">
      <w:lvlJc w:val="left"/>
      <w:lvlText w:val="(%1)"/>
      <w:numFmt w:val="lowerLetter"/>
      <w:start w:val="1"/>
    </w:lvl>
  </w:abstractNum>
  <w:abstractNum w:abstractNumId="21">
    <w:nsid w:val="45E6D486"/>
    <w:multiLevelType w:val="hybridMultilevel"/>
    <w:lvl w:ilvl="0">
      <w:lvlJc w:val="left"/>
      <w:lvlText w:val="(%1)"/>
      <w:numFmt w:val="lowerLetter"/>
      <w:start w:val="2"/>
    </w:lvl>
  </w:abstractNum>
  <w:abstractNum w:abstractNumId="22">
    <w:nsid w:val="5C10FE21"/>
    <w:multiLevelType w:val="hybridMultilevel"/>
    <w:lvl w:ilvl="0">
      <w:lvlJc w:val="left"/>
      <w:lvlText w:val="(%1)"/>
      <w:numFmt w:val="decimal"/>
      <w:start w:val="1"/>
    </w:lvl>
  </w:abstractNum>
  <w:abstractNum w:abstractNumId="23">
    <w:nsid w:val="E7FFA2B"/>
    <w:multiLevelType w:val="hybridMultilevel"/>
    <w:lvl w:ilvl="0">
      <w:lvlJc w:val="left"/>
      <w:lvlText w:val="2"/>
      <w:numFmt w:val="bullet"/>
      <w:start w:val="1"/>
    </w:lvl>
  </w:abstractNum>
  <w:abstractNum w:abstractNumId="24">
    <w:nsid w:val="3C5991AA"/>
    <w:multiLevelType w:val="hybridMultilevel"/>
    <w:lvl w:ilvl="0">
      <w:lvlJc w:val="left"/>
      <w:lvlText w:val="(%1)"/>
      <w:numFmt w:val="lowerLetter"/>
      <w:start w:val="7"/>
    </w:lvl>
  </w:abstractNum>
  <w:abstractNum w:abstractNumId="25">
    <w:nsid w:val="4BD8591A"/>
    <w:multiLevelType w:val="hybridMultilevel"/>
    <w:lvl w:ilvl="0">
      <w:lvlJc w:val="left"/>
      <w:lvlText w:val="(%1)"/>
      <w:numFmt w:val="lowerRoman"/>
      <w:start w:val="3"/>
    </w:lvl>
  </w:abstractNum>
  <w:abstractNum w:abstractNumId="26">
    <w:nsid w:val="78DF6A55"/>
    <w:multiLevelType w:val="hybridMultilevel"/>
    <w:lvl w:ilvl="0">
      <w:lvlJc w:val="left"/>
      <w:lvlText w:val="(%1)"/>
      <w:numFmt w:val="lowerRoman"/>
      <w:start w:val="2"/>
    </w:lvl>
  </w:abstractNum>
  <w:abstractNum w:abstractNumId="27">
    <w:nsid w:val="39B7AAA2"/>
    <w:multiLevelType w:val="hybridMultilevel"/>
    <w:lvl w:ilvl="0">
      <w:lvlJc w:val="left"/>
      <w:lvlText w:val="(%1)"/>
      <w:numFmt w:val="upperLetter"/>
      <w:start w:val="1"/>
    </w:lvl>
  </w:abstractNum>
  <w:abstractNum w:abstractNumId="28">
    <w:nsid w:val="2B0D8DBE"/>
    <w:multiLevelType w:val="hybridMultilevel"/>
    <w:lvl w:ilvl="0">
      <w:lvlJc w:val="left"/>
      <w:lvlText w:val="(%1)"/>
      <w:numFmt w:val="lowerLetter"/>
      <w:start w:val="1"/>
    </w:lvl>
  </w:abstractNum>
  <w:abstractNum w:abstractNumId="29">
    <w:nsid w:val="6C80EC70"/>
    <w:multiLevelType w:val="hybridMultilevel"/>
    <w:lvl w:ilvl="0">
      <w:lvlJc w:val="left"/>
      <w:lvlText w:val="(%1)"/>
      <w:numFmt w:val="lowerLetter"/>
      <w:start w:val="6"/>
    </w:lvl>
  </w:abstractNum>
  <w:abstractNum w:abstractNumId="30">
    <w:nsid w:val="379E21B5"/>
    <w:multiLevelType w:val="hybridMultilevel"/>
    <w:lvl w:ilvl="0">
      <w:lvlJc w:val="left"/>
      <w:lvlText w:val="(%1)"/>
      <w:numFmt w:val="lowerLetter"/>
      <w:start w:val="17"/>
    </w:lvl>
  </w:abstractNum>
  <w:abstractNum w:abstractNumId="31">
    <w:nsid w:val="69E373"/>
    <w:multiLevelType w:val="hybridMultilevel"/>
    <w:lvl w:ilvl="0">
      <w:lvlJc w:val="left"/>
      <w:lvlText w:val="(%1)"/>
      <w:numFmt w:val="lowerLetter"/>
      <w:start w:val="1"/>
    </w:lvl>
  </w:abstractNum>
  <w:abstractNum w:abstractNumId="32">
    <w:nsid w:val="2C27173B"/>
    <w:multiLevelType w:val="hybridMultilevel"/>
    <w:lvl w:ilvl="0">
      <w:lvlJc w:val="left"/>
      <w:lvlText w:val="(%1)"/>
      <w:numFmt w:val="lowerLetter"/>
      <w:start w:val="4"/>
    </w:lvl>
  </w:abstractNum>
  <w:abstractNum w:abstractNumId="33">
    <w:nsid w:val="4C9B0904"/>
    <w:multiLevelType w:val="hybridMultilevel"/>
    <w:lvl w:ilvl="0">
      <w:lvlJc w:val="left"/>
      <w:lvlText w:val="(%1)"/>
      <w:numFmt w:val="lowerLetter"/>
      <w:start w:val="12"/>
    </w:lvl>
  </w:abstractNum>
  <w:abstractNum w:abstractNumId="34">
    <w:nsid w:val="6AA7B75C"/>
    <w:multiLevelType w:val="hybridMultilevel"/>
    <w:lvl w:ilvl="0">
      <w:lvlJc w:val="left"/>
      <w:lvlText w:val="(%1)"/>
      <w:numFmt w:val="lowerRoman"/>
      <w:start w:val="1"/>
    </w:lvl>
  </w:abstractNum>
  <w:abstractNum w:abstractNumId="35">
    <w:nsid w:val="1DF029D3"/>
    <w:multiLevelType w:val="hybridMultilevel"/>
    <w:lvl w:ilvl="0">
      <w:lvlJc w:val="left"/>
      <w:lvlText w:val="(%1)"/>
      <w:numFmt w:val="lowerRoman"/>
      <w:start w:val="2"/>
    </w:lvl>
  </w:abstractNum>
  <w:abstractNum w:abstractNumId="36">
    <w:nsid w:val="5675FF36"/>
    <w:multiLevelType w:val="hybridMultilevel"/>
    <w:lvl w:ilvl="0">
      <w:lvlJc w:val="left"/>
      <w:lvlText w:val="(%1)"/>
      <w:numFmt w:val="lowerRoman"/>
      <w:start w:val="2"/>
    </w:lvl>
  </w:abstractNum>
  <w:abstractNum w:abstractNumId="37">
    <w:nsid w:val="3DD15094"/>
    <w:multiLevelType w:val="hybridMultilevel"/>
    <w:lvl w:ilvl="0">
      <w:lvlJc w:val="left"/>
      <w:lvlText w:val="(%1)"/>
      <w:numFmt w:val="lowerLetter"/>
      <w:start w:val="1"/>
    </w:lvl>
  </w:abstractNum>
  <w:abstractNum w:abstractNumId="38">
    <w:nsid w:val="3DB012B3"/>
    <w:multiLevelType w:val="hybridMultilevel"/>
    <w:lvl w:ilvl="0">
      <w:lvlJc w:val="left"/>
      <w:lvlText w:val="(%1)"/>
      <w:numFmt w:val="lowerLetter"/>
      <w:start w:val="26"/>
    </w:lvl>
  </w:abstractNum>
  <w:abstractNum w:abstractNumId="39">
    <w:nsid w:val="2708C9AF"/>
    <w:multiLevelType w:val="hybridMultilevel"/>
    <w:lvl w:ilvl="0">
      <w:lvlJc w:val="left"/>
      <w:lvlText w:val="(%1)"/>
      <w:numFmt w:val="lowerLetter"/>
      <w:start w:val="1"/>
    </w:lvl>
  </w:abstractNum>
  <w:abstractNum w:abstractNumId="40">
    <w:nsid w:val="5B25ACE2"/>
    <w:multiLevelType w:val="hybridMultilevel"/>
    <w:lvl w:ilvl="0">
      <w:lvlJc w:val="left"/>
      <w:lvlText w:val="(%1)"/>
      <w:numFmt w:val="lowerLetter"/>
      <w:start w:val="1"/>
    </w:lvl>
  </w:abstractNum>
  <w:abstractNum w:abstractNumId="41">
    <w:nsid w:val="175DFCF0"/>
    <w:multiLevelType w:val="hybridMultilevel"/>
    <w:lvl w:ilvl="0">
      <w:lvlJc w:val="left"/>
      <w:lvlText w:val="(%1)"/>
      <w:numFmt w:val="lowerLetter"/>
      <w:start w:val="3"/>
    </w:lvl>
  </w:abstractNum>
  <w:abstractNum w:abstractNumId="42">
    <w:nsid w:val="4F97E3E4"/>
    <w:multiLevelType w:val="hybridMultilevel"/>
    <w:lvl w:ilvl="0">
      <w:lvlJc w:val="left"/>
      <w:lvlText w:val="(%1)"/>
      <w:numFmt w:val="lowerLetter"/>
      <w:start w:val="1"/>
    </w:lvl>
  </w:abstractNum>
  <w:abstractNum w:abstractNumId="43">
    <w:nsid w:val="53B0A9E"/>
    <w:multiLevelType w:val="hybridMultilevel"/>
    <w:lvl w:ilvl="0">
      <w:lvlJc w:val="left"/>
      <w:lvlText w:val="(%1)"/>
      <w:numFmt w:val="lowerLetter"/>
      <w:start w:val="1"/>
    </w:lvl>
  </w:abstractNum>
  <w:abstractNum w:abstractNumId="44">
    <w:nsid w:val="34FD6B4F"/>
    <w:multiLevelType w:val="hybridMultilevel"/>
    <w:lvl w:ilvl="0">
      <w:lvlJc w:val="left"/>
      <w:lvlText w:val="(%1)"/>
      <w:numFmt w:val="lowerLetter"/>
      <w:start w:val="2"/>
    </w:lvl>
  </w:abstractNum>
  <w:abstractNum w:abstractNumId="45">
    <w:nsid w:val="5915FF32"/>
    <w:multiLevelType w:val="hybridMultilevel"/>
    <w:lvl w:ilvl="0">
      <w:lvlJc w:val="left"/>
      <w:lvlText w:val="(%1)"/>
      <w:numFmt w:val="lowerLetter"/>
      <w:start w:val="1"/>
    </w:lvl>
  </w:abstractNum>
  <w:abstractNum w:abstractNumId="46">
    <w:nsid w:val="56438D15"/>
    <w:multiLevelType w:val="hybridMultilevel"/>
    <w:lvl w:ilvl="0">
      <w:lvlJc w:val="left"/>
      <w:lvlText w:val="(%1)"/>
      <w:numFmt w:val="lowerLetter"/>
      <w:start w:val="1"/>
    </w:lvl>
  </w:abstractNum>
  <w:abstractNum w:abstractNumId="47">
    <w:nsid w:val="519E3149"/>
    <w:multiLevelType w:val="hybridMultilevel"/>
    <w:lvl w:ilvl="0">
      <w:lvlJc w:val="left"/>
      <w:lvlText w:val="(%1)"/>
      <w:numFmt w:val="lowerRoman"/>
      <w:start w:val="1"/>
    </w:lvl>
  </w:abstractNum>
  <w:abstractNum w:abstractNumId="48">
    <w:nsid w:val="2C6E4AFD"/>
    <w:multiLevelType w:val="hybridMultilevel"/>
    <w:lvl w:ilvl="0">
      <w:lvlJc w:val="left"/>
      <w:lvlText w:val="(%1)"/>
      <w:numFmt w:val="lowerRoman"/>
      <w:start w:val="3"/>
    </w:lvl>
  </w:abstractNum>
  <w:abstractNum w:abstractNumId="49">
    <w:nsid w:val="17A1B582"/>
    <w:multiLevelType w:val="hybridMultilevel"/>
    <w:lvl w:ilvl="0">
      <w:lvlJc w:val="left"/>
      <w:lvlText w:val="(%1)"/>
      <w:numFmt w:val="lowerLetter"/>
      <w:start w:val="1"/>
    </w:lvl>
  </w:abstractNum>
  <w:abstractNum w:abstractNumId="50">
    <w:nsid w:val="4DF72E4E"/>
    <w:multiLevelType w:val="hybridMultilevel"/>
    <w:lvl w:ilvl="0">
      <w:lvlJc w:val="left"/>
      <w:lvlText w:val="(%1)"/>
      <w:numFmt w:val="lowerLetter"/>
      <w:start w:val="3"/>
    </w:lvl>
  </w:abstractNum>
  <w:abstractNum w:abstractNumId="51">
    <w:nsid w:val="5046B5A9"/>
    <w:multiLevelType w:val="hybridMultilevel"/>
    <w:lvl w:ilvl="0">
      <w:lvlJc w:val="left"/>
      <w:lvlText w:val="(%1)"/>
      <w:numFmt w:val="lowerLetter"/>
      <w:start w:val="1"/>
    </w:lvl>
  </w:abstractNum>
  <w:abstractNum w:abstractNumId="52">
    <w:nsid w:val="5D888A08"/>
    <w:multiLevelType w:val="hybridMultilevel"/>
    <w:lvl w:ilvl="0">
      <w:lvlJc w:val="left"/>
      <w:lvlText w:val="(%1)"/>
      <w:numFmt w:val="lowerLetter"/>
      <w:start w:val="3"/>
    </w:lvl>
  </w:abstractNum>
  <w:abstractNum w:abstractNumId="53">
    <w:nsid w:val="2A082C70"/>
    <w:multiLevelType w:val="hybridMultilevel"/>
    <w:lvl w:ilvl="0">
      <w:lvlJc w:val="left"/>
      <w:lvlText w:val="(%1)"/>
      <w:numFmt w:val="lowerLetter"/>
      <w:start w:val="6"/>
    </w:lvl>
  </w:abstractNum>
  <w:abstractNum w:abstractNumId="54">
    <w:nsid w:val="5EC6AFD4"/>
    <w:multiLevelType w:val="hybridMultilevel"/>
    <w:lvl w:ilvl="0">
      <w:lvlJc w:val="left"/>
      <w:lvlText w:val="(%1)"/>
      <w:numFmt w:val="lowerLetter"/>
      <w:start w:val="8"/>
    </w:lvl>
  </w:abstractNum>
  <w:abstractNum w:abstractNumId="55">
    <w:nsid w:val="19E21BB2"/>
    <w:multiLevelType w:val="hybridMultilevel"/>
    <w:lvl w:ilvl="0">
      <w:lvlJc w:val="left"/>
      <w:lvlText w:val="(%1)"/>
      <w:numFmt w:val="lowerLetter"/>
      <w:start w:val="11"/>
    </w:lvl>
  </w:abstractNum>
  <w:abstractNum w:abstractNumId="56">
    <w:nsid w:val="75E0858A"/>
    <w:multiLevelType w:val="hybridMultilevel"/>
    <w:lvl w:ilvl="0">
      <w:lvlJc w:val="left"/>
      <w:lvlText w:val="(%1)"/>
      <w:numFmt w:val="lowerLetter"/>
      <w:start w:val="13"/>
    </w:lvl>
  </w:abstractNum>
  <w:abstractNum w:abstractNumId="57">
    <w:nsid w:val="57A61A29"/>
    <w:multiLevelType w:val="hybridMultilevel"/>
    <w:lvl w:ilvl="0">
      <w:lvlJc w:val="left"/>
      <w:lvlText w:val="(%1)"/>
      <w:numFmt w:val="lowerLetter"/>
      <w:start w:val="1"/>
    </w:lvl>
  </w:abstractNum>
  <w:abstractNum w:abstractNumId="58">
    <w:nsid w:val="5399C654"/>
    <w:multiLevelType w:val="hybridMultilevel"/>
    <w:lvl w:ilvl="0">
      <w:lvlJc w:val="left"/>
      <w:lvlText w:val="(%1)"/>
      <w:numFmt w:val="lowerLetter"/>
      <w:start w:val="2"/>
    </w:lvl>
  </w:abstractNum>
  <w:abstractNum w:abstractNumId="59">
    <w:nsid w:val="20EE1348"/>
    <w:multiLevelType w:val="hybridMultilevel"/>
    <w:lvl w:ilvl="0">
      <w:lvlJc w:val="left"/>
      <w:lvlText w:val="(%1)"/>
      <w:numFmt w:val="lowerLetter"/>
      <w:start w:val="1"/>
    </w:lvl>
  </w:abstractNum>
  <w:abstractNum w:abstractNumId="60">
    <w:nsid w:val="4427069A"/>
    <w:multiLevelType w:val="hybridMultilevel"/>
    <w:lvl w:ilvl="0">
      <w:lvlJc w:val="left"/>
      <w:lvlText w:val="%1"/>
      <w:numFmt w:val="lowerRoman"/>
      <w:start w:val="1"/>
    </w:lvl>
    <w:lvl w:ilvl="1">
      <w:lvlJc w:val="left"/>
      <w:lvlText w:val="(%2)"/>
      <w:numFmt w:val="lowerLetter"/>
      <w:start w:val="3"/>
    </w:lvl>
  </w:abstractNum>
  <w:abstractNum w:abstractNumId="61">
    <w:nsid w:val="B37E80A"/>
    <w:multiLevelType w:val="hybridMultilevel"/>
    <w:lvl w:ilvl="0">
      <w:lvlJc w:val="left"/>
      <w:lvlText w:val="(%1)"/>
      <w:numFmt w:val="lowerRoman"/>
      <w:start w:val="1"/>
    </w:lvl>
    <w:lvl w:ilvl="1">
      <w:lvlJc w:val="left"/>
      <w:lvlText w:val="%2"/>
      <w:numFmt w:val="lowerLetter"/>
      <w:start w:val="1"/>
    </w:lvl>
  </w:abstractNum>
  <w:abstractNum w:abstractNumId="62">
    <w:nsid w:val="2157F6BC"/>
    <w:multiLevelType w:val="hybridMultilevel"/>
    <w:lvl w:ilvl="0">
      <w:lvlJc w:val="left"/>
      <w:lvlText w:val="(%1)"/>
      <w:numFmt w:val="lowerLetter"/>
      <w:start w:val="4"/>
    </w:lvl>
  </w:abstractNum>
  <w:abstractNum w:abstractNumId="63">
    <w:nsid w:val="704E1DD5"/>
    <w:multiLevelType w:val="hybridMultilevel"/>
    <w:lvl w:ilvl="0">
      <w:lvlJc w:val="left"/>
      <w:lvlText w:val="(%1)"/>
      <w:numFmt w:val="lowerLetter"/>
      <w:start w:val="1"/>
    </w:lvl>
  </w:abstractNum>
  <w:abstractNum w:abstractNumId="64">
    <w:nsid w:val="57D2F10E"/>
    <w:multiLevelType w:val="hybridMultilevel"/>
    <w:lvl w:ilvl="0">
      <w:lvlJc w:val="left"/>
      <w:lvlText w:val="(%1)"/>
      <w:numFmt w:val="lowerLetter"/>
      <w:start w:val="1"/>
    </w:lvl>
  </w:abstractNum>
  <w:abstractNum w:abstractNumId="65">
    <w:nsid w:val="BFFAE18"/>
    <w:multiLevelType w:val="hybridMultilevel"/>
    <w:lvl w:ilvl="0">
      <w:lvlJc w:val="left"/>
      <w:lvlText w:val="(%1)"/>
      <w:numFmt w:val="lowerLetter"/>
      <w:start w:val="1"/>
    </w:lvl>
  </w:abstractNum>
  <w:abstractNum w:abstractNumId="66">
    <w:nsid w:val="E3E47A8"/>
    <w:multiLevelType w:val="hybridMultilevel"/>
    <w:lvl w:ilvl="0">
      <w:lvlJc w:val="left"/>
      <w:lvlText w:val="%1"/>
      <w:numFmt w:val="decimal"/>
      <w:start w:val="1"/>
    </w:lvl>
    <w:lvl w:ilvl="1">
      <w:lvlJc w:val="left"/>
      <w:lvlText w:val="(%2)"/>
      <w:numFmt w:val="lowerLetter"/>
      <w:start w:val="4"/>
    </w:lvl>
  </w:abstractNum>
  <w:abstractNum w:abstractNumId="67">
    <w:nsid w:val="2E48F044"/>
    <w:multiLevelType w:val="hybridMultilevel"/>
    <w:lvl w:ilvl="0">
      <w:lvlJc w:val="left"/>
      <w:lvlText w:val="(%1)"/>
      <w:numFmt w:val="decimal"/>
      <w:start w:val="1"/>
    </w:lvl>
    <w:lvl w:ilvl="1">
      <w:lvlJc w:val="left"/>
      <w:lvlText w:val="%2"/>
      <w:numFmt w:val="lowerLetter"/>
      <w:start w:val="1"/>
    </w:lvl>
  </w:abstractNum>
  <w:abstractNum w:abstractNumId="68">
    <w:nsid w:val="49D0FEAC"/>
    <w:multiLevelType w:val="hybridMultilevel"/>
    <w:lvl w:ilvl="0">
      <w:lvlJc w:val="left"/>
      <w:lvlText w:val="(%1)"/>
      <w:numFmt w:val="lowerLetter"/>
      <w:start w:val="1"/>
    </w:lvl>
  </w:abstractNum>
  <w:abstractNum w:abstractNumId="69">
    <w:nsid w:val="4BEE5A5B"/>
    <w:multiLevelType w:val="hybridMultilevel"/>
    <w:lvl w:ilvl="0">
      <w:lvlJc w:val="left"/>
      <w:lvlText w:val="(%1)"/>
      <w:numFmt w:val="lowerLetter"/>
      <w:start w:val="3"/>
    </w:lvl>
  </w:abstractNum>
  <w:abstractNum w:abstractNumId="70">
    <w:nsid w:val="5551B9F3"/>
    <w:multiLevelType w:val="hybridMultilevel"/>
    <w:lvl w:ilvl="0">
      <w:lvlJc w:val="left"/>
      <w:lvlText w:val="(%1)"/>
      <w:numFmt w:val="lowerLetter"/>
      <w:start w:val="1"/>
    </w:lvl>
  </w:abstractNum>
  <w:abstractNum w:abstractNumId="71">
    <w:nsid w:val="24F6AB8E"/>
    <w:multiLevelType w:val="hybridMultilevel"/>
    <w:lvl w:ilvl="0">
      <w:lvlJc w:val="left"/>
      <w:lvlText w:val="%1"/>
      <w:numFmt w:val="lowerRoman"/>
      <w:start w:val="1"/>
    </w:lvl>
    <w:lvl w:ilvl="1">
      <w:lvlJc w:val="left"/>
      <w:lvlText w:val="(%2)"/>
      <w:numFmt w:val="lowerLetter"/>
      <w:start w:val="4"/>
    </w:lvl>
  </w:abstractNum>
  <w:abstractNum w:abstractNumId="72">
    <w:nsid w:val="634C574C"/>
    <w:multiLevelType w:val="hybridMultilevel"/>
    <w:lvl w:ilvl="0">
      <w:lvlJc w:val="left"/>
      <w:lvlText w:val="(%1)"/>
      <w:numFmt w:val="lowerRoman"/>
      <w:start w:val="1"/>
    </w:lvl>
    <w:lvl w:ilvl="1">
      <w:lvlJc w:val="left"/>
      <w:lvlText w:val="%2"/>
      <w:numFmt w:val="lowerLetter"/>
      <w:start w:val="1"/>
    </w:lvl>
  </w:abstractNum>
  <w:abstractNum w:abstractNumId="73">
    <w:nsid w:val="24E99DD7"/>
    <w:multiLevelType w:val="hybridMultilevel"/>
    <w:lvl w:ilvl="0">
      <w:lvlJc w:val="left"/>
      <w:lvlText w:val="(%1)"/>
      <w:numFmt w:val="lowerLetter"/>
      <w:start w:val="1"/>
    </w:lvl>
  </w:abstractNum>
  <w:abstractNum w:abstractNumId="74">
    <w:nsid w:val="2A31B62D"/>
    <w:multiLevelType w:val="hybridMultilevel"/>
    <w:lvl w:ilvl="0">
      <w:lvlJc w:val="left"/>
      <w:lvlText w:val="(%1)"/>
      <w:numFmt w:val="lowerLetter"/>
      <w:start w:val="2"/>
    </w:lvl>
    <w:lvl w:ilvl="1">
      <w:lvlJc w:val="left"/>
      <w:lvlText w:val="(%2)"/>
      <w:numFmt w:val="lowerLetter"/>
      <w:start w:val="35"/>
    </w:lvl>
  </w:abstractNum>
  <w:abstractNum w:abstractNumId="75">
    <w:nsid w:val="1849C29B"/>
    <w:multiLevelType w:val="hybridMultilevel"/>
    <w:lvl w:ilvl="0">
      <w:lvlJc w:val="left"/>
      <w:lvlText w:val="(%1)"/>
      <w:numFmt w:val="lowerLetter"/>
      <w:start w:val="7"/>
    </w:lvl>
    <w:lvl w:ilvl="1">
      <w:lvlJc w:val="left"/>
      <w:lvlText w:val="(%2)"/>
      <w:numFmt w:val="upperLetter"/>
      <w:start w:val="1"/>
    </w:lvl>
    <w:lvl w:ilvl="2">
      <w:lvlJc w:val="left"/>
      <w:lvlText w:val="(%3)"/>
      <w:numFmt w:val="lowerLetter"/>
      <w:start w:val="9"/>
    </w:lvl>
  </w:abstractNum>
  <w:abstractNum w:abstractNumId="76">
    <w:nsid w:val="7DFF9D0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77">
    <w:nsid w:val="754342"/>
    <w:multiLevelType w:val="hybridMultilevel"/>
    <w:lvl w:ilvl="0">
      <w:lvlJc w:val="left"/>
      <w:lvlText w:val="(%1)"/>
      <w:numFmt w:val="lowerLetter"/>
      <w:start w:val="8"/>
    </w:lvl>
    <w:lvl w:ilvl="1">
      <w:lvlJc w:val="left"/>
      <w:lvlText w:val="%2"/>
      <w:numFmt w:val="upperLetter"/>
      <w:start w:val="1"/>
    </w:lvl>
    <w:lvl w:ilvl="2">
      <w:lvlJc w:val="left"/>
      <w:lvlText w:val="%3"/>
      <w:numFmt w:val="lowerLetter"/>
      <w:start w:val="1"/>
    </w:lvl>
  </w:abstractNum>
  <w:abstractNum w:abstractNumId="78">
    <w:nsid w:val="69E7F3E5"/>
    <w:multiLevelType w:val="hybridMultilevel"/>
    <w:lvl w:ilvl="0">
      <w:lvlJc w:val="left"/>
      <w:lvlText w:val="(%1)"/>
      <w:numFmt w:val="lowerLetter"/>
      <w:start w:val="1"/>
    </w:lvl>
  </w:abstractNum>
  <w:abstractNum w:abstractNumId="79">
    <w:nsid w:val="2A6DE806"/>
    <w:multiLevelType w:val="hybridMultilevel"/>
    <w:lvl w:ilvl="0">
      <w:lvlJc w:val="left"/>
      <w:lvlText w:val="(%1)"/>
      <w:numFmt w:val="lowerRoman"/>
      <w:start w:val="1"/>
    </w:lvl>
  </w:abstractNum>
  <w:abstractNum w:abstractNumId="80">
    <w:nsid w:val="1816F8C4"/>
    <w:multiLevelType w:val="hybridMultilevel"/>
    <w:lvl w:ilvl="0">
      <w:lvlJc w:val="left"/>
      <w:lvlText w:val="(%1)"/>
      <w:numFmt w:val="lowerLetter"/>
      <w:start w:val="2"/>
    </w:lvl>
  </w:abstractNum>
  <w:abstractNum w:abstractNumId="81">
    <w:nsid w:val="37DF2233"/>
    <w:multiLevelType w:val="hybridMultilevel"/>
    <w:lvl w:ilvl="0">
      <w:lvlJc w:val="left"/>
      <w:lvlText w:val="(%1)"/>
      <w:numFmt w:val="lowerLetter"/>
      <w:start w:val="3"/>
    </w:lvl>
  </w:abstractNum>
  <w:abstractNum w:abstractNumId="82">
    <w:nsid w:val="7AB49DAF"/>
    <w:multiLevelType w:val="hybridMultilevel"/>
    <w:lvl w:ilvl="0">
      <w:lvlJc w:val="left"/>
      <w:lvlText w:val="(%1)"/>
      <w:numFmt w:val="lowerLetter"/>
      <w:start w:val="1"/>
    </w:lvl>
  </w:abstractNum>
  <w:abstractNum w:abstractNumId="83">
    <w:nsid w:val="759F82CD"/>
    <w:multiLevelType w:val="hybridMultilevel"/>
    <w:lvl w:ilvl="0">
      <w:lvlJc w:val="left"/>
      <w:lvlText w:val="(%1)"/>
      <w:numFmt w:val="lowerLetter"/>
      <w:start w:val="4"/>
    </w:lvl>
  </w:abstractNum>
  <w:abstractNum w:abstractNumId="84">
    <w:nsid w:val="61E74EA3"/>
    <w:multiLevelType w:val="hybridMultilevel"/>
    <w:lvl w:ilvl="0">
      <w:lvlJc w:val="left"/>
      <w:lvlText w:val="%1"/>
      <w:numFmt w:val="lowerRoman"/>
      <w:start w:val="1"/>
    </w:lvl>
    <w:lvl w:ilvl="1">
      <w:lvlJc w:val="left"/>
      <w:lvlText w:val="(%2)"/>
      <w:numFmt w:val="decimal"/>
      <w:start w:val="2"/>
    </w:lvl>
  </w:abstractNum>
  <w:abstractNum w:abstractNumId="85">
    <w:nsid w:val="597B4D84"/>
    <w:multiLevelType w:val="hybridMultilevel"/>
    <w:lvl w:ilvl="0">
      <w:lvlJc w:val="left"/>
      <w:lvlText w:val="(%1)"/>
      <w:numFmt w:val="lowerRoman"/>
      <w:start w:val="1"/>
    </w:lvl>
    <w:lvl w:ilvl="1">
      <w:lvlJc w:val="left"/>
      <w:lvlText w:val="%2"/>
      <w:numFmt w:val="decimal"/>
      <w:start w:val="1"/>
    </w:lvl>
  </w:abstractNum>
  <w:abstractNum w:abstractNumId="86">
    <w:nsid w:val="F819E7F"/>
    <w:multiLevelType w:val="hybridMultilevel"/>
    <w:lvl w:ilvl="0">
      <w:lvlJc w:val="left"/>
      <w:lvlText w:val="(%1)"/>
      <w:numFmt w:val="lowerRoman"/>
      <w:start w:val="2"/>
    </w:lvl>
    <w:lvl w:ilvl="1">
      <w:lvlJc w:val="left"/>
      <w:lvlText w:val="(%2)"/>
      <w:numFmt w:val="upperLetter"/>
      <w:start w:val="1"/>
    </w:lvl>
  </w:abstractNum>
  <w:abstractNum w:abstractNumId="87">
    <w:nsid w:val="57C7D42D"/>
    <w:multiLevelType w:val="hybridMultilevel"/>
    <w:lvl w:ilvl="0">
      <w:lvlJc w:val="left"/>
      <w:lvlText w:val="(%1)"/>
      <w:numFmt w:val="decimal"/>
      <w:start w:val="3"/>
    </w:lvl>
    <w:lvl w:ilvl="1">
      <w:lvlJc w:val="left"/>
      <w:lvlText w:val="(%2)"/>
      <w:numFmt w:val="decimal"/>
      <w:start w:val="4"/>
    </w:lvl>
    <w:lvl w:ilvl="2">
      <w:lvlJc w:val="left"/>
      <w:lvlText w:val="(%3)"/>
      <w:numFmt w:val="lowerLetter"/>
      <w:start w:val="7"/>
    </w:lvl>
  </w:abstractNum>
  <w:abstractNum w:abstractNumId="88">
    <w:nsid w:val="312167AD"/>
    <w:multiLevelType w:val="hybridMultilevel"/>
    <w:lvl w:ilvl="0">
      <w:lvlJc w:val="left"/>
      <w:lvlText w:val="(%1)"/>
      <w:numFmt w:val="lowerLetter"/>
      <w:start w:val="1"/>
    </w:lvl>
  </w:abstractNum>
  <w:abstractNum w:abstractNumId="89">
    <w:nsid w:val="631B64D4"/>
    <w:multiLevelType w:val="hybridMultilevel"/>
    <w:lvl w:ilvl="0">
      <w:lvlJc w:val="left"/>
      <w:lvlText w:val="(%1)"/>
      <w:numFmt w:val="lowerLetter"/>
      <w:start w:val="2"/>
    </w:lvl>
  </w:abstractNum>
  <w:abstractNum w:abstractNumId="90">
    <w:nsid w:val="78B5E776"/>
    <w:multiLevelType w:val="hybridMultilevel"/>
    <w:lvl w:ilvl="0">
      <w:lvlJc w:val="left"/>
      <w:lvlText w:val="(%1)"/>
      <w:numFmt w:val="lowerLetter"/>
      <w:start w:val="5"/>
    </w:lvl>
  </w:abstractNum>
  <w:abstractNum w:abstractNumId="91">
    <w:nsid w:val="75486E47"/>
    <w:multiLevelType w:val="hybridMultilevel"/>
    <w:lvl w:ilvl="0">
      <w:lvlJc w:val="left"/>
      <w:lvlText w:val="(%1)"/>
      <w:numFmt w:val="lowerLetter"/>
      <w:start w:val="1"/>
    </w:lvl>
  </w:abstractNum>
  <w:abstractNum w:abstractNumId="92">
    <w:nsid w:val="6E534CDE"/>
    <w:multiLevelType w:val="hybridMultilevel"/>
    <w:lvl w:ilvl="0">
      <w:lvlJc w:val="left"/>
      <w:lvlText w:val="(%1)"/>
      <w:numFmt w:val="lowerLetter"/>
      <w:start w:val="3"/>
    </w:lvl>
  </w:abstractNum>
  <w:abstractNum w:abstractNumId="93">
    <w:nsid w:val="1A0DDE32"/>
    <w:multiLevelType w:val="hybridMultilevel"/>
    <w:lvl w:ilvl="0">
      <w:lvlJc w:val="left"/>
      <w:lvlText w:val="(%1)"/>
      <w:numFmt w:val="lowerLetter"/>
      <w:start w:val="4"/>
    </w:lvl>
  </w:abstractNum>
  <w:abstractNum w:abstractNumId="94">
    <w:nsid w:val="65968C1C"/>
    <w:multiLevelType w:val="hybridMultilevel"/>
    <w:lvl w:ilvl="0">
      <w:lvlJc w:val="left"/>
      <w:lvlText w:val="(%1)"/>
      <w:numFmt w:val="lowerLetter"/>
      <w:start w:val="7"/>
    </w:lvl>
  </w:abstractNum>
  <w:abstractNum w:abstractNumId="95">
    <w:nsid w:val="46263DEC"/>
    <w:multiLevelType w:val="hybridMultilevel"/>
    <w:lvl w:ilvl="0">
      <w:lvlJc w:val="left"/>
      <w:lvlText w:val="(%1)"/>
      <w:numFmt w:val="lowerLetter"/>
      <w:start w:val="1"/>
    </w:lvl>
  </w:abstractNum>
  <w:abstractNum w:abstractNumId="96">
    <w:nsid w:val="260D8C4A"/>
    <w:multiLevelType w:val="hybridMultilevel"/>
    <w:lvl w:ilvl="0">
      <w:lvlJc w:val="left"/>
      <w:lvlText w:val="%1"/>
      <w:numFmt w:val="lowerRoman"/>
      <w:start w:val="1"/>
    </w:lvl>
    <w:lvl w:ilvl="1">
      <w:lvlJc w:val="left"/>
      <w:lvlText w:val="(%2)"/>
      <w:numFmt w:val="lowerLetter"/>
      <w:start w:val="1"/>
    </w:lvl>
  </w:abstractNum>
  <w:abstractNum w:abstractNumId="97">
    <w:nsid w:val="73D4D3C4"/>
    <w:multiLevelType w:val="hybridMultilevel"/>
    <w:lvl w:ilvl="0">
      <w:lvlJc w:val="left"/>
      <w:lvlText w:val="(%1)"/>
      <w:numFmt w:val="lowerRoman"/>
      <w:start w:val="1"/>
    </w:lvl>
    <w:lvl w:ilvl="1">
      <w:lvlJc w:val="left"/>
      <w:lvlText w:val="%2"/>
      <w:numFmt w:val="lowerLetter"/>
      <w:start w:val="1"/>
    </w:lvl>
  </w:abstractNum>
  <w:abstractNum w:abstractNumId="98">
    <w:nsid w:val="746F2E30"/>
    <w:multiLevelType w:val="hybridMultilevel"/>
    <w:lvl w:ilvl="0">
      <w:lvlJc w:val="left"/>
      <w:lvlText w:val="(%1)"/>
      <w:numFmt w:val="lowerRoman"/>
      <w:start w:val="3"/>
    </w:lvl>
    <w:lvl w:ilvl="1">
      <w:lvlJc w:val="left"/>
      <w:lvlText w:val="(%2)"/>
      <w:numFmt w:val="lowerLetter"/>
      <w:start w:val="2"/>
    </w:lvl>
  </w:abstractNum>
  <w:abstractNum w:abstractNumId="99">
    <w:nsid w:val="6FDE8AF6"/>
    <w:multiLevelType w:val="hybridMultilevel"/>
    <w:lvl w:ilvl="0">
      <w:lvlJc w:val="left"/>
      <w:lvlText w:val="(%1)"/>
      <w:numFmt w:val="lowerLetter"/>
      <w:start w:val="1"/>
    </w:lvl>
  </w:abstractNum>
  <w:abstractNum w:abstractNumId="100">
    <w:nsid w:val="3FC32E20"/>
    <w:multiLevelType w:val="hybridMultilevel"/>
    <w:lvl w:ilvl="0">
      <w:lvlJc w:val="left"/>
      <w:lvlText w:val="(%1)"/>
      <w:numFmt w:val="lowerLetter"/>
      <w:start w:val="2"/>
    </w:lvl>
  </w:abstractNum>
  <w:abstractNum w:abstractNumId="101">
    <w:nsid w:val="49C0E823"/>
    <w:multiLevelType w:val="hybridMultilevel"/>
    <w:lvl w:ilvl="0">
      <w:lvlJc w:val="left"/>
      <w:lvlText w:val="(%1)"/>
      <w:numFmt w:val="lowerLetter"/>
      <w:start w:val="1"/>
    </w:lvl>
  </w:abstractNum>
  <w:abstractNum w:abstractNumId="102">
    <w:nsid w:val="14D53685"/>
    <w:multiLevelType w:val="hybridMultilevel"/>
    <w:lvl w:ilvl="0">
      <w:lvlJc w:val="left"/>
      <w:lvlText w:val="(%1)"/>
      <w:numFmt w:val="lowerLetter"/>
      <w:start w:val="1"/>
    </w:lvl>
  </w:abstractNum>
  <w:abstractNum w:abstractNumId="103">
    <w:nsid w:val="230F856C"/>
    <w:multiLevelType w:val="hybridMultilevel"/>
    <w:lvl w:ilvl="0">
      <w:lvlJc w:val="left"/>
      <w:lvlText w:val="(%1)"/>
      <w:numFmt w:val="lowerLetter"/>
      <w:start w:val="2"/>
    </w:lvl>
  </w:abstractNum>
  <w:abstractNum w:abstractNumId="104">
    <w:nsid w:val="6EAA85FB"/>
    <w:multiLevelType w:val="hybridMultilevel"/>
    <w:lvl w:ilvl="0">
      <w:lvlJc w:val="left"/>
      <w:lvlText w:val="(%1)"/>
      <w:numFmt w:val="lowerLetter"/>
      <w:start w:val="1"/>
    </w:lvl>
  </w:abstractNum>
  <w:abstractNum w:abstractNumId="105">
    <w:nsid w:val="3F06ECB2"/>
    <w:multiLevelType w:val="hybridMultilevel"/>
    <w:lvl w:ilvl="0">
      <w:lvlJc w:val="left"/>
      <w:lvlText w:val="(%1)"/>
      <w:numFmt w:val="lowerRoman"/>
      <w:start w:val="3"/>
    </w:lvl>
  </w:abstractNum>
  <w:abstractNum w:abstractNumId="106">
    <w:nsid w:val="3B594807"/>
    <w:multiLevelType w:val="hybridMultilevel"/>
    <w:lvl w:ilvl="0">
      <w:lvlJc w:val="left"/>
      <w:lvlText w:val="(%1)"/>
      <w:numFmt w:val="lowerLetter"/>
      <w:start w:val="1"/>
    </w:lvl>
  </w:abstractNum>
  <w:abstractNum w:abstractNumId="107">
    <w:nsid w:val="6CAA2304"/>
    <w:multiLevelType w:val="hybridMultilevel"/>
    <w:lvl w:ilvl="0">
      <w:lvlJc w:val="left"/>
      <w:lvlText w:val="(%1)"/>
      <w:numFmt w:val="lowerLetter"/>
      <w:start w:val="1"/>
    </w:lvl>
  </w:abstractNum>
  <w:abstractNum w:abstractNumId="108">
    <w:nsid w:val="3F7C2FF4"/>
    <w:multiLevelType w:val="hybridMultilevel"/>
    <w:lvl w:ilvl="0">
      <w:lvlJc w:val="left"/>
      <w:lvlText w:val="(%1)"/>
      <w:numFmt w:val="lowerLetter"/>
      <w:start w:val="8"/>
    </w:lvl>
  </w:abstractNum>
  <w:abstractNum w:abstractNumId="109">
    <w:nsid w:val="25413BEC"/>
    <w:multiLevelType w:val="hybridMultilevel"/>
    <w:lvl w:ilvl="0">
      <w:lvlJc w:val="left"/>
      <w:lvlText w:val="(%1)"/>
      <w:numFmt w:val="lowerLetter"/>
      <w:start w:val="1"/>
    </w:lvl>
  </w:abstractNum>
  <w:abstractNum w:abstractNumId="110">
    <w:nsid w:val="17180B0B"/>
    <w:multiLevelType w:val="hybridMultilevel"/>
    <w:lvl w:ilvl="0">
      <w:lvlJc w:val="left"/>
      <w:lvlText w:val="(%1)"/>
      <w:numFmt w:val="lowerLetter"/>
      <w:start w:val="1"/>
    </w:lvl>
  </w:abstractNum>
  <w:abstractNum w:abstractNumId="111">
    <w:nsid w:val="579328B9"/>
    <w:multiLevelType w:val="hybridMultilevel"/>
    <w:lvl w:ilvl="0">
      <w:lvlJc w:val="left"/>
      <w:lvlText w:val="(%1)"/>
      <w:numFmt w:val="lowerLetter"/>
      <w:start w:val="4"/>
    </w:lvl>
  </w:abstractNum>
  <w:abstractNum w:abstractNumId="112">
    <w:nsid w:val="5D205E20"/>
    <w:multiLevelType w:val="hybridMultilevel"/>
    <w:lvl w:ilvl="0">
      <w:lvlJc w:val="left"/>
      <w:lvlText w:val="(%1)"/>
      <w:numFmt w:val="lowerLetter"/>
      <w:start w:val="1"/>
    </w:lvl>
  </w:abstractNum>
  <w:abstractNum w:abstractNumId="113">
    <w:nsid w:val="11CCA8BA"/>
    <w:multiLevelType w:val="hybridMultilevel"/>
    <w:lvl w:ilvl="0">
      <w:lvlJc w:val="left"/>
      <w:lvlText w:val="(%1)"/>
      <w:numFmt w:val="lowerLetter"/>
      <w:start w:val="1"/>
    </w:lvl>
  </w:abstractNum>
  <w:abstractNum w:abstractNumId="114">
    <w:nsid w:val="4D32AB86"/>
    <w:multiLevelType w:val="hybridMultilevel"/>
    <w:lvl w:ilvl="0">
      <w:lvlJc w:val="left"/>
      <w:lvlText w:val="(%1)"/>
      <w:numFmt w:val="lowerLetter"/>
      <w:start w:val="1"/>
    </w:lvl>
  </w:abstractNum>
  <w:abstractNum w:abstractNumId="115">
    <w:nsid w:val="3F07ACC3"/>
    <w:multiLevelType w:val="hybridMultilevel"/>
    <w:lvl w:ilvl="0">
      <w:lvlJc w:val="left"/>
      <w:lvlText w:val="(%1)"/>
      <w:numFmt w:val="lowerLetter"/>
      <w:start w:val="1"/>
    </w:lvl>
  </w:abstractNum>
  <w:abstractNum w:abstractNumId="116">
    <w:nsid w:val="6B47F63E"/>
    <w:multiLevelType w:val="hybridMultilevel"/>
    <w:lvl w:ilvl="0">
      <w:lvlJc w:val="left"/>
      <w:lvlText w:val="(%1)"/>
      <w:numFmt w:val="lowerLetter"/>
      <w:start w:val="2"/>
    </w:lvl>
  </w:abstractNum>
  <w:abstractNum w:abstractNumId="117">
    <w:nsid w:val="5CB44A05"/>
    <w:multiLevelType w:val="hybridMultilevel"/>
    <w:lvl w:ilvl="0">
      <w:lvlJc w:val="left"/>
      <w:lvlText w:val="(%1)"/>
      <w:numFmt w:val="lowerLetter"/>
      <w:start w:val="1"/>
    </w:lvl>
  </w:abstractNum>
  <w:abstractNum w:abstractNumId="118">
    <w:nsid w:val="16CF80F1"/>
    <w:multiLevelType w:val="hybridMultilevel"/>
    <w:lvl w:ilvl="0">
      <w:lvlJc w:val="left"/>
      <w:lvlText w:val="(%1)"/>
      <w:numFmt w:val="lowerLetter"/>
      <w:start w:val="1"/>
    </w:lvl>
  </w:abstractNum>
  <w:abstractNum w:abstractNumId="119">
    <w:nsid w:val="1C695DEC"/>
    <w:multiLevelType w:val="hybridMultilevel"/>
    <w:lvl w:ilvl="0">
      <w:lvlJc w:val="left"/>
      <w:lvlText w:val="(%1)"/>
      <w:numFmt w:val="lowerRoman"/>
      <w:start w:val="1"/>
    </w:lvl>
  </w:abstractNum>
  <w:abstractNum w:abstractNumId="120">
    <w:nsid w:val="3FCFAED9"/>
    <w:multiLevelType w:val="hybridMultilevel"/>
    <w:lvl w:ilvl="0">
      <w:lvlJc w:val="left"/>
      <w:lvlText w:val="(%1)"/>
      <w:numFmt w:val="lowerRoman"/>
      <w:start w:val="2"/>
    </w:lvl>
  </w:abstractNum>
  <w:abstractNum w:abstractNumId="121">
    <w:nsid w:val="F856867"/>
    <w:multiLevelType w:val="hybridMultilevel"/>
    <w:lvl w:ilvl="0">
      <w:lvlJc w:val="left"/>
      <w:lvlText w:val="%1"/>
      <w:numFmt w:val="lowerRoman"/>
      <w:start w:val="1"/>
    </w:lvl>
    <w:lvl w:ilvl="1">
      <w:lvlJc w:val="left"/>
      <w:lvlText w:val="(%2)"/>
      <w:numFmt w:val="lowerRoman"/>
      <w:start w:val="8"/>
    </w:lvl>
  </w:abstractNum>
  <w:abstractNum w:abstractNumId="122">
    <w:nsid w:val="11B1CC33"/>
    <w:multiLevelType w:val="hybridMultilevel"/>
    <w:lvl w:ilvl="0">
      <w:lvlJc w:val="left"/>
      <w:lvlText w:val="(%1)"/>
      <w:numFmt w:val="lowerRoman"/>
      <w:start w:val="15"/>
    </w:lvl>
    <w:lvl w:ilvl="1">
      <w:lvlJc w:val="left"/>
      <w:lvlText w:val="(%2)"/>
      <w:numFmt w:val="lowerRoman"/>
      <w:start w:val="9"/>
    </w:lvl>
  </w:abstractNum>
  <w:abstractNum w:abstractNumId="123">
    <w:nsid w:val="2E22FBB7"/>
    <w:multiLevelType w:val="hybridMultilevel"/>
    <w:lvl w:ilvl="0">
      <w:lvlJc w:val="left"/>
      <w:lvlText w:val="(%1)"/>
      <w:numFmt w:val="lowerRoman"/>
      <w:start w:val="10"/>
    </w:lvl>
  </w:abstractNum>
  <w:abstractNum w:abstractNumId="124">
    <w:nsid w:val="29934699"/>
    <w:multiLevelType w:val="hybridMultilevel"/>
    <w:lvl w:ilvl="0">
      <w:lvlJc w:val="left"/>
      <w:lvlText w:val="(%1)"/>
      <w:numFmt w:val="lowerRoman"/>
      <w:start w:val="13"/>
    </w:lvl>
  </w:abstractNum>
  <w:abstractNum w:abstractNumId="125">
    <w:nsid w:val="77485850"/>
    <w:multiLevelType w:val="hybridMultilevel"/>
    <w:lvl w:ilvl="0">
      <w:lvlJc w:val="left"/>
      <w:lvlText w:val="(%1)"/>
      <w:numFmt w:val="lowerRoman"/>
      <w:start w:val="16"/>
    </w:lvl>
  </w:abstractNum>
  <w:abstractNum w:abstractNumId="126">
    <w:nsid w:val="744939A3"/>
    <w:multiLevelType w:val="hybridMultilevel"/>
    <w:lvl w:ilvl="0">
      <w:lvlJc w:val="left"/>
      <w:lvlText w:val="%1"/>
      <w:numFmt w:val="lowerRoman"/>
      <w:start w:val="1"/>
    </w:lvl>
    <w:lvl w:ilvl="1">
      <w:lvlJc w:val="left"/>
      <w:lvlText w:val="(%2)"/>
      <w:numFmt w:val="lowerRoman"/>
      <w:start w:val="24"/>
    </w:lvl>
    <w:lvl w:ilvl="2">
      <w:lvlJc w:val="left"/>
      <w:lvlText w:val="%3"/>
      <w:numFmt w:val="lowerLetter"/>
      <w:start w:val="1"/>
    </w:lvl>
  </w:abstractNum>
  <w:abstractNum w:abstractNumId="127">
    <w:nsid w:val="4FA0D2E3"/>
    <w:multiLevelType w:val="hybridMultilevel"/>
    <w:lvl w:ilvl="0">
      <w:lvlJc w:val="left"/>
      <w:lvlText w:val="(%1)"/>
      <w:numFmt w:val="lowerRoman"/>
      <w:start w:val="28"/>
    </w:lvl>
    <w:lvl w:ilvl="1">
      <w:lvlJc w:val="left"/>
      <w:lvlText w:val="(%2)"/>
      <w:numFmt w:val="lowerRoman"/>
      <w:start w:val="29"/>
    </w:lvl>
    <w:lvl w:ilvl="2">
      <w:lvlJc w:val="left"/>
      <w:lvlText w:val="(%3)"/>
      <w:numFmt w:val="lowerLetter"/>
      <w:start w:val="2"/>
    </w:lvl>
  </w:abstractNum>
  <w:abstractNum w:abstractNumId="128">
    <w:nsid w:val="6B1D2C14"/>
    <w:multiLevelType w:val="hybridMultilevel"/>
    <w:lvl w:ilvl="0">
      <w:lvlJc w:val="left"/>
      <w:lvlText w:val="(%1)"/>
      <w:numFmt w:val="lowerRoman"/>
      <w:start w:val="1"/>
    </w:lvl>
  </w:abstractNum>
  <w:abstractNum w:abstractNumId="129">
    <w:nsid w:val="68B867D3"/>
    <w:multiLevelType w:val="hybridMultilevel"/>
    <w:lvl w:ilvl="0">
      <w:lvlJc w:val="left"/>
      <w:lvlText w:val="%1"/>
      <w:numFmt w:val="lowerRoman"/>
      <w:start w:val="1"/>
    </w:lvl>
    <w:lvl w:ilvl="1">
      <w:lvlJc w:val="left"/>
      <w:lvlText w:val="(%2)"/>
      <w:numFmt w:val="lowerRoman"/>
      <w:start w:val="2"/>
    </w:lvl>
  </w:abstractNum>
  <w:abstractNum w:abstractNumId="130">
    <w:nsid w:val="3F7F5DD9"/>
    <w:multiLevelType w:val="hybridMultilevel"/>
    <w:lvl w:ilvl="0">
      <w:lvlJc w:val="left"/>
      <w:lvlText w:val="(%1)"/>
      <w:numFmt w:val="lowerRoman"/>
      <w:start w:val="9"/>
    </w:lvl>
    <w:lvl w:ilvl="1">
      <w:lvlJc w:val="left"/>
      <w:lvlText w:val="%2"/>
      <w:numFmt w:val="lowerRoman"/>
      <w:start w:val="1"/>
    </w:lvl>
  </w:abstractNum>
  <w:abstractNum w:abstractNumId="131">
    <w:nsid w:val="2AE05A34"/>
    <w:multiLevelType w:val="hybridMultilevel"/>
    <w:lvl w:ilvl="0">
      <w:lvlJc w:val="left"/>
      <w:lvlText w:val="(%1)"/>
      <w:numFmt w:val="lowerRoman"/>
      <w:start w:val="10"/>
    </w:lvl>
  </w:abstractNum>
  <w:abstractNum w:abstractNumId="132">
    <w:nsid w:val="32794FF7"/>
    <w:multiLevelType w:val="hybridMultilevel"/>
    <w:lvl w:ilvl="0">
      <w:lvlJc w:val="left"/>
      <w:lvlText w:val="(%1)"/>
      <w:numFmt w:val="lowerRoman"/>
      <w:start w:val="24"/>
    </w:lvl>
  </w:abstractNum>
  <w:abstractNum w:abstractNumId="133">
    <w:nsid w:val="5454945E"/>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134">
    <w:nsid w:val="4DEFDFA0"/>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135">
    <w:nsid w:val="2123D5F2"/>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136">
    <w:nsid w:val="135B8110"/>
    <w:multiLevelType w:val="hybridMultilevel"/>
    <w:lvl w:ilvl="0">
      <w:lvlJc w:val="left"/>
      <w:lvlText w:val="%1"/>
      <w:numFmt w:val="lowerLetter"/>
      <w:start w:val="1"/>
    </w:lvl>
    <w:lvl w:ilvl="1">
      <w:lvlJc w:val="left"/>
      <w:lvlText w:val="(%2)"/>
      <w:numFmt w:val="lowerRoman"/>
      <w:start w:val="4"/>
    </w:lvl>
  </w:abstractNum>
  <w:abstractNum w:abstractNumId="137">
    <w:nsid w:val="94927A8"/>
    <w:multiLevelType w:val="hybridMultilevel"/>
    <w:lvl w:ilvl="0">
      <w:lvlJc w:val="left"/>
      <w:lvlText w:val="(%1)"/>
      <w:numFmt w:val="lowerLetter"/>
      <w:start w:val="25"/>
    </w:lvl>
    <w:lvl w:ilvl="1">
      <w:lvlJc w:val="left"/>
      <w:lvlText w:val="(%2)"/>
      <w:numFmt w:val="lowerRoman"/>
      <w:start w:val="5"/>
    </w:lvl>
  </w:abstractNum>
  <w:abstractNum w:abstractNumId="138">
    <w:nsid w:val="DCDF8F6"/>
    <w:multiLevelType w:val="hybridMultilevel"/>
    <w:lvl w:ilvl="0">
      <w:lvlJc w:val="left"/>
      <w:lvlText w:val="%1"/>
      <w:numFmt w:val="lowerLetter"/>
      <w:start w:val="1"/>
    </w:lvl>
    <w:lvl w:ilvl="1">
      <w:lvlJc w:val="left"/>
      <w:lvlText w:val="(%2)"/>
      <w:numFmt w:val="lowerLetter"/>
      <w:start w:val="1"/>
    </w:lvl>
  </w:abstractNum>
  <w:abstractNum w:abstractNumId="139">
    <w:nsid w:val="52D7B105"/>
    <w:multiLevelType w:val="hybridMultilevel"/>
    <w:lvl w:ilvl="0">
      <w:lvlJc w:val="left"/>
      <w:lvlText w:val="(%1)"/>
      <w:numFmt w:val="lowerLetter"/>
      <w:start w:val="61"/>
    </w:lvl>
    <w:lvl w:ilvl="1">
      <w:lvlJc w:val="left"/>
      <w:lvlText w:val="%2"/>
      <w:numFmt w:val="lowerLetter"/>
      <w:start w:val="1"/>
    </w:lvl>
  </w:abstractNum>
  <w:abstractNum w:abstractNumId="140">
    <w:nsid w:val="2E8A6394"/>
    <w:multiLevelType w:val="hybridMultilevel"/>
    <w:lvl w:ilvl="0">
      <w:lvlJc w:val="left"/>
      <w:lvlText w:val="(%1)"/>
      <w:numFmt w:val="lowerLetter"/>
      <w:start w:val="3"/>
    </w:lvl>
  </w:abstractNum>
  <w:abstractNum w:abstractNumId="141">
    <w:nsid w:val="24E60401"/>
    <w:multiLevelType w:val="hybridMultilevel"/>
    <w:lvl w:ilvl="0">
      <w:lvlJc w:val="left"/>
      <w:lvlText w:val="%1"/>
      <w:numFmt w:val="upperLetter"/>
      <w:start w:val="1"/>
    </w:lvl>
    <w:lvl w:ilvl="1">
      <w:lvlJc w:val="left"/>
      <w:lvlText w:val="(%2)"/>
      <w:numFmt w:val="lowerLetter"/>
      <w:start w:val="16"/>
    </w:lvl>
  </w:abstractNum>
  <w:abstractNum w:abstractNumId="142">
    <w:nsid w:val="2A6AD9BE"/>
    <w:multiLevelType w:val="hybridMultilevel"/>
    <w:lvl w:ilvl="0">
      <w:lvlJc w:val="left"/>
      <w:lvlText w:val="(%1)"/>
      <w:numFmt w:val="upperLetter"/>
      <w:start w:val="2"/>
    </w:lvl>
    <w:lvl w:ilvl="1">
      <w:lvlJc w:val="left"/>
      <w:lvlText w:val="(%2)"/>
      <w:numFmt w:val="lowerLetter"/>
      <w:start w:val="19"/>
    </w:lvl>
  </w:abstractNum>
  <w:abstractNum w:abstractNumId="143">
    <w:nsid w:val="BAAC1B4"/>
    <w:multiLevelType w:val="hybridMultilevel"/>
    <w:lvl w:ilvl="0">
      <w:lvlJc w:val="left"/>
      <w:lvlText w:val="(%1)"/>
      <w:numFmt w:val="lowerLetter"/>
      <w:start w:val="27"/>
    </w:lvl>
  </w:abstractNum>
  <w:abstractNum w:abstractNumId="144">
    <w:nsid w:val="36B2ACBC"/>
    <w:multiLevelType w:val="hybridMultilevel"/>
    <w:lvl w:ilvl="0">
      <w:lvlJc w:val="left"/>
      <w:lvlText w:val="(%1)"/>
      <w:numFmt w:val="lowerLetter"/>
      <w:start w:val="1"/>
    </w:lvl>
  </w:abstractNum>
  <w:abstractNum w:abstractNumId="145">
    <w:nsid w:val="779D8544"/>
    <w:multiLevelType w:val="hybridMultilevel"/>
    <w:lvl w:ilvl="0">
      <w:lvlJc w:val="left"/>
      <w:lvlText w:val="(%1)"/>
      <w:numFmt w:val="lowerLetter"/>
      <w:start w:val="11"/>
    </w:lvl>
  </w:abstractNum>
  <w:abstractNum w:abstractNumId="146">
    <w:nsid w:val="4AB26E78"/>
    <w:multiLevelType w:val="hybridMultilevel"/>
    <w:lvl w:ilvl="0">
      <w:lvlJc w:val="left"/>
      <w:lvlText w:val="(%1)"/>
      <w:numFmt w:val="lowerLetter"/>
      <w:start w:val="17"/>
    </w:lvl>
  </w:abstractNum>
  <w:abstractNum w:abstractNumId="147">
    <w:nsid w:val="21FAA2FA"/>
    <w:multiLevelType w:val="hybridMultilevel"/>
    <w:lvl w:ilvl="0">
      <w:lvlJc w:val="left"/>
      <w:lvlText w:val="%1"/>
      <w:numFmt w:val="lowerRoman"/>
      <w:start w:val="1"/>
    </w:lvl>
    <w:lvl w:ilvl="1">
      <w:lvlJc w:val="left"/>
      <w:lvlText w:val="(%2)"/>
      <w:numFmt w:val="lowerLetter"/>
      <w:start w:val="1"/>
    </w:lvl>
  </w:abstractNum>
  <w:abstractNum w:abstractNumId="148">
    <w:nsid w:val="5451CF49"/>
    <w:multiLevelType w:val="hybridMultilevel"/>
    <w:lvl w:ilvl="0">
      <w:lvlJc w:val="left"/>
      <w:lvlText w:val="(%1)"/>
      <w:numFmt w:val="lowerRoman"/>
      <w:start w:val="1"/>
    </w:lvl>
    <w:lvl w:ilvl="1">
      <w:lvlJc w:val="left"/>
      <w:lvlText w:val="%2"/>
      <w:numFmt w:val="lowerLetter"/>
      <w:start w:val="1"/>
    </w:lvl>
  </w:abstractNum>
  <w:abstractNum w:abstractNumId="149">
    <w:nsid w:val="6181EF69"/>
    <w:multiLevelType w:val="hybridMultilevel"/>
    <w:lvl w:ilvl="0">
      <w:lvlJc w:val="left"/>
      <w:lvlText w:val="(%1)"/>
      <w:numFmt w:val="lowerRoman"/>
      <w:start w:val="6"/>
    </w:lvl>
    <w:lvl w:ilvl="1">
      <w:lvlJc w:val="left"/>
      <w:lvlText w:val="(%2)"/>
      <w:numFmt w:val="upperLetter"/>
      <w:start w:val="1"/>
    </w:lvl>
  </w:abstractNum>
  <w:abstractNum w:abstractNumId="150">
    <w:nsid w:val="3E6400E6"/>
    <w:multiLevelType w:val="hybridMultilevel"/>
    <w:lvl w:ilvl="0">
      <w:lvlJc w:val="left"/>
      <w:lvlText w:val="%1"/>
      <w:numFmt w:val="lowerRoman"/>
      <w:start w:val="1"/>
    </w:lvl>
    <w:lvl w:ilvl="1">
      <w:lvlJc w:val="left"/>
      <w:lvlText w:val="(%2)"/>
      <w:numFmt w:val="upperLetter"/>
      <w:start w:val="3"/>
    </w:lvl>
  </w:abstractNum>
  <w:abstractNum w:abstractNumId="151">
    <w:nsid w:val="14217E23"/>
    <w:multiLevelType w:val="hybridMultilevel"/>
    <w:lvl w:ilvl="0">
      <w:lvlJc w:val="left"/>
      <w:lvlText w:val="(%1)"/>
      <w:numFmt w:val="lowerRoman"/>
      <w:start w:val="8"/>
    </w:lvl>
    <w:lvl w:ilvl="1">
      <w:lvlJc w:val="left"/>
      <w:lvlText w:val="%2"/>
      <w:numFmt w:val="upperLetter"/>
      <w:start w:val="1"/>
    </w:lvl>
  </w:abstractNum>
  <w:abstractNum w:abstractNumId="152">
    <w:nsid w:val="710757D0"/>
    <w:multiLevelType w:val="hybridMultilevel"/>
    <w:lvl w:ilvl="0">
      <w:lvlJc w:val="left"/>
      <w:lvlText w:val="(%1)"/>
      <w:numFmt w:val="lowerRoman"/>
      <w:start w:val="14"/>
    </w:lvl>
  </w:abstractNum>
  <w:abstractNum w:abstractNumId="153">
    <w:nsid w:val="5015CD1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154">
    <w:nsid w:val="424479D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55">
    <w:nsid w:val="1A9A9E69"/>
    <w:multiLevelType w:val="hybridMultilevel"/>
    <w:lvl w:ilvl="0">
      <w:lvlJc w:val="left"/>
      <w:lvlText w:val="(%1)"/>
      <w:numFmt w:val="decimal"/>
      <w:start w:val="2"/>
    </w:lvl>
    <w:lvl w:ilvl="1">
      <w:lvlJc w:val="left"/>
      <w:lvlText w:val="(%2)"/>
      <w:numFmt w:val="lowerRoman"/>
      <w:start w:val="5"/>
    </w:lvl>
    <w:lvl w:ilvl="2">
      <w:lvlJc w:val="left"/>
      <w:lvlText w:val="%3"/>
      <w:numFmt w:val="lowerLetter"/>
      <w:start w:val="1"/>
    </w:lvl>
  </w:abstractNum>
  <w:abstractNum w:abstractNumId="156">
    <w:nsid w:val="475E256A"/>
    <w:multiLevelType w:val="hybridMultilevel"/>
    <w:lvl w:ilvl="0">
      <w:lvlJc w:val="left"/>
      <w:lvlText w:val="%1"/>
      <w:numFmt w:val="lowerRoman"/>
      <w:start w:val="1"/>
    </w:lvl>
    <w:lvl w:ilvl="1">
      <w:lvlJc w:val="left"/>
      <w:lvlText w:val="(%2)"/>
      <w:numFmt w:val="lowerLetter"/>
      <w:start w:val="1"/>
    </w:lvl>
  </w:abstractNum>
  <w:abstractNum w:abstractNumId="157">
    <w:nsid w:val="368DB37E"/>
    <w:multiLevelType w:val="hybridMultilevel"/>
    <w:lvl w:ilvl="0">
      <w:lvlJc w:val="left"/>
      <w:lvlText w:val="(%1)"/>
      <w:numFmt w:val="lowerRoman"/>
      <w:start w:val="22"/>
    </w:lvl>
    <w:lvl w:ilvl="1">
      <w:lvlJc w:val="left"/>
      <w:lvlText w:val="(%2)"/>
      <w:numFmt w:val="lowerLetter"/>
      <w:start w:val="2"/>
    </w:lvl>
  </w:abstractNum>
  <w:abstractNum w:abstractNumId="158">
    <w:nsid w:val="6A3B714C"/>
    <w:multiLevelType w:val="hybridMultilevel"/>
    <w:lvl w:ilvl="0">
      <w:lvlJc w:val="left"/>
      <w:lvlText w:val="(%1)"/>
      <w:numFmt w:val="lowerLetter"/>
      <w:start w:val="3"/>
    </w:lvl>
  </w:abstractNum>
  <w:abstractNum w:abstractNumId="159">
    <w:nsid w:val="327B517E"/>
    <w:multiLevelType w:val="hybridMultilevel"/>
    <w:lvl w:ilvl="0">
      <w:lvlJc w:val="left"/>
      <w:lvlText w:val="(%1)"/>
      <w:numFmt w:val="lowerRoman"/>
      <w:start w:val="2"/>
    </w:lvl>
  </w:abstractNum>
  <w:abstractNum w:abstractNumId="160">
    <w:nsid w:val="1F461B51"/>
    <w:multiLevelType w:val="hybridMultilevel"/>
    <w:lvl w:ilvl="0">
      <w:lvlJc w:val="left"/>
      <w:lvlText w:val="(%1)"/>
      <w:numFmt w:val="lowerLetter"/>
      <w:start w:val="1"/>
    </w:lvl>
  </w:abstractNum>
  <w:abstractNum w:abstractNumId="161">
    <w:nsid w:val="29BACF25"/>
    <w:multiLevelType w:val="hybridMultilevel"/>
    <w:lvl w:ilvl="0">
      <w:lvlJc w:val="left"/>
      <w:lvlText w:val="%1"/>
      <w:numFmt w:val="lowerLetter"/>
      <w:start w:val="1"/>
    </w:lvl>
    <w:lvl w:ilvl="1">
      <w:lvlJc w:val="left"/>
      <w:lvlText w:val="(%2)"/>
      <w:numFmt w:val="lowerLetter"/>
      <w:start w:val="4"/>
    </w:lvl>
  </w:abstractNum>
  <w:abstractNum w:abstractNumId="162">
    <w:nsid w:val="5D5BABB3"/>
    <w:multiLevelType w:val="hybridMultilevel"/>
    <w:lvl w:ilvl="0">
      <w:lvlJc w:val="left"/>
      <w:lvlText w:val="(%1)"/>
      <w:numFmt w:val="lowerLetter"/>
      <w:start w:val="35"/>
    </w:lvl>
    <w:lvl w:ilvl="1">
      <w:lvlJc w:val="left"/>
      <w:lvlText w:val="(%2)"/>
      <w:numFmt w:val="lowerLetter"/>
      <w:start w:val="5"/>
    </w:lvl>
  </w:abstractNum>
  <w:abstractNum w:abstractNumId="163">
    <w:nsid w:val="51BF6B48"/>
    <w:multiLevelType w:val="hybridMultilevel"/>
    <w:lvl w:ilvl="0">
      <w:lvlJc w:val="left"/>
      <w:lvlText w:val="(%1)"/>
      <w:numFmt w:val="lowerLetter"/>
      <w:start w:val="9"/>
    </w:lvl>
  </w:abstractNum>
  <w:abstractNum w:abstractNumId="164">
    <w:nsid w:val="7E0F6384"/>
    <w:multiLevelType w:val="hybridMultilevel"/>
    <w:lvl w:ilvl="0">
      <w:lvlJc w:val="left"/>
      <w:lvlText w:val="%1"/>
      <w:numFmt w:val="lowerRoman"/>
      <w:start w:val="1"/>
    </w:lvl>
    <w:lvl w:ilvl="1">
      <w:lvlJc w:val="left"/>
      <w:lvlText w:val="(%2)"/>
      <w:numFmt w:val="lowerLetter"/>
      <w:start w:val="1"/>
    </w:lvl>
  </w:abstractNum>
  <w:abstractNum w:abstractNumId="165">
    <w:nsid w:val="2B4B8B53"/>
    <w:multiLevelType w:val="hybridMultilevel"/>
    <w:lvl w:ilvl="0">
      <w:lvlJc w:val="left"/>
      <w:lvlText w:val="(%1)"/>
      <w:numFmt w:val="lowerRoman"/>
      <w:start w:val="1"/>
    </w:lvl>
    <w:lvl w:ilvl="1">
      <w:lvlJc w:val="left"/>
      <w:lvlText w:val="%2"/>
      <w:numFmt w:val="lowerLetter"/>
      <w:start w:val="1"/>
    </w:lvl>
  </w:abstractNum>
  <w:abstractNum w:abstractNumId="166">
    <w:nsid w:val="72E3413A"/>
    <w:multiLevelType w:val="hybridMultilevel"/>
    <w:lvl w:ilvl="0">
      <w:lvlJc w:val="left"/>
      <w:lvlText w:val="(%1)"/>
      <w:numFmt w:val="lowerLetter"/>
      <w:start w:val="2"/>
    </w:lvl>
  </w:abstractNum>
  <w:abstractNum w:abstractNumId="167">
    <w:nsid w:val="116AE494"/>
    <w:multiLevelType w:val="hybridMultilevel"/>
    <w:lvl w:ilvl="0">
      <w:lvlJc w:val="left"/>
      <w:lvlText w:val="(%1)"/>
      <w:numFmt w:val="lowerLetter"/>
      <w:start w:val="1"/>
    </w:lvl>
  </w:abstractNum>
  <w:abstractNum w:abstractNumId="168">
    <w:nsid w:val="3494B2FB"/>
    <w:multiLevelType w:val="hybridMultilevel"/>
    <w:lvl w:ilvl="0">
      <w:lvlJc w:val="left"/>
      <w:lvlText w:val="(%1)"/>
      <w:numFmt w:val="lowerLetter"/>
      <w:start w:val="1"/>
    </w:lvl>
  </w:abstractNum>
  <w:abstractNum w:abstractNumId="169">
    <w:nsid w:val="B13A31"/>
    <w:multiLevelType w:val="hybridMultilevel"/>
    <w:lvl w:ilvl="0">
      <w:lvlJc w:val="left"/>
      <w:lvlText w:val="(%1)"/>
      <w:numFmt w:val="lowerLetter"/>
      <w:start w:val="5"/>
    </w:lvl>
  </w:abstractNum>
  <w:abstractNum w:abstractNumId="170">
    <w:nsid w:val="64429599"/>
    <w:multiLevelType w:val="hybridMultilevel"/>
    <w:lvl w:ilvl="0">
      <w:lvlJc w:val="left"/>
      <w:lvlText w:val="(%1)"/>
      <w:numFmt w:val="lowerLetter"/>
      <w:start w:val="1"/>
    </w:lvl>
  </w:abstractNum>
  <w:abstractNum w:abstractNumId="171">
    <w:nsid w:val="631F1690"/>
    <w:multiLevelType w:val="hybridMultilevel"/>
    <w:lvl w:ilvl="0">
      <w:lvlJc w:val="left"/>
      <w:lvlText w:val="(%1)"/>
      <w:numFmt w:val="lowerLetter"/>
      <w:start w:val="1"/>
    </w:lvl>
  </w:abstractNum>
  <w:abstractNum w:abstractNumId="172">
    <w:nsid w:val="25973E32"/>
    <w:multiLevelType w:val="hybridMultilevel"/>
    <w:lvl w:ilvl="0">
      <w:lvlJc w:val="left"/>
      <w:lvlText w:val="(%1)"/>
      <w:numFmt w:val="lowerRoman"/>
      <w:start w:val="1"/>
    </w:lvl>
  </w:abstractNum>
  <w:abstractNum w:abstractNumId="173">
    <w:nsid w:val="EAD6F57"/>
    <w:multiLevelType w:val="hybridMultilevel"/>
    <w:lvl w:ilvl="0">
      <w:lvlJc w:val="left"/>
      <w:lvlText w:val="(%1)"/>
      <w:numFmt w:val="lowerRoman"/>
      <w:start w:val="4"/>
    </w:lvl>
  </w:abstractNum>
  <w:abstractNum w:abstractNumId="174">
    <w:nsid w:val="6EC9D844"/>
    <w:multiLevelType w:val="hybridMultilevel"/>
    <w:lvl w:ilvl="0">
      <w:lvlJc w:val="left"/>
      <w:lvlText w:val="(%1)"/>
      <w:numFmt w:val="lowerLetter"/>
      <w:start w:val="2"/>
    </w:lvl>
  </w:abstractNum>
  <w:abstractNum w:abstractNumId="175">
    <w:nsid w:val="5C49EAEE"/>
    <w:multiLevelType w:val="hybridMultilevel"/>
    <w:lvl w:ilvl="0">
      <w:lvlJc w:val="left"/>
      <w:lvlText w:val="%1"/>
      <w:numFmt w:val="lowerRoman"/>
      <w:start w:val="1"/>
    </w:lvl>
    <w:lvl w:ilvl="1">
      <w:lvlJc w:val="left"/>
      <w:lvlText w:val="(%2)"/>
      <w:numFmt w:val="lowerLetter"/>
      <w:start w:val="1"/>
    </w:lvl>
  </w:abstractNum>
  <w:abstractNum w:abstractNumId="176">
    <w:nsid w:val="64AF49B"/>
    <w:multiLevelType w:val="hybridMultilevel"/>
    <w:lvl w:ilvl="0">
      <w:lvlJc w:val="left"/>
      <w:lvlText w:val="(%1)"/>
      <w:numFmt w:val="lowerRoman"/>
      <w:start w:val="1"/>
    </w:lvl>
    <w:lvl w:ilvl="1">
      <w:lvlJc w:val="left"/>
      <w:lvlText w:val="%2"/>
      <w:numFmt w:val="lowerLetter"/>
      <w:start w:val="1"/>
    </w:lvl>
  </w:abstractNum>
  <w:abstractNum w:abstractNumId="177">
    <w:nsid w:val="397C46BC"/>
    <w:multiLevelType w:val="hybridMultilevel"/>
    <w:lvl w:ilvl="0">
      <w:lvlJc w:val="left"/>
      <w:lvlText w:val="(%1)"/>
      <w:numFmt w:val="lowerLetter"/>
      <w:start w:val="2"/>
    </w:lvl>
  </w:abstractNum>
  <w:abstractNum w:abstractNumId="178">
    <w:nsid w:val="7E448DE9"/>
    <w:multiLevelType w:val="hybridMultilevel"/>
    <w:lvl w:ilvl="0">
      <w:lvlJc w:val="left"/>
      <w:lvlText w:val="(%1)"/>
      <w:numFmt w:val="lowerLetter"/>
      <w:start w:val="3"/>
    </w:lvl>
  </w:abstractNum>
  <w:abstractNum w:abstractNumId="179">
    <w:nsid w:val="5A9CC3E5"/>
    <w:multiLevelType w:val="hybridMultilevel"/>
    <w:lvl w:ilvl="0">
      <w:lvlJc w:val="left"/>
      <w:lvlText w:val="(%1)"/>
      <w:numFmt w:val="lowerLetter"/>
      <w:start w:val="1"/>
    </w:lvl>
  </w:abstractNum>
  <w:abstractNum w:abstractNumId="180">
    <w:nsid w:val="1AFE3625"/>
    <w:multiLevelType w:val="hybridMultilevel"/>
    <w:lvl w:ilvl="0">
      <w:lvlJc w:val="left"/>
      <w:lvlText w:val="(%1)"/>
      <w:numFmt w:val="lowerLetter"/>
      <w:start w:val="3"/>
    </w:lvl>
  </w:abstractNum>
  <w:abstractNum w:abstractNumId="181">
    <w:nsid w:val="3CA88ECF"/>
    <w:multiLevelType w:val="hybridMultilevel"/>
    <w:lvl w:ilvl="0">
      <w:lvlJc w:val="left"/>
      <w:lvlText w:val="(%1)"/>
      <w:numFmt w:val="lowerLetter"/>
      <w:start w:val="4"/>
    </w:lvl>
  </w:abstractNum>
  <w:abstractNum w:abstractNumId="182">
    <w:nsid w:val="6EBE4208"/>
    <w:multiLevelType w:val="hybridMultilevel"/>
    <w:lvl w:ilvl="0">
      <w:lvlJc w:val="left"/>
      <w:lvlText w:val="(%1)"/>
      <w:numFmt w:val="lowerLetter"/>
      <w:start w:val="1"/>
    </w:lvl>
  </w:abstractNum>
  <w:abstractNum w:abstractNumId="183">
    <w:nsid w:val="C058DF5"/>
    <w:multiLevelType w:val="hybridMultilevel"/>
    <w:lvl w:ilvl="0">
      <w:lvlJc w:val="left"/>
      <w:lvlText w:val="(%1)"/>
      <w:numFmt w:val="lowerLetter"/>
      <w:start w:val="26"/>
    </w:lvl>
    <w:lvl w:ilvl="1">
      <w:lvlJc w:val="left"/>
      <w:lvlText w:val="(%2)"/>
      <w:numFmt w:val="lowerLetter"/>
      <w:start w:val="3"/>
    </w:lvl>
  </w:abstractNum>
  <w:abstractNum w:abstractNumId="184">
    <w:nsid w:val="CBE5BE9"/>
    <w:multiLevelType w:val="hybridMultilevel"/>
    <w:lvl w:ilvl="0">
      <w:lvlJc w:val="left"/>
      <w:lvlText w:val="(%1)"/>
      <w:numFmt w:val="lowerLetter"/>
      <w:start w:val="5"/>
    </w:lvl>
  </w:abstractNum>
  <w:abstractNum w:abstractNumId="185">
    <w:nsid w:val="3102BBE2"/>
    <w:multiLevelType w:val="hybridMultilevel"/>
    <w:lvl w:ilvl="0">
      <w:lvlJc w:val="left"/>
      <w:lvlText w:val="(%1)"/>
      <w:numFmt w:val="lowerLetter"/>
      <w:start w:val="1"/>
    </w:lvl>
  </w:abstractNum>
  <w:abstractNum w:abstractNumId="186">
    <w:nsid w:val="26A02C5E"/>
    <w:multiLevelType w:val="hybridMultilevel"/>
    <w:lvl w:ilvl="0">
      <w:lvlJc w:val="left"/>
      <w:lvlText w:val="(%1)"/>
      <w:numFmt w:val="lowerRoman"/>
      <w:start w:val="2"/>
    </w:lvl>
  </w:abstractNum>
  <w:abstractNum w:abstractNumId="187">
    <w:nsid w:val="541C8153"/>
    <w:multiLevelType w:val="hybridMultilevel"/>
    <w:lvl w:ilvl="0">
      <w:lvlJc w:val="left"/>
      <w:lvlText w:val="(%1)"/>
      <w:numFmt w:val="lowerRoman"/>
      <w:start w:val="3"/>
    </w:lvl>
  </w:abstractNum>
  <w:abstractNum w:abstractNumId="188">
    <w:nsid w:val="67906F60"/>
    <w:multiLevelType w:val="hybridMultilevel"/>
    <w:lvl w:ilvl="0">
      <w:lvlJc w:val="left"/>
      <w:lvlText w:val="(%1)"/>
      <w:numFmt w:val="lowerLetter"/>
      <w:start w:val="3"/>
    </w:lvl>
  </w:abstractNum>
  <w:abstractNum w:abstractNumId="189">
    <w:nsid w:val="10DB9DAA"/>
    <w:multiLevelType w:val="hybridMultilevel"/>
    <w:lvl w:ilvl="0">
      <w:lvlJc w:val="left"/>
      <w:lvlText w:val="(%1)"/>
      <w:numFmt w:val="lowerRoman"/>
      <w:start w:val="2"/>
    </w:lvl>
  </w:abstractNum>
  <w:abstractNum w:abstractNumId="190">
    <w:nsid w:val="697D2D2"/>
    <w:multiLevelType w:val="hybridMultilevel"/>
    <w:lvl w:ilvl="0">
      <w:lvlJc w:val="left"/>
      <w:lvlText w:val="(%1)"/>
      <w:numFmt w:val="lowerLetter"/>
      <w:start w:val="4"/>
    </w:lvl>
  </w:abstractNum>
  <w:abstractNum w:abstractNumId="191">
    <w:nsid w:val="6D68AB2"/>
    <w:multiLevelType w:val="hybridMultilevel"/>
    <w:lvl w:ilvl="0">
      <w:lvlJc w:val="left"/>
      <w:lvlText w:val="%1"/>
      <w:numFmt w:val="lowerLetter"/>
      <w:start w:val="1"/>
    </w:lvl>
    <w:lvl w:ilvl="1">
      <w:lvlJc w:val="left"/>
      <w:lvlText w:val="(%2)"/>
      <w:numFmt w:val="lowerLetter"/>
      <w:start w:val="6"/>
    </w:lvl>
  </w:abstractNum>
  <w:abstractNum w:abstractNumId="192">
    <w:nsid w:val="3A966CD0"/>
    <w:multiLevelType w:val="hybridMultilevel"/>
    <w:lvl w:ilvl="0">
      <w:lvlJc w:val="left"/>
      <w:lvlText w:val="(%1)"/>
      <w:numFmt w:val="lowerLetter"/>
      <w:start w:val="25"/>
    </w:lvl>
    <w:lvl w:ilvl="1">
      <w:lvlJc w:val="left"/>
      <w:lvlText w:val="%2"/>
      <w:numFmt w:val="lowerLetter"/>
      <w:start w:val="1"/>
    </w:lvl>
  </w:abstractNum>
  <w:abstractNum w:abstractNumId="193">
    <w:nsid w:val="63F37E85"/>
    <w:multiLevelType w:val="hybridMultilevel"/>
    <w:lvl w:ilvl="0">
      <w:lvlJc w:val="left"/>
      <w:lvlText w:val="(%1)"/>
      <w:numFmt w:val="lowerLetter"/>
      <w:start w:val="1"/>
    </w:lvl>
  </w:abstractNum>
  <w:abstractNum w:abstractNumId="194">
    <w:nsid w:val="5895F5FA"/>
    <w:multiLevelType w:val="hybridMultilevel"/>
    <w:lvl w:ilvl="0">
      <w:lvlJc w:val="left"/>
      <w:lvlText w:val="(%1)"/>
      <w:numFmt w:val="upperLetter"/>
      <w:start w:val="2"/>
    </w:lvl>
  </w:abstractNum>
  <w:abstractNum w:abstractNumId="195">
    <w:nsid w:val="38A5D054"/>
    <w:multiLevelType w:val="hybridMultilevel"/>
    <w:lvl w:ilvl="0">
      <w:lvlJc w:val="left"/>
      <w:lvlText w:val="(%1)"/>
      <w:numFmt w:val="lowerLetter"/>
      <w:start w:val="1"/>
    </w:lvl>
  </w:abstractNum>
  <w:abstractNum w:abstractNumId="196">
    <w:nsid w:val="F3F09D8"/>
    <w:multiLevelType w:val="hybridMultilevel"/>
    <w:lvl w:ilvl="0">
      <w:lvlJc w:val="left"/>
      <w:lvlText w:val="(%1)"/>
      <w:numFmt w:val="lowerLetter"/>
      <w:start w:val="2"/>
    </w:lvl>
  </w:abstractNum>
  <w:abstractNum w:abstractNumId="197">
    <w:nsid w:val="4B793735"/>
    <w:multiLevelType w:val="hybridMultilevel"/>
    <w:lvl w:ilvl="0">
      <w:lvlJc w:val="left"/>
      <w:lvlText w:val="(%1)"/>
      <w:numFmt w:val="lowerLetter"/>
      <w:start w:val="1"/>
    </w:lvl>
  </w:abstractNum>
  <w:abstractNum w:abstractNumId="198">
    <w:nsid w:val="4A10B4E8"/>
    <w:multiLevelType w:val="hybridMultilevel"/>
    <w:lvl w:ilvl="0">
      <w:lvlJc w:val="left"/>
      <w:lvlText w:val="(%1)"/>
      <w:numFmt w:val="lowerLetter"/>
      <w:start w:val="2"/>
    </w:lvl>
  </w:abstractNum>
  <w:abstractNum w:abstractNumId="199">
    <w:nsid w:val="43D3BCD4"/>
    <w:multiLevelType w:val="hybridMultilevel"/>
    <w:lvl w:ilvl="0">
      <w:lvlJc w:val="left"/>
      <w:lvlText w:val="(%1)"/>
      <w:numFmt w:val="lowerLetter"/>
      <w:start w:val="1"/>
    </w:lvl>
    <w:lvl w:ilvl="1">
      <w:lvlJc w:val="left"/>
      <w:lvlText w:val="(%2)"/>
      <w:numFmt w:val="lowerRoman"/>
      <w:start w:val="1"/>
    </w:lvl>
  </w:abstractNum>
  <w:abstractNum w:abstractNumId="200">
    <w:nsid w:val="4C2A7166"/>
    <w:multiLevelType w:val="hybridMultilevel"/>
    <w:lvl w:ilvl="0">
      <w:lvlJc w:val="left"/>
      <w:lvlText w:val="(%1)"/>
      <w:numFmt w:val="lowerLetter"/>
      <w:start w:val="1"/>
    </w:lvl>
  </w:abstractNum>
  <w:abstractNum w:abstractNumId="201">
    <w:nsid w:val="2E534A82"/>
    <w:multiLevelType w:val="hybridMultilevel"/>
    <w:lvl w:ilvl="0">
      <w:lvlJc w:val="left"/>
      <w:lvlText w:val="(%1)"/>
      <w:numFmt w:val="lowerLetter"/>
      <w:start w:val="1"/>
    </w:lvl>
  </w:abstractNum>
  <w:abstractNum w:abstractNumId="202">
    <w:nsid w:val="26F2D364"/>
    <w:multiLevelType w:val="hybridMultilevel"/>
    <w:lvl w:ilvl="0">
      <w:lvlJc w:val="left"/>
      <w:lvlText w:val="(%1)"/>
      <w:numFmt w:val="lowerLetter"/>
      <w:start w:val="1"/>
    </w:lvl>
  </w:abstractNum>
  <w:abstractNum w:abstractNumId="203">
    <w:nsid w:val="71C1AF9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2021-08-16T06:37:53Z</dcterms:created>
  <dcterms:modified xsi:type="dcterms:W3CDTF">2021-08-16T06:37:53Z</dcterms:modified>
</cp:coreProperties>
</file>