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59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9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KOZY WILLIAM 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140" w:type="dxa"/>
            <w:vAlign w:val="bottom"/>
            <w:tcBorders>
              <w:top w:val="single" w:sz="8" w:color="0000EE"/>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03/30/2024</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03/30/2024</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1,034</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1,034</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LivaNova PLC (the Company) in accordance with the terms of the LivaNova PLC 2015 Incentive Award Plan (the 2015 Plan) and the award agreement.</w:t>
      </w:r>
    </w:p>
    <w:p>
      <w:pPr>
        <w:spacing w:after="0" w:line="1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in connection with resuming his position as a non-independent director, to vest and forfeiture restrictions thereon to lapse on March 30, 2025, subject to continued service during the vesting period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2024-04-02T20:30:49Z</dcterms:created>
  <dcterms:modified xsi:type="dcterms:W3CDTF">2024-04-02T20:30:49Z</dcterms:modified>
</cp:coreProperties>
</file>