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44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on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236"/>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820"/>
        <w:spacing w:after="0" w:line="271"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7"/>
          <w:szCs w:val="27"/>
          <w:color w:val="auto"/>
          <w:vertAlign w:val="subscript"/>
        </w:rPr>
        <w:t>☐</w:t>
      </w:r>
    </w:p>
    <w:p>
      <w:pPr>
        <w:spacing w:after="0" w:line="200" w:lineRule="exact"/>
        <w:rPr>
          <w:sz w:val="24"/>
          <w:szCs w:val="24"/>
          <w:color w:val="auto"/>
        </w:rPr>
      </w:pPr>
    </w:p>
    <w:p>
      <w:pPr>
        <w:spacing w:after="0" w:line="27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64" w:right="339" w:bottom="1440" w:gutter="0" w:footer="0" w:header="0"/>
        </w:sectPr>
      </w:pPr>
    </w:p>
    <w:p>
      <w:pPr>
        <w:spacing w:after="0" w:line="6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July 31, 2020, the Italian Revenue Agency accepted, by default, LivaNova’s (the “Company”) application to settle its outstanding tax litigation in Italy, which will result in a benefit of €5.4 million in Q3 2020 versus the previously recognized reserve for an uncertain tax position of €15.5 million (approximately $17.4 million as of June 30, 2020). As most recently disclosed in our second quarter Form 10-Q on July 29, 2020, we filed an application in 2019 to settle this litigation which was initiated in 2009 and paid the required settlement balance of €1.9 million (approximately $2.1 million as of June 30, 2020). The Italian Revenue Agency had until July 31, 2020, to notify the Company of its rejection of the application for settlement. As no denial was received, the Company can consider this long-standing litigation extinguished.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Forward-Looking Statements</w:t>
      </w:r>
    </w:p>
    <w:p>
      <w:pPr>
        <w:spacing w:after="0" w:line="1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i w:val="1"/>
          <w:iCs w:val="1"/>
          <w:color w:val="212529"/>
        </w:rPr>
        <w:t>This Current Report on Form 8-K contains certain forward-looking statements within the meaning of the Private Securities Litigation Reform Act of 1995. These statements are based on management’s current expectations or beliefs, and are subject to uncertainty and changes in circumstances. Actual results may vary materially from those expressed or implied by the statements included herein due to changes in economic, business, competitive, technological, strategic and/or regulatory factors and other factors affecting the operation of the business of LivaNova PLC. More detailed information about these factors may be found in the filings made by LivaNova PLC with the Securities and Exchange Commission, including in the Risk Factors section of our Annual Report on Form 10-K for the year ended December 31, 2019, and subsequently filed Quarterly Reports on Form 10-Q and Current Reports on Form 8-K. LivaNova PLC is not under any obligation, and expressly disclaims any such obligation, to update or alter its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32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2020-08-06T16:28:15Z</dcterms:created>
  <dcterms:modified xsi:type="dcterms:W3CDTF">2020-08-06T16:28:15Z</dcterms:modified>
</cp:coreProperties>
</file>