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155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5556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McDonald Damien</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11/04/2018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4"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20" w:type="dxa"/>
            <w:vAlign w:val="bottom"/>
          </w:tcPr>
          <w:p>
            <w:pPr>
              <w:spacing w:after="0"/>
              <w:rPr>
                <w:sz w:val="22"/>
                <w:szCs w:val="22"/>
                <w:color w:val="auto"/>
              </w:rPr>
            </w:pPr>
          </w:p>
        </w:tc>
        <w:tc>
          <w:tcPr>
            <w:tcW w:w="1560" w:type="dxa"/>
            <w:vAlign w:val="bottom"/>
          </w:tcPr>
          <w:p>
            <w:pPr>
              <w:ind w:left="1040"/>
              <w:spacing w:after="0"/>
              <w:rPr>
                <w:sz w:val="20"/>
                <w:szCs w:val="20"/>
                <w:color w:val="auto"/>
              </w:rPr>
            </w:pPr>
            <w:r>
              <w:rPr>
                <w:rFonts w:ascii="Arial" w:cs="Arial" w:eastAsia="Arial" w:hAnsi="Arial"/>
                <w:sz w:val="17"/>
                <w:szCs w:val="17"/>
                <w:color w:val="0000FF"/>
              </w:rPr>
              <w:t>CEO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8"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57"/>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Pr>
          <w:p>
            <w:pPr>
              <w:spacing w:after="0"/>
              <w:rPr>
                <w:sz w:val="23"/>
                <w:szCs w:val="23"/>
                <w:color w:val="auto"/>
              </w:rPr>
            </w:pPr>
          </w:p>
        </w:tc>
        <w:tc>
          <w:tcPr>
            <w:tcW w:w="1840" w:type="dxa"/>
            <w:vAlign w:val="bottom"/>
            <w:gridSpan w:val="2"/>
          </w:tcPr>
          <w:p>
            <w:pPr>
              <w:ind w:left="860"/>
              <w:spacing w:after="0"/>
              <w:rPr>
                <w:sz w:val="20"/>
                <w:szCs w:val="20"/>
                <w:color w:val="auto"/>
              </w:rPr>
            </w:pPr>
            <w:r>
              <w:rPr>
                <w:rFonts w:ascii="Arial" w:cs="Arial" w:eastAsia="Arial" w:hAnsi="Arial"/>
                <w:sz w:val="17"/>
                <w:szCs w:val="17"/>
                <w:color w:val="0000FF"/>
              </w:rPr>
              <w:t>11/04/2018</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9"/>
              <w:spacing w:after="0"/>
              <w:rPr>
                <w:sz w:val="20"/>
                <w:szCs w:val="20"/>
                <w:color w:val="auto"/>
              </w:rPr>
            </w:pPr>
            <w:r>
              <w:rPr>
                <w:rFonts w:ascii="Arial" w:cs="Arial" w:eastAsia="Arial" w:hAnsi="Arial"/>
                <w:sz w:val="13"/>
                <w:szCs w:val="13"/>
                <w:color w:val="0000FF"/>
              </w:rPr>
              <w:t>M</w:t>
            </w:r>
          </w:p>
        </w:tc>
        <w:tc>
          <w:tcPr>
            <w:tcW w:w="740" w:type="dxa"/>
            <w:vAlign w:val="bottom"/>
          </w:tcPr>
          <w:p>
            <w:pPr>
              <w:ind w:left="220"/>
              <w:spacing w:after="0"/>
              <w:rPr>
                <w:sz w:val="20"/>
                <w:szCs w:val="20"/>
                <w:color w:val="auto"/>
              </w:rPr>
            </w:pPr>
            <w:r>
              <w:rPr>
                <w:rFonts w:ascii="Arial" w:cs="Arial" w:eastAsia="Arial" w:hAnsi="Arial"/>
                <w:sz w:val="17"/>
                <w:szCs w:val="17"/>
                <w:color w:val="0000FF"/>
                <w:w w:val="96"/>
              </w:rPr>
              <w:t>16,745</w:t>
            </w:r>
          </w:p>
        </w:tc>
        <w:tc>
          <w:tcPr>
            <w:tcW w:w="660" w:type="dxa"/>
            <w:vAlign w:val="bottom"/>
          </w:tcPr>
          <w:p>
            <w:pPr>
              <w:ind w:left="34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112.57</w:t>
            </w:r>
          </w:p>
        </w:tc>
        <w:tc>
          <w:tcPr>
            <w:tcW w:w="1240" w:type="dxa"/>
            <w:vAlign w:val="bottom"/>
            <w:gridSpan w:val="2"/>
          </w:tcPr>
          <w:p>
            <w:pPr>
              <w:ind w:left="360"/>
              <w:spacing w:after="0"/>
              <w:rPr>
                <w:sz w:val="20"/>
                <w:szCs w:val="20"/>
                <w:color w:val="auto"/>
              </w:rPr>
            </w:pPr>
            <w:r>
              <w:rPr>
                <w:rFonts w:ascii="Arial" w:cs="Arial" w:eastAsia="Arial" w:hAnsi="Arial"/>
                <w:sz w:val="17"/>
                <w:szCs w:val="17"/>
                <w:color w:val="0000FF"/>
              </w:rPr>
              <w:t>56,427</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7"/>
                <w:szCs w:val="17"/>
                <w:color w:val="0000FF"/>
              </w:rPr>
              <w:t>11/04/2018</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5,609</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112.57</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50,818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16,745</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1"/>
                <w:szCs w:val="11"/>
                <w:color w:val="auto"/>
              </w:rPr>
            </w:pPr>
          </w:p>
        </w:tc>
        <w:tc>
          <w:tcPr>
            <w:tcW w:w="106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11/04/2018</w:t>
            </w:r>
          </w:p>
        </w:tc>
        <w:tc>
          <w:tcPr>
            <w:tcW w:w="1200" w:type="dxa"/>
            <w:vAlign w:val="bottom"/>
          </w:tcPr>
          <w:p>
            <w:pPr>
              <w:spacing w:after="0"/>
              <w:rPr>
                <w:sz w:val="11"/>
                <w:szCs w:val="11"/>
                <w:color w:val="auto"/>
              </w:rPr>
            </w:pPr>
          </w:p>
        </w:tc>
        <w:tc>
          <w:tcPr>
            <w:tcW w:w="640" w:type="dxa"/>
            <w:vAlign w:val="bottom"/>
          </w:tcPr>
          <w:p>
            <w:pPr>
              <w:ind w:left="160"/>
              <w:spacing w:after="0" w:line="132"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1"/>
                <w:szCs w:val="11"/>
                <w:color w:val="auto"/>
              </w:rPr>
            </w:pPr>
          </w:p>
        </w:tc>
        <w:tc>
          <w:tcPr>
            <w:tcW w:w="580" w:type="dxa"/>
            <w:vAlign w:val="bottom"/>
          </w:tcPr>
          <w:p>
            <w:pPr>
              <w:ind w:left="80"/>
              <w:spacing w:after="0" w:line="132" w:lineRule="exact"/>
              <w:rPr>
                <w:sz w:val="20"/>
                <w:szCs w:val="20"/>
                <w:color w:val="auto"/>
              </w:rPr>
            </w:pPr>
            <w:r>
              <w:rPr>
                <w:rFonts w:ascii="Arial" w:cs="Arial" w:eastAsia="Arial" w:hAnsi="Arial"/>
                <w:sz w:val="13"/>
                <w:szCs w:val="13"/>
                <w:color w:val="0000FF"/>
              </w:rPr>
              <w:t>16,745</w:t>
            </w:r>
          </w:p>
        </w:tc>
        <w:tc>
          <w:tcPr>
            <w:tcW w:w="3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14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ind w:left="220"/>
              <w:spacing w:after="0" w:line="132" w:lineRule="exact"/>
              <w:rPr>
                <w:sz w:val="20"/>
                <w:szCs w:val="20"/>
                <w:color w:val="auto"/>
              </w:rPr>
            </w:pPr>
            <w:r>
              <w:rPr>
                <w:rFonts w:ascii="Arial" w:cs="Arial" w:eastAsia="Arial" w:hAnsi="Arial"/>
                <w:sz w:val="13"/>
                <w:szCs w:val="13"/>
                <w:color w:val="0000FF"/>
              </w:rPr>
              <w:t>125,084</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ind w:left="100"/>
              <w:spacing w:after="0" w:line="148" w:lineRule="exact"/>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52" w:lineRule="exact"/>
        <w:rPr>
          <w:rFonts w:ascii="Arial" w:cs="Arial" w:eastAsia="Arial" w:hAnsi="Arial"/>
          <w:sz w:val="13"/>
          <w:szCs w:val="13"/>
          <w:color w:val="008000"/>
        </w:rPr>
      </w:pPr>
    </w:p>
    <w:p>
      <w:pPr>
        <w:ind w:left="40" w:right="56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9" w:lineRule="exact"/>
        <w:rPr>
          <w:rFonts w:ascii="Arial" w:cs="Arial" w:eastAsia="Arial" w:hAnsi="Arial"/>
          <w:sz w:val="13"/>
          <w:szCs w:val="13"/>
          <w:color w:val="008000"/>
        </w:rPr>
      </w:pPr>
    </w:p>
    <w:p>
      <w:pPr>
        <w:ind w:left="40" w:right="20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RSUs subject to a four-year vesting schedule, vesting 25% on each of the next four anniversaries of November 4, 2016. The RSUs are subject to forfeiture prior to vesting in accordance with the terms of the LivaNova PLC 2015 Incentive Award Plan.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Keyna Skeffington as POA</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11/06/2018</w:t>
            </w:r>
          </w:p>
        </w:tc>
      </w:tr>
      <w:tr>
        <w:trPr>
          <w:trHeight w:val="23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689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2019-12-24T09:00:45Z</dcterms:created>
  <dcterms:modified xsi:type="dcterms:W3CDTF">2019-12-24T09:00:45Z</dcterms:modified>
</cp:coreProperties>
</file>