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5"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-575310</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4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4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OMB Number:</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4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3956050</wp:posOffset>
            </wp:positionH>
            <wp:positionV relativeFrom="paragraph">
              <wp:posOffset>-620395</wp:posOffset>
            </wp:positionV>
            <wp:extent cx="57785" cy="633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735965</wp:posOffset>
            </wp:positionV>
            <wp:extent cx="6995160" cy="55181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518150"/>
                    </a:xfrm>
                    <a:prstGeom prst="rect">
                      <a:avLst/>
                    </a:prstGeom>
                    <a:noFill/>
                  </pic:spPr>
                </pic:pic>
              </a:graphicData>
            </a:graphic>
          </wp:anchor>
        </w:drawing>
      </w:r>
    </w:p>
    <w:p>
      <w:pPr>
        <w:spacing w:after="0" w:line="1212" w:lineRule="exact"/>
        <w:rPr>
          <w:sz w:val="24"/>
          <w:szCs w:val="24"/>
          <w:color w:val="auto"/>
        </w:rPr>
      </w:pPr>
    </w:p>
    <w:p>
      <w:pPr>
        <w:sectPr>
          <w:pgSz w:w="11900" w:h="16838" w:orient="portrait"/>
          <w:cols w:equalWidth="0" w:num="2">
            <w:col w:w="2300" w:space="320"/>
            <w:col w:w="8460"/>
          </w:cols>
          <w:pgMar w:left="460" w:top="216" w:right="359" w:bottom="13"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Tezel Ahmet</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LivaNova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03/30/2025</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right="660"/>
        <w:spacing w:after="0" w:line="25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7"/>
          <w:szCs w:val="17"/>
          <w:color w:val="0000FF"/>
        </w:rPr>
        <w:t>Chief Innovation Officer</w:t>
      </w:r>
    </w:p>
    <w:p>
      <w:pPr>
        <w:spacing w:after="0" w:line="306" w:lineRule="exact"/>
        <w:rPr>
          <w:sz w:val="24"/>
          <w:szCs w:val="24"/>
          <w:color w:val="auto"/>
        </w:rPr>
      </w:pPr>
    </w:p>
    <w:p>
      <w:pPr>
        <w:sectPr>
          <w:pgSz w:w="11900" w:h="16838" w:orient="portrait"/>
          <w:cols w:equalWidth="0" w:num="3">
            <w:col w:w="3180" w:space="720"/>
            <w:col w:w="3100" w:space="720"/>
            <w:col w:w="3360"/>
          </w:cols>
          <w:pgMar w:left="460" w:top="216" w:right="359" w:bottom="13"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880" w:type="dxa"/>
            <w:vAlign w:val="bottom"/>
            <w:tcBorders>
              <w:bottom w:val="single" w:sz="8" w:color="9A9A9A"/>
            </w:tcBorders>
          </w:tcPr>
          <w:p>
            <w:pPr>
              <w:spacing w:after="0"/>
              <w:rPr>
                <w:sz w:val="3"/>
                <w:szCs w:val="3"/>
                <w:color w:val="auto"/>
              </w:rPr>
            </w:pPr>
          </w:p>
        </w:tc>
        <w:tc>
          <w:tcPr>
            <w:tcW w:w="126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3720" w:type="dxa"/>
            <w:vAlign w:val="bottom"/>
            <w:gridSpan w:val="8"/>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10"/>
            <w:vMerge w:val="restart"/>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0" w:type="dxa"/>
            <w:vAlign w:val="bottom"/>
          </w:tcPr>
          <w:p>
            <w:pPr>
              <w:spacing w:after="0"/>
              <w:rPr>
                <w:sz w:val="7"/>
                <w:szCs w:val="7"/>
                <w:color w:val="auto"/>
              </w:rPr>
            </w:pPr>
          </w:p>
        </w:tc>
        <w:tc>
          <w:tcPr>
            <w:tcW w:w="3720" w:type="dxa"/>
            <w:vAlign w:val="bottom"/>
            <w:gridSpan w:val="8"/>
            <w:vMerge w:val="continue"/>
          </w:tcPr>
          <w:p>
            <w:pPr>
              <w:spacing w:after="0"/>
              <w:rPr>
                <w:sz w:val="7"/>
                <w:szCs w:val="7"/>
                <w:color w:val="auto"/>
              </w:rPr>
            </w:pPr>
          </w:p>
        </w:tc>
        <w:tc>
          <w:tcPr>
            <w:tcW w:w="36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74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X0</w:t>
            </w:r>
          </w:p>
        </w:tc>
        <w:tc>
          <w:tcPr>
            <w:tcW w:w="880" w:type="dxa"/>
            <w:vAlign w:val="bottom"/>
          </w:tcPr>
          <w:p>
            <w:pPr>
              <w:spacing w:after="0"/>
              <w:rPr>
                <w:sz w:val="19"/>
                <w:szCs w:val="19"/>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W26LA</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80" w:type="dxa"/>
            <w:vAlign w:val="bottom"/>
            <w:gridSpan w:val="7"/>
          </w:tcPr>
          <w:p>
            <w:pPr>
              <w:ind w:left="16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20" w:type="dxa"/>
            <w:vAlign w:val="bottom"/>
            <w:gridSpan w:val="2"/>
            <w:vMerge w:val="restart"/>
          </w:tcPr>
          <w:p>
            <w:pPr>
              <w:ind w:left="480"/>
              <w:spacing w:after="0"/>
              <w:rPr>
                <w:sz w:val="20"/>
                <w:szCs w:val="20"/>
                <w:color w:val="auto"/>
              </w:rPr>
            </w:pPr>
            <w:r>
              <w:rPr>
                <w:rFonts w:ascii="Arial" w:cs="Arial" w:eastAsia="Arial" w:hAnsi="Arial"/>
                <w:sz w:val="13"/>
                <w:szCs w:val="13"/>
                <w:color w:val="auto"/>
              </w:rPr>
              <w:t>(State)</w:t>
            </w:r>
          </w:p>
        </w:tc>
        <w:tc>
          <w:tcPr>
            <w:tcW w:w="128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6"/>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5"/>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4"/>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1"/>
                <w:szCs w:val="11"/>
                <w:color w:val="auto"/>
              </w:rPr>
            </w:pP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60" w:type="dxa"/>
            <w:vAlign w:val="bottom"/>
            <w:gridSpan w:val="3"/>
          </w:tcPr>
          <w:p>
            <w:pPr>
              <w:ind w:left="84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4"/>
          </w:tcPr>
          <w:p>
            <w:pPr>
              <w:ind w:left="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60" w:type="dxa"/>
            <w:vAlign w:val="bottom"/>
            <w:gridSpan w:val="12"/>
          </w:tcPr>
          <w:p>
            <w:pPr>
              <w:jc w:val="right"/>
              <w:ind w:righ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2.</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280" w:type="dxa"/>
            <w:vAlign w:val="bottom"/>
            <w:gridSpan w:val="2"/>
          </w:tcPr>
          <w:p>
            <w:pPr>
              <w:ind w:left="24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jc w:val="center"/>
              <w:ind w:right="41"/>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280" w:type="dxa"/>
            <w:vAlign w:val="bottom"/>
            <w:gridSpan w:val="2"/>
          </w:tcPr>
          <w:p>
            <w:pPr>
              <w:ind w:left="2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center"/>
              <w:ind w:right="41"/>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or Exercise</w:t>
            </w:r>
          </w:p>
        </w:tc>
        <w:tc>
          <w:tcPr>
            <w:tcW w:w="216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if any</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Code (Instr.</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Price of</w:t>
            </w:r>
          </w:p>
        </w:tc>
        <w:tc>
          <w:tcPr>
            <w:tcW w:w="880" w:type="dxa"/>
            <w:vAlign w:val="bottom"/>
          </w:tcPr>
          <w:p>
            <w:pPr>
              <w:spacing w:after="0"/>
              <w:rPr>
                <w:sz w:val="11"/>
                <w:szCs w:val="11"/>
                <w:color w:val="auto"/>
              </w:rPr>
            </w:pPr>
          </w:p>
        </w:tc>
        <w:tc>
          <w:tcPr>
            <w:tcW w:w="1280" w:type="dxa"/>
            <w:vAlign w:val="bottom"/>
            <w:gridSpan w:val="2"/>
          </w:tcPr>
          <w:p>
            <w:pPr>
              <w:ind w:left="24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tcPr>
          <w:p>
            <w:pPr>
              <w:jc w:val="center"/>
              <w:ind w:right="1"/>
              <w:spacing w:after="0"/>
              <w:rPr>
                <w:sz w:val="20"/>
                <w:szCs w:val="20"/>
                <w:color w:val="auto"/>
              </w:rPr>
            </w:pPr>
            <w:r>
              <w:rPr>
                <w:rFonts w:ascii="Times New Roman" w:cs="Times New Roman" w:eastAsia="Times New Roman" w:hAnsi="Times New Roman"/>
                <w:sz w:val="11"/>
                <w:szCs w:val="11"/>
                <w:color w:val="008000"/>
                <w:w w:val="93"/>
              </w:rPr>
              <w:t>(1)</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03/30/2025</w:t>
            </w: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10,222</w:t>
            </w:r>
          </w:p>
        </w:tc>
        <w:tc>
          <w:tcPr>
            <w:tcW w:w="280" w:type="dxa"/>
            <w:vAlign w:val="bottom"/>
          </w:tcPr>
          <w:p>
            <w:pPr>
              <w:spacing w:after="0"/>
              <w:rPr>
                <w:sz w:val="19"/>
                <w:szCs w:val="19"/>
                <w:color w:val="auto"/>
              </w:rPr>
            </w:pPr>
          </w:p>
        </w:tc>
        <w:tc>
          <w:tcPr>
            <w:tcW w:w="780" w:type="dxa"/>
            <w:vAlign w:val="bottom"/>
            <w:gridSpan w:val="2"/>
          </w:tcPr>
          <w:p>
            <w:pPr>
              <w:jc w:val="right"/>
              <w:ind w:right="32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10,222</w:t>
            </w:r>
          </w:p>
        </w:tc>
        <w:tc>
          <w:tcPr>
            <w:tcW w:w="40" w:type="dxa"/>
            <w:vAlign w:val="bottom"/>
          </w:tcPr>
          <w:p>
            <w:pPr>
              <w:spacing w:after="0"/>
              <w:rPr>
                <w:sz w:val="19"/>
                <w:szCs w:val="19"/>
                <w:color w:val="auto"/>
              </w:rPr>
            </w:pPr>
          </w:p>
        </w:tc>
        <w:tc>
          <w:tcPr>
            <w:tcW w:w="700" w:type="dxa"/>
            <w:vAlign w:val="bottom"/>
            <w:gridSpan w:val="2"/>
          </w:tcPr>
          <w:p>
            <w:pPr>
              <w:jc w:val="center"/>
              <w:ind w:right="4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10,222</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2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w w:val="93"/>
              </w:rPr>
              <w:t>(3)</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03/30/2025</w:t>
            </w: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5,111</w:t>
            </w:r>
          </w:p>
        </w:tc>
        <w:tc>
          <w:tcPr>
            <w:tcW w:w="280" w:type="dxa"/>
            <w:vAlign w:val="bottom"/>
          </w:tcPr>
          <w:p>
            <w:pPr>
              <w:spacing w:after="0"/>
              <w:rPr>
                <w:sz w:val="15"/>
                <w:szCs w:val="15"/>
                <w:color w:val="auto"/>
              </w:rPr>
            </w:pPr>
          </w:p>
        </w:tc>
        <w:tc>
          <w:tcPr>
            <w:tcW w:w="780" w:type="dxa"/>
            <w:vAlign w:val="bottom"/>
            <w:gridSpan w:val="2"/>
            <w:vMerge w:val="restart"/>
          </w:tcPr>
          <w:p>
            <w:pPr>
              <w:jc w:val="right"/>
              <w:ind w:right="323"/>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ind w:right="12"/>
              <w:spacing w:after="0"/>
              <w:rPr>
                <w:sz w:val="20"/>
                <w:szCs w:val="20"/>
                <w:color w:val="auto"/>
              </w:rPr>
            </w:pPr>
            <w:r>
              <w:rPr>
                <w:rFonts w:ascii="Times New Roman" w:cs="Times New Roman" w:eastAsia="Times New Roman" w:hAnsi="Times New Roman"/>
                <w:sz w:val="17"/>
                <w:szCs w:val="17"/>
                <w:color w:val="0000FF"/>
                <w:w w:val="93"/>
              </w:rPr>
              <w:t>5,111</w:t>
            </w:r>
          </w:p>
        </w:tc>
        <w:tc>
          <w:tcPr>
            <w:tcW w:w="40" w:type="dxa"/>
            <w:vAlign w:val="bottom"/>
          </w:tcPr>
          <w:p>
            <w:pPr>
              <w:spacing w:after="0"/>
              <w:rPr>
                <w:sz w:val="15"/>
                <w:szCs w:val="15"/>
                <w:color w:val="auto"/>
              </w:rPr>
            </w:pPr>
          </w:p>
        </w:tc>
        <w:tc>
          <w:tcPr>
            <w:tcW w:w="70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180"/>
              <w:spacing w:after="0"/>
              <w:rPr>
                <w:sz w:val="20"/>
                <w:szCs w:val="20"/>
                <w:color w:val="auto"/>
              </w:rPr>
            </w:pPr>
            <w:r>
              <w:rPr>
                <w:rFonts w:ascii="Times New Roman" w:cs="Times New Roman" w:eastAsia="Times New Roman" w:hAnsi="Times New Roman"/>
                <w:sz w:val="13"/>
                <w:szCs w:val="13"/>
                <w:color w:val="0000FF"/>
                <w:w w:val="88"/>
              </w:rPr>
              <w:t>5,111</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w w:val="93"/>
              </w:rPr>
              <w:t>(3)</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03/30/2025</w:t>
            </w: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5,111</w:t>
            </w:r>
          </w:p>
        </w:tc>
        <w:tc>
          <w:tcPr>
            <w:tcW w:w="280" w:type="dxa"/>
            <w:vAlign w:val="bottom"/>
          </w:tcPr>
          <w:p>
            <w:pPr>
              <w:spacing w:after="0"/>
              <w:rPr>
                <w:sz w:val="15"/>
                <w:szCs w:val="15"/>
                <w:color w:val="auto"/>
              </w:rPr>
            </w:pPr>
          </w:p>
        </w:tc>
        <w:tc>
          <w:tcPr>
            <w:tcW w:w="780" w:type="dxa"/>
            <w:vAlign w:val="bottom"/>
            <w:gridSpan w:val="2"/>
            <w:vMerge w:val="restart"/>
          </w:tcPr>
          <w:p>
            <w:pPr>
              <w:jc w:val="right"/>
              <w:ind w:right="323"/>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ind w:right="12"/>
              <w:spacing w:after="0"/>
              <w:rPr>
                <w:sz w:val="20"/>
                <w:szCs w:val="20"/>
                <w:color w:val="auto"/>
              </w:rPr>
            </w:pPr>
            <w:r>
              <w:rPr>
                <w:rFonts w:ascii="Times New Roman" w:cs="Times New Roman" w:eastAsia="Times New Roman" w:hAnsi="Times New Roman"/>
                <w:sz w:val="17"/>
                <w:szCs w:val="17"/>
                <w:color w:val="0000FF"/>
                <w:w w:val="93"/>
              </w:rPr>
              <w:t>5,111</w:t>
            </w:r>
          </w:p>
        </w:tc>
        <w:tc>
          <w:tcPr>
            <w:tcW w:w="40" w:type="dxa"/>
            <w:vAlign w:val="bottom"/>
          </w:tcPr>
          <w:p>
            <w:pPr>
              <w:spacing w:after="0"/>
              <w:rPr>
                <w:sz w:val="15"/>
                <w:szCs w:val="15"/>
                <w:color w:val="auto"/>
              </w:rPr>
            </w:pPr>
          </w:p>
        </w:tc>
        <w:tc>
          <w:tcPr>
            <w:tcW w:w="70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180"/>
              <w:spacing w:after="0"/>
              <w:rPr>
                <w:sz w:val="20"/>
                <w:szCs w:val="20"/>
                <w:color w:val="auto"/>
              </w:rPr>
            </w:pPr>
            <w:r>
              <w:rPr>
                <w:rFonts w:ascii="Times New Roman" w:cs="Times New Roman" w:eastAsia="Times New Roman" w:hAnsi="Times New Roman"/>
                <w:sz w:val="13"/>
                <w:szCs w:val="13"/>
                <w:color w:val="0000FF"/>
                <w:w w:val="88"/>
              </w:rPr>
              <w:t>5,111</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tcPr>
          <w:p>
            <w:pPr>
              <w:jc w:val="center"/>
              <w:ind w:right="1"/>
              <w:spacing w:after="0"/>
              <w:rPr>
                <w:sz w:val="20"/>
                <w:szCs w:val="20"/>
                <w:color w:val="auto"/>
              </w:rPr>
            </w:pPr>
            <w:r>
              <w:rPr>
                <w:rFonts w:ascii="Times New Roman" w:cs="Times New Roman" w:eastAsia="Times New Roman" w:hAnsi="Times New Roman"/>
                <w:sz w:val="11"/>
                <w:szCs w:val="11"/>
                <w:color w:val="008000"/>
                <w:w w:val="93"/>
              </w:rPr>
              <w:t>(3)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03/30/2025</w:t>
            </w: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10,222</w:t>
            </w:r>
          </w:p>
        </w:tc>
        <w:tc>
          <w:tcPr>
            <w:tcW w:w="280" w:type="dxa"/>
            <w:vAlign w:val="bottom"/>
          </w:tcPr>
          <w:p>
            <w:pPr>
              <w:spacing w:after="0"/>
              <w:rPr>
                <w:sz w:val="19"/>
                <w:szCs w:val="19"/>
                <w:color w:val="auto"/>
              </w:rPr>
            </w:pPr>
          </w:p>
        </w:tc>
        <w:tc>
          <w:tcPr>
            <w:tcW w:w="780" w:type="dxa"/>
            <w:vAlign w:val="bottom"/>
            <w:gridSpan w:val="2"/>
          </w:tcPr>
          <w:p>
            <w:pPr>
              <w:jc w:val="right"/>
              <w:ind w:right="323"/>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10,222</w:t>
            </w:r>
          </w:p>
        </w:tc>
        <w:tc>
          <w:tcPr>
            <w:tcW w:w="40" w:type="dxa"/>
            <w:vAlign w:val="bottom"/>
          </w:tcPr>
          <w:p>
            <w:pPr>
              <w:spacing w:after="0"/>
              <w:rPr>
                <w:sz w:val="19"/>
                <w:szCs w:val="19"/>
                <w:color w:val="auto"/>
              </w:rPr>
            </w:pPr>
          </w:p>
        </w:tc>
        <w:tc>
          <w:tcPr>
            <w:tcW w:w="700" w:type="dxa"/>
            <w:vAlign w:val="bottom"/>
            <w:gridSpan w:val="2"/>
          </w:tcPr>
          <w:p>
            <w:pPr>
              <w:jc w:val="center"/>
              <w:ind w:right="4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10,222</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2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2"/>
            <w:vMerge w:val="restart"/>
          </w:tcPr>
          <w:p>
            <w:pPr>
              <w:jc w:val="right"/>
              <w:ind w:right="323"/>
              <w:spacing w:after="0"/>
              <w:rPr>
                <w:sz w:val="20"/>
                <w:szCs w:val="20"/>
                <w:color w:val="auto"/>
              </w:rPr>
            </w:pPr>
            <w:r>
              <w:rPr>
                <w:rFonts w:ascii="Times New Roman" w:cs="Times New Roman" w:eastAsia="Times New Roman" w:hAnsi="Times New Roman"/>
                <w:sz w:val="11"/>
                <w:szCs w:val="11"/>
                <w:color w:val="008000"/>
              </w:rPr>
              <w:t>(7)</w:t>
            </w:r>
          </w:p>
        </w:tc>
        <w:tc>
          <w:tcPr>
            <w:tcW w:w="68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22,378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4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Appreciation</w:t>
            </w:r>
          </w:p>
        </w:tc>
        <w:tc>
          <w:tcPr>
            <w:tcW w:w="740" w:type="dxa"/>
            <w:vAlign w:val="bottom"/>
          </w:tcPr>
          <w:p>
            <w:pPr>
              <w:jc w:val="center"/>
              <w:ind w:right="1"/>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39.13</w:t>
            </w:r>
          </w:p>
        </w:tc>
        <w:tc>
          <w:tcPr>
            <w:tcW w:w="88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0000FF"/>
              </w:rPr>
              <w:t>03/30/2025</w:t>
            </w: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ind w:left="14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1"/>
                <w:szCs w:val="11"/>
                <w:color w:val="auto"/>
              </w:rPr>
            </w:pPr>
          </w:p>
        </w:tc>
        <w:tc>
          <w:tcPr>
            <w:tcW w:w="5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rPr>
              <w:t>22,378</w:t>
            </w:r>
          </w:p>
        </w:tc>
        <w:tc>
          <w:tcPr>
            <w:tcW w:w="2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80" w:type="dxa"/>
            <w:vAlign w:val="bottom"/>
          </w:tcPr>
          <w:p>
            <w:pPr>
              <w:jc w:val="center"/>
              <w:ind w:right="3"/>
              <w:spacing w:after="0" w:line="128" w:lineRule="exact"/>
              <w:rPr>
                <w:sz w:val="20"/>
                <w:szCs w:val="20"/>
                <w:color w:val="auto"/>
              </w:rPr>
            </w:pPr>
            <w:r>
              <w:rPr>
                <w:rFonts w:ascii="Times New Roman" w:cs="Times New Roman" w:eastAsia="Times New Roman" w:hAnsi="Times New Roman"/>
                <w:sz w:val="13"/>
                <w:szCs w:val="13"/>
                <w:color w:val="0000FF"/>
                <w:w w:val="97"/>
              </w:rPr>
              <w:t>03/30/2035</w:t>
            </w: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center"/>
              <w:ind w:right="41"/>
              <w:spacing w:after="0" w:line="128"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4"/>
              </w:rPr>
              <w:t>22,378</w:t>
            </w:r>
          </w:p>
        </w:tc>
        <w:tc>
          <w:tcPr>
            <w:tcW w:w="66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ind w:left="120"/>
              <w:spacing w:after="0" w:line="141"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-3030220</wp:posOffset>
            </wp:positionV>
            <wp:extent cx="29210" cy="3035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03530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260" w:firstLine="1"/>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ordinary share of the Company in accordance with the terms of the Company's 2022 Incentive Award Plan (the Plan) and the award agreement.</w:t>
      </w:r>
    </w:p>
    <w:p>
      <w:pPr>
        <w:spacing w:after="0" w:line="19" w:lineRule="exact"/>
        <w:rPr>
          <w:rFonts w:ascii="Times New Roman" w:cs="Times New Roman" w:eastAsia="Times New Roman" w:hAnsi="Times New Roman"/>
          <w:sz w:val="13"/>
          <w:szCs w:val="13"/>
          <w:color w:val="008000"/>
        </w:rPr>
      </w:pPr>
    </w:p>
    <w:p>
      <w:pPr>
        <w:ind w:left="40" w:right="380" w:firstLine="1"/>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2025, reporting person was granted RSUs subject to a three-year vesting in equal annual installments, the first vesting occurring on March 30, 2026. The RSUs are subject to forfeiture prior to vesting in accordance with the terms of the Plan and the award agreement.</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stock unit (PSU) represents a contingent right to receive one ordinary share of the Company in accordance with the terms of the Plan and the award agreement.</w:t>
      </w:r>
    </w:p>
    <w:p>
      <w:pPr>
        <w:spacing w:after="0" w:line="42" w:lineRule="exact"/>
        <w:rPr>
          <w:rFonts w:ascii="Times New Roman" w:cs="Times New Roman" w:eastAsia="Times New Roman" w:hAnsi="Times New Roman"/>
          <w:sz w:val="13"/>
          <w:szCs w:val="13"/>
          <w:color w:val="008000"/>
        </w:rPr>
      </w:pPr>
    </w:p>
    <w:p>
      <w:pPr>
        <w:ind w:left="40" w:right="140" w:firstLine="1"/>
        <w:spacing w:after="0" w:line="288" w:lineRule="auto"/>
        <w:tabs>
          <w:tab w:leader="none" w:pos="16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March 30, 2025, reporting person was granted PSUs to vest or lapse on March 30, 2028 based on how the Company's free cash flow (FCF) for performance period 2025-2027 compares to a target determined by the Plan Administrator. The number included in column 5 of Table II reflects the target number of PSUs eligible for vesting subject to continued service during the vesting period and the award agreement.</w:t>
      </w:r>
    </w:p>
    <w:p>
      <w:pPr>
        <w:spacing w:after="0" w:line="1" w:lineRule="exact"/>
        <w:rPr>
          <w:rFonts w:ascii="Times New Roman" w:cs="Times New Roman" w:eastAsia="Times New Roman" w:hAnsi="Times New Roman"/>
          <w:sz w:val="12"/>
          <w:szCs w:val="12"/>
          <w:color w:val="008000"/>
        </w:rPr>
      </w:pPr>
    </w:p>
    <w:p>
      <w:pPr>
        <w:ind w:left="40" w:right="22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2025, reporting person was granted PSUs to vest or lapse on March 30, 2028 based on how the Company's Return on Investment Capital (ROIC) calculated for the performance period 2025-2027 compares to a target determined by the Plan Administrator. The number included in column 5 of Table II reflects the target number of PSUs eligible for vesting subject to continued service during the vesting period and the award agreement.</w:t>
      </w:r>
    </w:p>
    <w:p>
      <w:pPr>
        <w:spacing w:after="0" w:line="26" w:lineRule="exact"/>
        <w:rPr>
          <w:rFonts w:ascii="Times New Roman" w:cs="Times New Roman" w:eastAsia="Times New Roman" w:hAnsi="Times New Roman"/>
          <w:sz w:val="13"/>
          <w:szCs w:val="13"/>
          <w:color w:val="008000"/>
        </w:rPr>
      </w:pPr>
    </w:p>
    <w:p>
      <w:pPr>
        <w:ind w:left="40" w:right="34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2025, reporting person was granted PSUs to vest or lapse on March 30, 2028 based on the Company's total shareholder return (TSR) for the three-year period beginning on January 1, 2025 and ending December 31, 2027 relative to the TSR of an index of companies, as determined by the Plan Administrator. The number included in column 5 of Table II reflects the target number of PSUs eligible for vesting subject to continued service during the vesting period and the award agreement.</w:t>
      </w:r>
    </w:p>
    <w:p>
      <w:pPr>
        <w:spacing w:after="0" w:line="26" w:lineRule="exact"/>
        <w:rPr>
          <w:rFonts w:ascii="Times New Roman" w:cs="Times New Roman" w:eastAsia="Times New Roman" w:hAnsi="Times New Roman"/>
          <w:sz w:val="13"/>
          <w:szCs w:val="13"/>
          <w:color w:val="008000"/>
        </w:rPr>
      </w:pPr>
    </w:p>
    <w:p>
      <w:pPr>
        <w:ind w:left="40" w:right="500" w:firstLine="1"/>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2025, reporting person was granted stock appreciation rights (SARs) subject to a four-year vesting in equal annual installments, the first vesting occurring on March 30, 2026. The SARs are subject to forfeiture prior to vesting in accordance with the terms of the Plan and the award agreement.</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9" w:lineRule="auto"/>
        <w:rPr>
          <w:sz w:val="20"/>
          <w:szCs w:val="20"/>
          <w:color w:val="auto"/>
        </w:rPr>
      </w:pPr>
      <w:r>
        <w:rPr>
          <w:rFonts w:ascii="Times New Roman" w:cs="Times New Roman" w:eastAsia="Times New Roman" w:hAnsi="Times New Roman"/>
          <w:sz w:val="17"/>
          <w:szCs w:val="17"/>
          <w:color w:val="0000FF"/>
        </w:rPr>
        <w:t xml:space="preserve">/s/ Sarah K. Mohr, Attorney-in- </w:t>
      </w:r>
      <w:r>
        <w:rPr>
          <w:rFonts w:ascii="Times New Roman" w:cs="Times New Roman" w:eastAsia="Times New Roman" w:hAnsi="Times New Roman"/>
          <w:sz w:val="33"/>
          <w:szCs w:val="33"/>
          <w:color w:val="0000FF"/>
          <w:vertAlign w:val="subscript"/>
        </w:rPr>
        <w:t>04/01/2025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31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-21590</wp:posOffset>
            </wp:positionV>
            <wp:extent cx="1816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1610"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-86360</wp:posOffset>
            </wp:positionV>
            <wp:extent cx="4806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3439"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2025-04-01T20:09:00Z</dcterms:created>
  <dcterms:modified xsi:type="dcterms:W3CDTF">2025-04-01T20:09:00Z</dcterms:modified>
</cp:coreProperties>
</file>