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13, 2022.</w:t>
      </w:r>
    </w:p>
    <w:p>
      <w:pPr>
        <w:spacing w:after="0" w:line="27"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LivaNova PLC</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5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0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38"/>
        </w:trPr>
        <w:tc>
          <w:tcPr>
            <w:tcW w:w="55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40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tc>
      </w:tr>
      <w:tr>
        <w:trPr>
          <w:trHeight w:val="410"/>
        </w:trPr>
        <w:tc>
          <w:tcPr>
            <w:tcW w:w="55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4000" w:type="dxa"/>
            <w:vAlign w:val="bottom"/>
          </w:tcPr>
          <w:p>
            <w:pPr>
              <w:spacing w:after="0"/>
              <w:rPr>
                <w:sz w:val="24"/>
                <w:szCs w:val="24"/>
                <w:color w:val="auto"/>
              </w:rPr>
            </w:pPr>
          </w:p>
        </w:tc>
      </w:tr>
      <w:tr>
        <w:trPr>
          <w:trHeight w:val="216"/>
        </w:trPr>
        <w:tc>
          <w:tcPr>
            <w:tcW w:w="55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London, United Kingdom</w:t>
            </w:r>
          </w:p>
        </w:tc>
        <w:tc>
          <w:tcPr>
            <w:tcW w:w="40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W2 6LG</w:t>
            </w:r>
          </w:p>
        </w:tc>
      </w:tr>
      <w:tr>
        <w:trPr>
          <w:trHeight w:val="238"/>
        </w:trPr>
        <w:tc>
          <w:tcPr>
            <w:tcW w:w="55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LivaNova PLC 2022 Incentive Award Plan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Secretariat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LivaNova USA, Inc.</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100 Cyberonics Blvd.</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Houston, Texas 77058</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 and Address of agent of service)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(281) 228-7200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Helena Grannis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Cleary Gottlieb Steen &amp; Hamilton LLP</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One Liberty Plaza</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(212) 225-2000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472" w:right="439" w:bottom="1440" w:gutter="0" w:footer="0" w:header="0"/>
        </w:sectPr>
      </w:pPr>
    </w:p>
    <w:p>
      <w:pPr>
        <w:spacing w:after="0" w:line="147" w:lineRule="exact"/>
        <w:rPr>
          <w:sz w:val="24"/>
          <w:szCs w:val="24"/>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480" w:space="720"/>
            <w:col w:w="2940"/>
          </w:cols>
          <w:pgMar w:left="320" w:top="472" w:right="439" w:bottom="1440" w:gutter="0" w:footer="0" w:header="0"/>
          <w:type w:val="continuous"/>
        </w:sectPr>
      </w:pPr>
    </w:p>
    <w:p>
      <w:pPr>
        <w:spacing w:after="0" w:line="17" w:lineRule="exact"/>
        <w:rPr>
          <w:sz w:val="24"/>
          <w:szCs w:val="24"/>
          <w:color w:val="auto"/>
        </w:rPr>
      </w:pPr>
    </w:p>
    <w:p>
      <w:pPr>
        <w:ind w:right="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125095</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type w:val="continuous"/>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This Registration Statement registers 3,100,000 ordinary shares, par value £1.00 per share (the “Ordinary Shares”), of LivaNova PLC (the “Registrant”) that may be issued under the Registrant’s 2022 Incentive Award Plan (the “2022 Plan”).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to be filed with the Securities and Exchange Commission (the “Commission”) pursuant to the Note to Part I of Form S-8.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to be filed with the Commission pursuant to the Note to Part I of Form S-8.</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employees of the Registrant as specified by Rule 428(b)(1) promulgated under the Securities Act. Such documents are not required to be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into this Registration Statement by reference:</w:t>
      </w:r>
    </w:p>
    <w:p>
      <w:pPr>
        <w:spacing w:after="0" w:line="225" w:lineRule="exact"/>
        <w:rPr>
          <w:sz w:val="20"/>
          <w:szCs w:val="20"/>
          <w:color w:val="auto"/>
        </w:rPr>
      </w:pPr>
    </w:p>
    <w:p>
      <w:pPr>
        <w:ind w:left="1300" w:right="60" w:hanging="644"/>
        <w:spacing w:after="0" w:line="266" w:lineRule="auto"/>
        <w:tabs>
          <w:tab w:leader="none" w:pos="130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the Registrant’s Annual Report on Form 10-K for the fiscal year ended December 31, 2021, filed with the Commission on March 1, 2022</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color w:val="000000"/>
          </w:rPr>
          <w:t xml:space="preserve">(including the information specifically incorporated by reference therein from the </w:t>
        </w:r>
        <w:r>
          <w:rPr>
            <w:rFonts w:ascii="Times New Roman" w:cs="Times New Roman" w:eastAsia="Times New Roman" w:hAnsi="Times New Roman"/>
            <w:sz w:val="18"/>
            <w:szCs w:val="18"/>
            <w:u w:val="single" w:color="auto"/>
            <w:color w:val="0000EE"/>
          </w:rPr>
          <w:t>Registrant’s definitive proxy statement on Schedule</w:t>
        </w:r>
      </w:hyperlink>
      <w:r>
        <w:rPr>
          <w:rFonts w:ascii="Times New Roman" w:cs="Times New Roman" w:eastAsia="Times New Roman" w:hAnsi="Times New Roman"/>
          <w:sz w:val="18"/>
          <w:szCs w:val="18"/>
          <w:color w:val="000000"/>
        </w:rPr>
        <w:t xml:space="preserve"> </w:t>
      </w:r>
      <w:hyperlink r:id="rId22">
        <w:r>
          <w:rPr>
            <w:rFonts w:ascii="Times New Roman" w:cs="Times New Roman" w:eastAsia="Times New Roman" w:hAnsi="Times New Roman"/>
            <w:sz w:val="18"/>
            <w:szCs w:val="18"/>
            <w:u w:val="single" w:color="auto"/>
            <w:color w:val="0000EE"/>
          </w:rPr>
          <w:t>14A, filed with the Commission on April 29, 2022</w:t>
        </w:r>
        <w:r>
          <w:rPr>
            <w:rFonts w:ascii="Times New Roman" w:cs="Times New Roman" w:eastAsia="Times New Roman" w:hAnsi="Times New Roman"/>
            <w:sz w:val="18"/>
            <w:szCs w:val="18"/>
            <w:color w:val="000000"/>
          </w:rPr>
          <w:t>);</w:t>
        </w:r>
      </w:hyperlink>
    </w:p>
    <w:p>
      <w:pPr>
        <w:spacing w:after="0" w:line="175" w:lineRule="exact"/>
        <w:rPr>
          <w:rFonts w:ascii="Times New Roman" w:cs="Times New Roman" w:eastAsia="Times New Roman" w:hAnsi="Times New Roman"/>
          <w:sz w:val="18"/>
          <w:szCs w:val="18"/>
          <w:color w:val="0000EE"/>
        </w:rPr>
      </w:pPr>
    </w:p>
    <w:p>
      <w:pPr>
        <w:ind w:left="1300" w:right="300" w:hanging="644"/>
        <w:spacing w:after="0" w:line="282" w:lineRule="auto"/>
        <w:tabs>
          <w:tab w:leader="none" w:pos="1300" w:val="left"/>
        </w:tabs>
        <w:numPr>
          <w:ilvl w:val="0"/>
          <w:numId w:val="1"/>
        </w:numPr>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the Registrant’s Quarterly Report on Form 10-Q for the quarterly period ended March 31, 2022, filed with the Commission on May 4,</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2022;</w:t>
        </w:r>
      </w:hyperlink>
    </w:p>
    <w:p>
      <w:pPr>
        <w:spacing w:after="0" w:line="161" w:lineRule="exact"/>
        <w:rPr>
          <w:rFonts w:ascii="Times New Roman" w:cs="Times New Roman" w:eastAsia="Times New Roman" w:hAnsi="Times New Roman"/>
          <w:sz w:val="18"/>
          <w:szCs w:val="18"/>
          <w:u w:val="single" w:color="auto"/>
          <w:color w:val="0000EE"/>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24">
        <w:r>
          <w:rPr>
            <w:rFonts w:ascii="Times New Roman" w:cs="Times New Roman" w:eastAsia="Times New Roman" w:hAnsi="Times New Roman"/>
            <w:sz w:val="18"/>
            <w:szCs w:val="18"/>
            <w:u w:val="single" w:color="auto"/>
            <w:color w:val="0000EE"/>
          </w:rPr>
          <w:t>May 4, 2022</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March 21, 2022</w:t>
        </w:r>
      </w:hyperlink>
      <w:r>
        <w:rPr>
          <w:rFonts w:ascii="Times New Roman" w:cs="Times New Roman" w:eastAsia="Times New Roman" w:hAnsi="Times New Roman"/>
          <w:sz w:val="18"/>
          <w:szCs w:val="18"/>
          <w:color w:val="auto"/>
        </w:rPr>
        <w:t xml:space="preserve">, and </w:t>
      </w:r>
      <w:hyperlink r:id="rId26">
        <w:r>
          <w:rPr>
            <w:rFonts w:ascii="Times New Roman" w:cs="Times New Roman" w:eastAsia="Times New Roman" w:hAnsi="Times New Roman"/>
            <w:sz w:val="18"/>
            <w:szCs w:val="18"/>
            <w:u w:val="single" w:color="auto"/>
            <w:color w:val="0000EE"/>
          </w:rPr>
          <w:t>February 23, 2022</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1"/>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auto"/>
          </w:rPr>
          <w:t xml:space="preserve">the description of the Registrant's Ordinary Shares contained in the Registrant's </w:t>
        </w:r>
        <w:r>
          <w:rPr>
            <w:rFonts w:ascii="Times New Roman" w:cs="Times New Roman" w:eastAsia="Times New Roman" w:hAnsi="Times New Roman"/>
            <w:sz w:val="18"/>
            <w:szCs w:val="18"/>
            <w:u w:val="single" w:color="auto"/>
            <w:color w:val="0000EE"/>
          </w:rPr>
          <w:t>Registration Statement on Form S-4 filed with the</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Commission on April 20, 2015</w:t>
        </w:r>
        <w:r>
          <w:rPr>
            <w:rFonts w:ascii="Times New Roman" w:cs="Times New Roman" w:eastAsia="Times New Roman" w:hAnsi="Times New Roman"/>
            <w:sz w:val="18"/>
            <w:szCs w:val="18"/>
            <w:color w:val="000000"/>
          </w:rPr>
          <w:t>, including any amendment or report filed for the purpose of updating such description.</w:t>
        </w:r>
      </w:hyperlink>
    </w:p>
    <w:p>
      <w:pPr>
        <w:spacing w:after="0" w:line="162" w:lineRule="exact"/>
        <w:rPr>
          <w:rFonts w:ascii="Times New Roman" w:cs="Times New Roman" w:eastAsia="Times New Roman" w:hAnsi="Times New Roman"/>
          <w:sz w:val="18"/>
          <w:szCs w:val="18"/>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Other than the portions of such documents that, by statute or rule, by designation in such document or otherwise, are not deemed to be filed with the Commission or are not required to be incorporated by reference.</w:t>
      </w:r>
    </w:p>
    <w:p>
      <w:pPr>
        <w:spacing w:after="0" w:line="162"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Securities Exchange Act of 1934, as amended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80" w:lineRule="exact"/>
        <w:rPr>
          <w:rFonts w:ascii="Times New Roman" w:cs="Times New Roman" w:eastAsia="Times New Roman" w:hAnsi="Times New Roman"/>
          <w:sz w:val="18"/>
          <w:szCs w:val="18"/>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Subject to the foregoing, all information appearing in this Registration Statement is qualified in its entirety by the information appearing in the documents incorporated by reference in this Registration Statement.</w:t>
      </w:r>
    </w:p>
    <w:p>
      <w:pPr>
        <w:spacing w:after="0" w:line="15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is currently a public limited company organized under the laws of England and Wales. Chapter 7 of Part 10 of the U.K. Companies Act 2006 contains provisions relating to directors’ liability. All statutory references in this Item 6 are to the U.K. Companies Act 2006.</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Section 232(1) makes void any provision that purports to exempt a director of a company from any liability that would otherwise attach to him in connection with any negligence, default, breach of duty or breach of trust in relation to the company.</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Section 232(2) makes void any provision by which a company directly or indirectly provides an indemnity for a director of the company against any liability attaching to him or her in connection with any negligence, default, breach of duty or breach of trust in relation to the company, except if permitted as:</w:t>
      </w:r>
    </w:p>
    <w:p>
      <w:pPr>
        <w:spacing w:after="0" w:line="176"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insurance within Section 233;</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third-party indemnity provisions falling within Section 234;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pension scheme indemnity provision under Section 235.</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Section 233 permits liability insurance, commonly known as directors’ and officers’ liability insurance, purchased and maintained by a company against liability for negligence, default, breach of duty or breach of trust in relation to the company. The Registrant maintains director and officer insurance in customary amounts.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Section 234 allows the Registrant to provide an indemnity against liability incurred by a director to someone other than the Registrant or an associated company of the Registrant. Such an indemnity does not permit indemnification against liability to pay criminal fines or civil penalties to a regulatory authority or the costs of an unsuccessful defense of criminal or civil proceedings or application for relief under Sections 661 (power of court to grant relief in case of acquisition of shares by innocent nominee) or 1157 (general power of court to grant relief in case of honest and reasonable conduct) of the U.K. Companies Act 2006.</w:t>
      </w:r>
    </w:p>
    <w:p>
      <w:pPr>
        <w:spacing w:after="0" w:line="183"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Section 235 allows the Registrant to provide indemnification to a director that is a trustee of an occupational pension scheme if joint liability incurred in connection with the Registrant’s activities as trustee of the scheme. Such provision does not permit indemnification against liability to pay criminal fines or civil penalties to a regulatory authority or the costs of an unsuccessful defense of criminal proceedings.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Any indemnity provided under Section 234 or Section 235 must be disclosed in the Registrant’s annual report in accordance with Section 236 and copies of such indemnification provisions made available for inspection in accordance with Section 237 (and every member has a right to inspect and request such copies under Section 238).</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4" w:name="page5"/>
    <w:bookmarkEnd w:id="4"/>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Conduct of a director amounting to negligence, default, breach of duty or breach of trust in relation to the Registrant can be ratified, in accordance with Section 239, by a resolution of the members of the Registrant, disregarding the votes of the director (if a member) and any connected member.</w:t>
      </w:r>
    </w:p>
    <w:p>
      <w:pPr>
        <w:spacing w:after="0" w:line="14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Registrant’s Amended Articles of Association provide that, subject to the U.K. Companies Act 2006, the Registrant may indemnify any person who is or was a director of the Registrant (or any associated company) against any loss or liability incurred by him whether in connection with any negligence, default, breach of duty or breach of trust by him or otherwise, in relation to the Registrant (or any associated company), and any person who is or was a director of an associated company that is a trustee of an occupational pension scheme, against any liability incurred by him in connection with the Registrant’s activities as trustee of an occupational pension scheme.</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Registrant’s Amended Articles of Association also provide that, subject to the U.K. Companies Act 2006, the Registrant may purchase and maintain insurance for or for the benefit of any person who is or was a director, officer or employee of the Registrant, or any corporate entity which is or was the holding company or subsidiary of the Registrant (or with which the Registrant or such holding company or subsidiary has or had an interest in or is or was in any way allied or associated). This includes, without limitation, insurance against any loss or liability or any expenditure such director, officer or employee may incur, whether in connection with any proven or alleged act or omission in the actual or purported execution or discharge of his or her duties or in the exercise or purported exercise of his or her powers or otherwise in relation to his or her duties, powers or offices, whether comprising negligence, default, breach of duty, breach of trust or otherwise, in relation to the Registrant or the relevant body.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Registrant has entered into deeds of indemnity (the “Deeds of Indemnification”) with certain directors and officers of the Registrant. Other than in connection with (i) liabilities determined to be result of fraud, gross negligence or willful misconduct or (ii) unauthorized claims initiated by the officer or director against the Registrant or its officers, directors or employees, the Deeds of Indemnification provide indemnification to such directors and officers to the fullest extent permitted by law arising out of, or in connection with, the actual or purported exercise of, or failure to exercise, any of such person’s powers, duties or responsibilities as a director or officer of the Registrant or any of its subsidiaries. Further, pursuant to the Deeds of Indemnification, the Registrant agrees to advance expenses incurred in defense of these proceedings, on the terms and conditions set forth in the Deeds of Indemnification. The Deeds of Indemnification indicate that the Registrant shall maintain appropriate directors and officers liability insurance, to the extent reasonable and also provide procedures for requesting and obtaining indemnification and advancement of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to this Registration Statement are described below.</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19685</wp:posOffset>
            </wp:positionV>
            <wp:extent cx="63436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5240" w:space="720"/>
            <w:col w:w="5260"/>
          </w:cols>
          <w:pgMar w:left="320" w:top="333" w:right="359" w:bottom="1440" w:gutter="0" w:footer="0" w:header="0"/>
        </w:sectPr>
      </w:pPr>
    </w:p>
    <w:p>
      <w:pPr>
        <w:ind w:left="1260" w:right="440" w:hanging="332"/>
        <w:spacing w:after="0" w:line="276" w:lineRule="auto"/>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4.1 Amended Articles of Association of LivaNova PLC, effective as from June 29, 2020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Registrant’s Quarterly Report on Form 10-Q, filed on July 29, 2020 (File No. 001-37599))</w:t>
        </w:r>
      </w:hyperlink>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0000EE"/>
        </w:rPr>
        <w:t>5.1 Opinion of Cleary Gottlieb Steen &amp; Hamilton LLP (filed herewith)</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EE"/>
        </w:rPr>
        <w:t>23.1 Consent of Cleary Gottlieb Steen &amp; Hamilton LLP (included in Exhibit 5.1)</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EE"/>
        </w:rPr>
        <w:t>23.2 Consent of PricewaterhouseCoopers LLP (filed herewith)</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EE"/>
        </w:rPr>
        <w:t>24.1 Power of Attorney (see signature page)</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EE"/>
        </w:rPr>
        <w:t>99.1 LivaNova PLC 2022 Incentive Award Plan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0000EE"/>
        </w:rPr>
        <w:t>107 Calculation of Filing Fee Tables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2600" w:hanging="648"/>
        <w:spacing w:after="0" w:line="253" w:lineRule="auto"/>
        <w:tabs>
          <w:tab w:leader="none" w:pos="26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 (iii) To include any material information with respect to the plan of distribution not previously disclosed in this Registration Statement or any material change to such information in this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6" w:name="page7"/>
    <w:bookmarkEnd w:id="6"/>
    <w:p>
      <w:pPr>
        <w:ind w:left="1960" w:hanging="656"/>
        <w:spacing w:after="0" w:line="266"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58"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1300" w:right="40" w:hanging="644"/>
        <w:spacing w:after="0" w:line="254"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London, United Kingdom, on June 13, 2022.</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LivaNova PLC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Damien McDonald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Keyna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Skeffington as his true and lawful attorney-in-fact and agent with full power of substitution, for him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333"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143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Damien McDonald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A. Kozy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Francesco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Francesco Bianchi</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Moore</w:t>
      </w:r>
    </w:p>
    <w:p>
      <w:pPr>
        <w:spacing w:after="0" w:line="234" w:lineRule="exact"/>
        <w:rPr>
          <w:sz w:val="20"/>
          <w:szCs w:val="20"/>
          <w:color w:val="auto"/>
        </w:rPr>
      </w:pPr>
    </w:p>
    <w:p>
      <w:pPr>
        <w:ind w:right="920"/>
        <w:spacing w:after="0" w:line="329" w:lineRule="auto"/>
        <w:rPr>
          <w:sz w:val="20"/>
          <w:szCs w:val="20"/>
          <w:color w:val="auto"/>
        </w:rPr>
      </w:pPr>
      <w:r>
        <w:rPr>
          <w:rFonts w:ascii="Times New Roman" w:cs="Times New Roman" w:eastAsia="Times New Roman" w:hAnsi="Times New Roman"/>
          <w:sz w:val="17"/>
          <w:szCs w:val="17"/>
          <w:color w:val="auto"/>
        </w:rPr>
        <w:t>/s/ Todd C. Schermerhorn Todd C. Schermerhorn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143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Sharon O’Kane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Sharon O’Kane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Executive Officer (Principal Executive</w:t>
            </w:r>
          </w:p>
        </w:tc>
        <w:tc>
          <w:tcPr>
            <w:tcW w:w="3360" w:type="dxa"/>
            <w:vAlign w:val="bottom"/>
          </w:tcPr>
          <w:p>
            <w:pPr>
              <w:spacing w:after="0"/>
              <w:rPr>
                <w:sz w:val="24"/>
                <w:szCs w:val="24"/>
                <w:color w:val="auto"/>
              </w:rPr>
            </w:pPr>
          </w:p>
        </w:tc>
      </w:tr>
      <w:tr>
        <w:trPr>
          <w:trHeight w:val="24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r>
        <w:trPr>
          <w:trHeight w:val="655"/>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r>
        <w:trPr>
          <w:trHeight w:val="655"/>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r>
        <w:trPr>
          <w:trHeight w:val="655"/>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r>
        <w:trPr>
          <w:trHeight w:val="655"/>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r>
        <w:trPr>
          <w:trHeight w:val="655"/>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r>
        <w:trPr>
          <w:trHeight w:val="655"/>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bl>
    <w:p>
      <w:pPr>
        <w:spacing w:after="0" w:line="393" w:lineRule="exact"/>
        <w:rPr>
          <w:sz w:val="20"/>
          <w:szCs w:val="20"/>
          <w:color w:val="auto"/>
        </w:rPr>
      </w:pPr>
    </w:p>
    <w:p>
      <w:pPr>
        <w:sectPr>
          <w:pgSz w:w="11900" w:h="16838" w:orient="portrait"/>
          <w:cols w:equalWidth="0" w:num="2">
            <w:col w:w="2780" w:space="720"/>
            <w:col w:w="7740"/>
          </w:cols>
          <w:pgMar w:left="320" w:top="333" w:right="339" w:bottom="1440" w:gutter="0" w:footer="0" w:header="0"/>
          <w:type w:val="continuous"/>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Andrea L.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Andrea L. Saia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Stacy Enxing 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Stacy Enxing Seng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Wilver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Wilver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Smith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r>
        <w:trPr>
          <w:trHeight w:val="655"/>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r>
        <w:trPr>
          <w:trHeight w:val="655"/>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10, 2022</w:t>
            </w:r>
          </w:p>
        </w:tc>
      </w:tr>
      <w:tr>
        <w:trPr>
          <w:trHeight w:val="655"/>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13, 2022</w:t>
            </w:r>
          </w:p>
        </w:tc>
      </w:tr>
      <w:tr>
        <w:trPr>
          <w:trHeight w:val="858"/>
        </w:trPr>
        <w:tc>
          <w:tcPr>
            <w:tcW w:w="43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9</w:t>
            </w:r>
          </w:p>
        </w:tc>
        <w:tc>
          <w:tcPr>
            <w:tcW w:w="3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780" w:space="720"/>
            <w:col w:w="7740"/>
          </w:cols>
          <w:pgMar w:left="320" w:top="36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156845</wp:posOffset>
            </wp:positionV>
            <wp:extent cx="6934835" cy="1851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93483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Writer's Direct Dial: +44 20 7614 2232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sbagot@cgsh.com</w:t>
      </w:r>
    </w:p>
    <w:p>
      <w:pPr>
        <w:spacing w:after="0" w:line="207"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13 June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Eastbourne Terrace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W2 6LG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LivaNova PLC –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We have acted as special English counsel to LivaNova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public limited company incorporated under the laws of England and Wales, in connection with the preparation and filing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a registration statement on Form S-8 (such registration statement,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registration of 3,100,000 ordinary shares with a nominal value of £1 each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being the maximum aggregate number of Ordinary Shares which may be issued or transferred under the LivaNova PLC 2022 Incentive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connection with the Registration Statement, we have been asked to provide an opinion on certain matters as set out below. We have taken instruction in this regard solely from the Company.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We understand that the Ordinary Shares are not and are not intended to be admitted to trading on any market or exchange, or otherwise listed, in the United Kingdom.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w:t>
      </w:r>
    </w:p>
    <w:p>
      <w:pPr>
        <w:spacing w:after="0" w:line="225" w:lineRule="exact"/>
        <w:rPr>
          <w:sz w:val="20"/>
          <w:szCs w:val="20"/>
          <w:color w:val="auto"/>
        </w:rPr>
      </w:pPr>
    </w:p>
    <w:p>
      <w:pPr>
        <w:ind w:left="1920" w:hanging="616"/>
        <w:spacing w:after="0"/>
        <w:tabs>
          <w:tab w:leader="none" w:pos="1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21" w:lineRule="exact"/>
        <w:rPr>
          <w:rFonts w:ascii="Times New Roman" w:cs="Times New Roman" w:eastAsia="Times New Roman" w:hAnsi="Times New Roman"/>
          <w:sz w:val="18"/>
          <w:szCs w:val="18"/>
          <w:color w:val="auto"/>
        </w:rPr>
      </w:pPr>
    </w:p>
    <w:p>
      <w:pPr>
        <w:jc w:val="both"/>
        <w:ind w:left="1920" w:hanging="616"/>
        <w:spacing w:after="0" w:line="268" w:lineRule="auto"/>
        <w:tabs>
          <w:tab w:leader="none" w:pos="1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13 June 2022 signed by an authorised signatory of the Company (the “</w:t>
      </w:r>
      <w:r>
        <w:rPr>
          <w:rFonts w:ascii="Times New Roman" w:cs="Times New Roman" w:eastAsia="Times New Roman" w:hAnsi="Times New Roman"/>
          <w:sz w:val="18"/>
          <w:szCs w:val="18"/>
          <w:b w:val="1"/>
          <w:bCs w:val="1"/>
          <w:color w:val="auto"/>
        </w:rPr>
        <w:t>Company’s Certificate</w:t>
      </w:r>
      <w:r>
        <w:rPr>
          <w:rFonts w:ascii="Times New Roman" w:cs="Times New Roman" w:eastAsia="Times New Roman" w:hAnsi="Times New Roman"/>
          <w:sz w:val="18"/>
          <w:szCs w:val="18"/>
          <w:color w:val="auto"/>
        </w:rPr>
        <w:t>”) relating to certain factual matters and having annexed thereto and certified as true, complete and up-to-date copies of the following documents:</w:t>
      </w:r>
    </w:p>
    <w:p>
      <w:pPr>
        <w:spacing w:after="0" w:line="17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articles of association of the Company adopted with effect from 29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1037590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154305</wp:posOffset>
            </wp:positionV>
            <wp:extent cx="6446520" cy="419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446520" cy="41973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ind w:left="2600" w:hanging="648"/>
        <w:spacing w:after="0" w:line="286" w:lineRule="auto"/>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passed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on 20 April 2022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passed by the shareholders of the Company at the Company’s annual general meeting held on 13 June 2022 (the “</w:t>
      </w:r>
      <w:r>
        <w:rPr>
          <w:rFonts w:ascii="Times New Roman" w:cs="Times New Roman" w:eastAsia="Times New Roman" w:hAnsi="Times New Roman"/>
          <w:sz w:val="18"/>
          <w:szCs w:val="18"/>
          <w:b w:val="1"/>
          <w:bCs w:val="1"/>
          <w:color w:val="auto"/>
        </w:rPr>
        <w:t>2022 AGM</w:t>
      </w:r>
      <w:r>
        <w:rPr>
          <w:rFonts w:ascii="Times New Roman" w:cs="Times New Roman" w:eastAsia="Times New Roman" w:hAnsi="Times New Roman"/>
          <w:sz w:val="18"/>
          <w:szCs w:val="18"/>
          <w:color w:val="auto"/>
        </w:rPr>
        <w:t>”) approving the Plan (the “</w:t>
      </w:r>
      <w:r>
        <w:rPr>
          <w:rFonts w:ascii="Times New Roman" w:cs="Times New Roman" w:eastAsia="Times New Roman" w:hAnsi="Times New Roman"/>
          <w:sz w:val="18"/>
          <w:szCs w:val="18"/>
          <w:b w:val="1"/>
          <w:bCs w:val="1"/>
          <w:color w:val="auto"/>
        </w:rPr>
        <w:t>Shareholders’ Resolution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In addition, we have reviewed the originals, or copies certified or otherwise identified to our satisfaction, of all such other documents, and we have made such investigations of law, as we have deemed appropriate as a basis for the opinions expressed below.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rendering the opinions expressed below we have assumed and not verified:</w:t>
      </w:r>
    </w:p>
    <w:p>
      <w:pPr>
        <w:spacing w:after="0" w:line="225" w:lineRule="exact"/>
        <w:rPr>
          <w:sz w:val="20"/>
          <w:szCs w:val="20"/>
          <w:color w:val="auto"/>
        </w:rPr>
      </w:pPr>
    </w:p>
    <w:p>
      <w:pPr>
        <w:ind w:left="1960" w:hanging="656"/>
        <w:spacing w:after="0" w:line="282"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the authenticity and completeness of all documents supplied to us and the conformity to the originals of all documents supplied to us as photocopies, facsimile or electronic copies;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specimen or certificated form, it has been or will be executed in the form of that draft, specimen or certificate;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as to factual matters of each document we have reviewed, including, without limitation, the accuracy and completeness of all statements in the Company’s Certificate;</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fully complied with its obligations under all applicable anti-terrorism, anti-money laundering, sanctions and human rights legislation, and that each allotment and issue of Ordinary Shares in the manner contemplated in the Registration Statement will be compliant with such laws;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document has been entered into by any of the parties thereto in connection with any money laundering or any other unlawful activity;</w:t>
      </w:r>
    </w:p>
    <w:p>
      <w:pPr>
        <w:spacing w:after="0" w:line="16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consents, approvals, notices, filings and registrations which are necessary under any applicable laws or regulations (other than laws or regulations of England and Wales) in order to permit the allotment and issue of any Ordinary Shares in the manner contemplated in the Registration Statement have been or will be duly made or obtained;</w:t>
      </w:r>
    </w:p>
    <w:p>
      <w:pPr>
        <w:spacing w:after="0" w:line="17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left="1960" w:hanging="656"/>
        <w:spacing w:after="0" w:line="261"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with all applicable provisions of the Financial Services Act 2012 and the Financial Services and Markets Act 2000, as amended (the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and any applicable secondary legislation made under any of the foregoing with respect to anything done by the Company in relation to the Ordinary Shares from or otherwise involving the United Kingdom (including Sections 19 (carrying on a regulated activity), 21 (financial promotion), and 85 (public offers) of FSMA);</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Ordinary Shares the Company shall have received in full consideration equal to the subscription price or other consideration for such Ordinary Shares and shall have entered the holder or holders thereof in the register of members of the Company showing that all such Ordinary Shares shall have been fully paid up as to their nominal value and any premium thereon as at each allotment date;</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issue of any Ordinary Share, the issue price or other consideration for such issue is not less than the nominal value, if any, of the Ordinary Share;</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meeting of the Board held on 20 April 2022 at which the Board Resolutions were passed was duly convened and held and such resolutions are a true record of the proceedings at such meeting and are valid, in full force and effect and have not been amended, revoked or superseded;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2022 AGM at which the Shareholders’ Resolution was passed was duly convened and held and the Shareholders’ Resolution was duly and validly passed at the 2022 AGM, is in full force and effect and has not been amended, revoked or superseded;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director of the Company has disclosed any interest which he or she may have in the transactions contemplated by the Board Resolutions in accordance with the provisions of the Companies Act 2006 and the Articles, and that none of the relevant directors of the Company have any interest in such transactions except to the extent permitted by the Articles;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consider in good faith that the actions to be carried out pursuant to the Board Resolutions by the Company will promote the success of the Company for the benefit of its members as a whole.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Based on the foregoing, and subject to the further qualifications and limitations set forth below, it is our opinion that the Ordinary Shares, when issued in accordance with all necessary corporate action of the Company, the provisions of the Company’s articles of association in force at that time and the Plan, and subject to receipt by the Company of the aggregate issue price or other consideration in respect of such Ordinary Shares, will be validly issued, fully paid and non-assessable (for the purposes of this opinion, “non-assessable” means that no further contributions in respect of the Ordinary Shares will be required to be made to the Company by the holders thereof, by reason solely of their being such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opinion set out above is limited to the laws of England and Wales in force as at the date of this opinion letter (taking into account the effect of the Agreement on the withdrawal of the United Kingdom of Great Britain and Northern Ireland from the European Union and the European Atomic Energy Community and the European Union (Withdrawal) Act 2018), as currently applied by the courts in England and Wales, and are given on the basis that this opinion letter and any non-contractual obligations arising out of or in connection with it will be governed by and construed in accordance with English law.</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a part (Exhibit 5.1) of the Registration Statement as counsel for the Company who have passed on the validity of the Ordinary Shares being registered by the Registration Statement. In giving such consent, we do not thereby admit that we are within the category of persons whose consent is required under Section 7 of the Securities Act or the rules and regulations of the Commission thereunder.</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00" w:lineRule="exact"/>
        <w:rPr>
          <w:sz w:val="20"/>
          <w:szCs w:val="20"/>
          <w:color w:val="auto"/>
        </w:rPr>
      </w:pPr>
    </w:p>
    <w:p>
      <w:pPr>
        <w:spacing w:after="0" w:line="24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By:</w:t>
        <w:tab/>
        <w:t>/s/Sam Bagot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17145</wp:posOffset>
            </wp:positionV>
            <wp:extent cx="2820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Sam Bagot, a Partner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LivaNova PLC of our report dated March 1, 2022 relating to the financial statements and the effectiveness of internal control over financial reporting, which appears in LivaNova PLC’s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FINAL VERSION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Adopted by the Board of Directors of LivaNova PLC on April 20, 2022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conditional on shareholder approval.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Approved by the shareholders of LivaNova PLC on June 13, 2022.</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purpose of the LivaNova PLC 2022 Incentive Award Plan (as it may be amended or restated from time to time,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is to promote the success and enhance the value of LivaNova PLC, a public limited company incorporated under the laws of England and Wales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by linking the individual interests of the Employees to those of Company shareholders and by providing Employees with an incentive for outstanding performance to generate superior returns to Company shareholders. The Plan is further intended to provide flexibility to the Company in its ability to motivate, attract, and retain the services of Employees upon whose judgment, interest, and special effort the successful conduct of the Company’s operation is largely dependent.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singular pronoun shall include the plural where the context so indicates.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shall mean the entity that conducts the general administration of the Plan as provided in Article‎ 11. With reference to the duties of the Committee under the Plan which have been delegated to one or more persons pursuant to Section 11‎.6, or as to which the Board has assumed, the term “Administrator” shall refer to such person(s) unless the Committee or the Board has revoked such delegation or the Board has terminated the assumption of such duties.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Applicable Accounting Standards</w:t>
      </w:r>
      <w:r>
        <w:rPr>
          <w:rFonts w:ascii="Times New Roman" w:cs="Times New Roman" w:eastAsia="Times New Roman" w:hAnsi="Times New Roman"/>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any applicable law, including without limitation: (a) the Code, the Securities Act, the Exchange Act and any rules or regulations thereunder; (b) corporate, securities, tax or other laws, statutes, rules, requirements or regulations, whether federal, state, local or foreign, applicable in England and Wales, the United States or any other jurisdiction; and (c) rules of any securities exchange or automated quotation system on which the Shares are listed, quoted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Automatic Exercise Date</w:t>
      </w:r>
      <w:r>
        <w:rPr>
          <w:rFonts w:ascii="Times New Roman" w:cs="Times New Roman" w:eastAsia="Times New Roman" w:hAnsi="Times New Roman"/>
          <w:sz w:val="18"/>
          <w:szCs w:val="18"/>
          <w:color w:val="auto"/>
        </w:rPr>
        <w:t>” shall mean, with respect to an Option or a Stock Appreciation Right, the last business day of the applicable Option Term or SAR Term that was initially established by the Administrator for such Option or Stock Appreciation Right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last business day prior to the tenth anniversary of the date of grant of such Option or Stock Appreciation Right if the Option or Stock Appreciation Right initially had a ten-year Option Term or SAR Term, as applicable).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an Option, Stock Appreciation Right, Restricted Stock, Restricted Stock Unit, Other Stock or Cash Based Award or a Dividend Equivalent award, which may be awarded or granted under the Plan.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Award Limit</w:t>
      </w:r>
      <w:r>
        <w:rPr>
          <w:rFonts w:ascii="Times New Roman" w:cs="Times New Roman" w:eastAsia="Times New Roman" w:hAnsi="Times New Roman"/>
          <w:sz w:val="18"/>
          <w:szCs w:val="18"/>
          <w:color w:val="auto"/>
        </w:rPr>
        <w:t>” shall mean with respect to Awards that shall be payable in Shares or in cash, as the case may be, the respective limit set forth in Section 3‎.2.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Sale;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Takeover.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sole discretion, to determine conclusively whether a Change in Control has occurred, the date of the occurrence of such Change in Control and any incidental matters relating thereto.</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any amount payable under the Plan constitutes non-exempt “deferred compensation” for purposes of Section 409A and would otherwise be payable or distributable under the Plan by reason of the occurrence of a Change in Control, such amount or benefit will not be payable or distributable to any Participant who is subject to Section 409A by reason of such Change in Control unless the circumstances giving rise to such Change in Control constitutes a “change in control event” as defined in Treasury Regulation Section 1.409A-3(i)(5). If this provision prevents the payment or distribution of any amount, such payment or distribution shall be made on the next earliest payment or distribution date or event specified in the Plan that is permissible under Section 409A.</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 or another committee or subcommittee of the Board or the Compensation Committee of the Board described in Article 11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Article‎ 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shall mean any consultant or adviser engaged to provide services to the Company or any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have the meaning given in section 995(2) of the Income Tax Act 2007, unless otherwise specified.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as constituted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shall mean a right to receive the equivalent value (in cash or Shares) of dividends paid on Shares, awarded under Section ‎9.2.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DRO</w:t>
      </w:r>
      <w:r>
        <w:rPr>
          <w:rFonts w:ascii="Times New Roman" w:cs="Times New Roman" w:eastAsia="Times New Roman" w:hAnsi="Times New Roman"/>
          <w:sz w:val="18"/>
          <w:szCs w:val="18"/>
          <w:color w:val="auto"/>
        </w:rPr>
        <w:t>” shall mean a “domestic relations order” as defined by the Code or Title I of the Employee Retirement Income Security Act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1974, as amended from time to time, or the rules thereunder.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on which the Plan is approved by the shareholders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Eligible Individual</w:t>
      </w:r>
      <w:r>
        <w:rPr>
          <w:rFonts w:ascii="Times New Roman" w:cs="Times New Roman" w:eastAsia="Times New Roman" w:hAnsi="Times New Roman"/>
          <w:sz w:val="18"/>
          <w:szCs w:val="18"/>
          <w:color w:val="auto"/>
        </w:rPr>
        <w:t>” shall mean any person who is an Employee, as determined by the Administrator. For the avoidance of doubt, no person who is a Consultant or a Non-Employee Director can qualify as an Eligible Individual under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person who is an employee of the Company or of any Subsidiary, including any employee who is also a director or officeholder of the Company or of any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shall have the meaning set forth in Section 10‎.2.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shall mean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shall have the meaning given to such term in Section 12‎.1(c).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mean, as of any given date, the closing sales price for a Share as quoted on the Nasdaq Global Select Market for such date or, if there is no closing sales price for a Share on the date in question, the closing sales price for a Share on the last preceding date for which such quotation exists,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Greater Than 10% Shareholder</w:t>
      </w:r>
      <w:r>
        <w:rPr>
          <w:rFonts w:ascii="Times New Roman" w:cs="Times New Roman" w:eastAsia="Times New Roman" w:hAnsi="Times New Roman"/>
          <w:sz w:val="18"/>
          <w:szCs w:val="18"/>
          <w:color w:val="auto"/>
        </w:rPr>
        <w:t>” shall mean an individual then owning (within the meaning of Section 424(d) of the Code) more than 10% of the total combined voting power of all classes of shares of the Company or any subsidiary corporation (as defined in Section 424(f) of the Code) or parent corporation thereof (as defined in Section 424(e) of the Code).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 person who has been granted an Award.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an Option that is intended to qualify as an incentive stock option and conforms to the applicable provisions of Section 422 of the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mean a Director of the Company who is not an Employee.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shall mean an Option that is not an Incentive Stock Option or which is designated as an Incentive Stock Option but does not meet the applicable requirements of Section 422 of the Code.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shall mean a right to purchase Shares at a specified exercise price, granted under Article‎ 5. An Option shall be either a Non-Qualified Stock Option or an Incentive Stock Option.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shall have the meaning set forth in Section 5‎.4.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shall mean, collectively: (a) the Company’s memorandum and articles of association; and (b) the Committee’s charter or other similar organizational documentation relating to the creation and governance of the Committee.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Other Stock or Cash Based Award</w:t>
      </w:r>
      <w:r>
        <w:rPr>
          <w:rFonts w:ascii="Times New Roman" w:cs="Times New Roman" w:eastAsia="Times New Roman" w:hAnsi="Times New Roman"/>
          <w:sz w:val="18"/>
          <w:szCs w:val="18"/>
          <w:color w:val="auto"/>
        </w:rPr>
        <w:t>” shall mean a cash bonus award, stock bonus award, performance award or incentive award that is paid in cash, Shares or a combination of both, awarded under Section 9‎.1, which may include, without limitation, deferred stock, deferred stock units, stock payments and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shall mean the criteria (and adjustments) that the Administrator selects for an Award for purposes of establishing the Performance Goal or Performance Goals for a Performance Period, determined as follows: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Performance Criteria that shall be used to establish Performance Goals include without limitation: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w:t>
      </w:r>
    </w:p>
    <w:p>
      <w:pPr>
        <w:spacing w:after="0" w:line="3"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capital (or invested capital) and cost of capital; (ix) return on shareholders’ equity; (x) total shareholder return; (xi) return on sales;</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(xxiii) productivity; (xxiv) operating efficiency;</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4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value-added; (xxvi) cash flow return on capital; (xxvii) return on net assets; (xxviii); funds from operations; (xxix) funds available for distributions; (xxx) sales and sales unit volume; (xxxi) licensing revenue; (xxxii) brand recognition and acceptance; (xxxiii) inventory turns or cycle time;</w:t>
      </w:r>
    </w:p>
    <w:p>
      <w:pPr>
        <w:jc w:val="both"/>
        <w:ind w:firstLine="8"/>
        <w:spacing w:after="0" w:line="252" w:lineRule="auto"/>
        <w:tabs>
          <w:tab w:leader="none" w:pos="6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penetration and geographic business expansion; (xxxv) customer satisfaction/growth; (xxxvi) customer service; (xxxvi) employee satisfaction; (xxxvii) recruitment and maintenance of personnel; (xxxviii) human resources management; (xxxix) supervision of litigation and other legal matters; (xl) strategic partnerships and transactions; (xli) financial ratios (including those measuring liquidity, activity, profitability or leverage); (xlii) new or existing store results and operations and new store openings; (xliii) supply chain achievements; (xliv) debt levels or reductions; (xlv) sales-related goals; (xlvi) financing and other capital raising transactions; (xlvii) year-end cash; (xlviii) acquisition activity; (xlix) investment sourcing activity; (l) marketing initiatives, (li) environmental, social or governance metrics, any of which may be measured either in absolute terms or as compared to any incremental increase or decrease or as compared to results of a peer group or to market performance indicators or indices.</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dividend in specie, sub-division of shares, consolidation of shares, or exchange of shares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initiative; (xx) items relating to foreign exchange or currency transactions and/or fluctuations; or (xxi) items relating to any other unusual or nonrecurring events or changes in Applicable Law, Applicable Accounting Standards or business conditions.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have the meaning set forth in Article‎ 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Shares awarded under Article‎ 7 that are subject to certain restrictions and may be subject to risk of forfeiture or repurchase.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shall mean the right to receive Shares awarded under Article‎ 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shall mean the sale of all or substantially all of the assets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SAR Term</w:t>
      </w:r>
      <w:r>
        <w:rPr>
          <w:rFonts w:ascii="Times New Roman" w:cs="Times New Roman" w:eastAsia="Times New Roman" w:hAnsi="Times New Roman"/>
          <w:sz w:val="18"/>
          <w:szCs w:val="18"/>
          <w:color w:val="auto"/>
        </w:rPr>
        <w:t>” shall have the meaning set forth in Section 5‎.4.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ordinary shares in the capital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 company that is a subsidiary of the Company within the meaning of Section 1159 of the Companies Act 2006.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2.50          “</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Stock Appreciation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2.51          “</w:t>
      </w:r>
      <w:r>
        <w:rPr>
          <w:rFonts w:ascii="Times New Roman" w:cs="Times New Roman" w:eastAsia="Times New Roman" w:hAnsi="Times New Roman"/>
          <w:sz w:val="18"/>
          <w:szCs w:val="18"/>
          <w:u w:val="single" w:color="auto"/>
          <w:color w:val="auto"/>
        </w:rPr>
        <w:t>Takeover</w:t>
      </w:r>
      <w:r>
        <w:rPr>
          <w:rFonts w:ascii="Times New Roman" w:cs="Times New Roman" w:eastAsia="Times New Roman" w:hAnsi="Times New Roman"/>
          <w:sz w:val="18"/>
          <w:szCs w:val="18"/>
          <w:color w:val="auto"/>
        </w:rPr>
        <w:t>” shall mean if any person (or a group of persons acting in concert) (the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obtains Control of the Company as the result of making a general offer to:</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acquire all of the issued ordinary share capital of the Company, which is made on a condition that, if it is satisfied, the Acquiring Person will have Control of the Company;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acquire all of the shares in the Company which are of the same class as the Shares; or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obtains Control of the Company as a result of a compromise or arrangement sanctioned by a court under Section 899 of the Companies Act 2006, or sanctioned under any other similar law of another jurisdiction;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becomes bound or entitled under Sections 979 to 985 of the Companies Act 2006 (or similar law of another jurisdiction) to acquire shares of the same class as the Shares; or</w:t>
      </w:r>
    </w:p>
    <w:p>
      <w:pPr>
        <w:spacing w:after="0" w:line="162"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18"/>
          <w:szCs w:val="18"/>
          <w:color w:val="auto"/>
        </w:rPr>
        <w:t>(d)            obtains Control of the Company in any other way.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2.52          “</w:t>
      </w:r>
      <w:r>
        <w:rPr>
          <w:rFonts w:ascii="Times New Roman" w:cs="Times New Roman" w:eastAsia="Times New Roman" w:hAnsi="Times New Roman"/>
          <w:sz w:val="18"/>
          <w:szCs w:val="18"/>
          <w:u w:val="single" w:color="auto"/>
          <w:color w:val="auto"/>
        </w:rPr>
        <w:t>Tax Liability</w:t>
      </w:r>
      <w:r>
        <w:rPr>
          <w:rFonts w:ascii="Times New Roman" w:cs="Times New Roman" w:eastAsia="Times New Roman" w:hAnsi="Times New Roman"/>
          <w:sz w:val="18"/>
          <w:szCs w:val="18"/>
          <w:color w:val="auto"/>
        </w:rPr>
        <w:t>” shall have the meaning set forth in Section 10‎.2(a).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2.53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shall mean the time when the employee-employer relationship between a Holder and the Company or any Subsidiary is terminated for any reason, including, without limitation, a termination by resignation, discharge, dismissal, agreement, redundancy, death, disability, ill-health, injury or retirement; for the avoidance of doubt including a termination of an employee-employer relationship simultaneously with the commencement of a Non-Employee Director, Consultant or other non-employee service provider relationship with the Company or any Subsidiary, but excluding a termination of an employee-employer relationship simultaneously with the commencement of another employee-employer relationship with the Company or any Subsidiary.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or dismissal for cause and all questions of whether particular leaves of absence constitute a Termination of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Incentive Stock Options, unless the Administrator otherwise provides in the terms of any Program, Award Agreement or otherwise, or as otherwise required by Applicable Law, a leave of absence or other change in the employee-employer relationship shall constitute a Termination of Service only if, and to the extent that, such leave of absence or other change interrupts employment for the purposes of Section 422(a)(2) of the Code and the then-applicable regulations and revenue rulings under said Section. For purposes of the Plan, a Termination of Service shall be deemed to occur in the event that: (i) the Subsidiary employing such Holder ceases to remain a Subsidiary; or (ii) there is a transfer by the Subsidiary employing such Holder of the undertaking, or part of the undertaking, in which the Holder works to a person which is not a Subsidiary and such transfer involves an automatic transfer of the Holder’s employment to such person by operation of Applicable Law, in each case as a result of any merger, sale of stock or other corporate transaction or event (including, without limitation, a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Number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Subject to Sections 3‎.1(b) and 12‎.2, the maximum aggregate number of Shares which may be issued or transferred pursuant to Awards under the Plan is: (i) 1,900,000 Shares pursuant to Options or Stock Appreciation Rights; and (ii) 1,200,000 Shares pursuant to Awards other than Options or Stock Appreciation Rights. Any Shares distributed pursuant to an Award may consist, in whole or in part, of authorized and unissued Shares, treasury Shares or Shares purchased on the open market.</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If any Shares subject to an Award are forfeited, if any Award or any portion of an Award lapses or expires (including the unvested portion of any Award granted subject to Performance Goals, which fails to achieve its Performance Goals in full), if any Shares subject to an Award are converted to shares of another Person in connection with a Takeover, Sale, recapitalization, reorganization, merger, consolidation, split-up, spin-off, combination, exchange of shares or other similar event, or if any Award is settled for cash (in whole or in part) (including Shares repurchased by the Company under Section 7‎.4 at the same price paid by the Holder), the Shares subject to such Award shall, to the extent of such forfeiture, lapse,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any Award; (iii) Shares subject to a Stock Appreciation Right that are not issued in connection with the settlement of the Stock Appreciation Right in Shares upon exercise thereof; and (iv) Shares purchased on the open market with the cash proceeds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Substitute Awards shall not reduce the Shares authorized for grant under the Plan, except as may be required by reason of Section 422 of the Code. Additionally, in the event that a company acquired by the Company or any Subsidiary or with which the Company or any Subsidiary combines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Limitation on Number of Shares Subject to Awards</w:t>
      </w:r>
      <w:r>
        <w:rPr>
          <w:rFonts w:ascii="Times New Roman" w:cs="Times New Roman" w:eastAsia="Times New Roman" w:hAnsi="Times New Roman"/>
          <w:sz w:val="18"/>
          <w:szCs w:val="18"/>
          <w:color w:val="auto"/>
        </w:rPr>
        <w:t>. Notwithstanding any provision in the Plan to the contrary, and subject to Section 12‎.2, the maximum aggregate number of Shares with respect to one or more Awards that may be granted to any one person during any calendar year shall be 1,250,000 and the maximum aggregate amount that may be paid in cash to any one person during any calendar year with respect to one or more Awards payable in cash shall be $12,500,000.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GRANTING OF AWARDS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Participation</w:t>
      </w:r>
      <w:r>
        <w:rPr>
          <w:rFonts w:ascii="Times New Roman" w:cs="Times New Roman" w:eastAsia="Times New Roman" w:hAnsi="Times New Roman"/>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Award Agreement</w:t>
      </w:r>
      <w:r>
        <w:rPr>
          <w:rFonts w:ascii="Times New Roman" w:cs="Times New Roman" w:eastAsia="Times New Roman" w:hAnsi="Times New Roman"/>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No Right to Continued Employment.</w:t>
      </w:r>
      <w:r>
        <w:rPr>
          <w:rFonts w:ascii="Times New Roman" w:cs="Times New Roman" w:eastAsia="Times New Roman" w:hAnsi="Times New Roman"/>
          <w:sz w:val="18"/>
          <w:szCs w:val="18"/>
          <w:color w:val="auto"/>
        </w:rPr>
        <w:t xml:space="preserve"> Nothing in the Plan or in any Program or Award Agreement hereunder shall confer upon any Holder any right to continue in the employ of the Company or any Subsidiary, or shall interfere with or restrict in any way the rights of the Company and any Subsidiary, which rights are hereby expressly reserved, to discharge or dismiss any Holder at any time for any reason whatsoever, with or without cause, and with or without notice, or to terminate or change any Holder’s terms and conditions of employment, except to the extent expressly provided otherwise in a written agreement between the Holder and the Company or any Subsidiary.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Foreign Holders</w:t>
      </w:r>
      <w:r>
        <w:rPr>
          <w:rFonts w:ascii="Times New Roman" w:cs="Times New Roman" w:eastAsia="Times New Roman" w:hAnsi="Times New Roman"/>
          <w:sz w:val="18"/>
          <w:szCs w:val="18"/>
          <w:color w:val="auto"/>
        </w:rPr>
        <w:t>. Notwithstanding any provision of the Plan or applicable Program to the contrary, in order to comply with the laws in countries other than the United States in which the Company and its Subsidiaries operate or have Employees,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w:t>
      </w:r>
    </w:p>
    <w:p>
      <w:pPr>
        <w:spacing w:after="0" w:line="3" w:lineRule="exact"/>
        <w:rPr>
          <w:sz w:val="20"/>
          <w:szCs w:val="20"/>
          <w:color w:val="auto"/>
        </w:rPr>
      </w:pPr>
    </w:p>
    <w:p>
      <w:pPr>
        <w:jc w:val="both"/>
        <w:ind w:firstLine="8"/>
        <w:spacing w:after="0" w:line="253" w:lineRule="auto"/>
        <w:tabs>
          <w:tab w:leader="none" w:pos="2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the terms and conditions of any Award granted to Eligible Individuals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sub-plans and/or modifications shall increase the share limitation contained in Section 3‎.1 or the Award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GRANTING OF OPTIONS AND STOCK APPRECIATION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Granting of Options and Stock Appreciation Rights to Eligible Individuals</w:t>
      </w:r>
      <w:r>
        <w:rPr>
          <w:rFonts w:ascii="Times New Roman" w:cs="Times New Roman" w:eastAsia="Times New Roman" w:hAnsi="Times New Roman"/>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Qualification of Incentive Stock Options</w:t>
      </w:r>
      <w:r>
        <w:rPr>
          <w:rFonts w:ascii="Times New Roman" w:cs="Times New Roman" w:eastAsia="Times New Roman" w:hAnsi="Times New Roman"/>
          <w:sz w:val="18"/>
          <w:szCs w:val="18"/>
          <w:color w:val="auto"/>
        </w:rPr>
        <w:t>. The Administrator may grant Options intended to qualify as Incentive Stock Options only to employees of the Company, any of the Company’s present or future “parent corporations” or “subsidiary corporations” as defined in Sections 424(e) or</w:t>
      </w:r>
    </w:p>
    <w:p>
      <w:pPr>
        <w:jc w:val="both"/>
        <w:ind w:firstLine="8"/>
        <w:spacing w:after="0" w:line="251" w:lineRule="auto"/>
        <w:tabs>
          <w:tab w:leader="none" w:pos="2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respectively, and any other entities the employees of which are eligible to receive Incentive Stock Options under the Code. No person who qualifies as a Greater Than 10% Shareholder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Subject to Sections 3‎.1(b) and 12‎.2, the aggregate number of Shares which may be issued or transferred pursuant to Incentive Stock Options under the Plan is 1,900,000.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Option and Stock Appreciation Right Exercise Price</w:t>
      </w:r>
      <w:r>
        <w:rPr>
          <w:rFonts w:ascii="Times New Roman" w:cs="Times New Roman" w:eastAsia="Times New Roman" w:hAnsi="Times New Roman"/>
          <w:sz w:val="18"/>
          <w:szCs w:val="18"/>
          <w:color w:val="auto"/>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Shareholder,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price of any Substitute Award shall be determined in accordance with the applicable requirements of Sections 424 and 409A of the Code.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Option and SAR Term</w:t>
      </w:r>
      <w:r>
        <w:rPr>
          <w:rFonts w:ascii="Times New Roman" w:cs="Times New Roman" w:eastAsia="Times New Roman" w:hAnsi="Times New Roman"/>
          <w:sz w:val="18"/>
          <w:szCs w:val="18"/>
          <w:color w:val="auto"/>
        </w:rPr>
        <w:t>. The term of each Option (the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and the term of each Stock Appreciation Right (the “</w:t>
      </w:r>
      <w:r>
        <w:rPr>
          <w:rFonts w:ascii="Times New Roman" w:cs="Times New Roman" w:eastAsia="Times New Roman" w:hAnsi="Times New Roman"/>
          <w:sz w:val="18"/>
          <w:szCs w:val="18"/>
          <w:u w:val="single" w:color="auto"/>
          <w:color w:val="auto"/>
        </w:rPr>
        <w:t>SAR Term</w:t>
      </w:r>
      <w:r>
        <w:rPr>
          <w:rFonts w:ascii="Times New Roman" w:cs="Times New Roman" w:eastAsia="Times New Roman" w:hAnsi="Times New Roman"/>
          <w:sz w:val="18"/>
          <w:szCs w:val="18"/>
          <w:color w:val="auto"/>
        </w:rPr>
        <w:t xml:space="preserve">”) shall be set by the Administrator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Option Term or SAR Term, as applicable, shall not be more than (a) ten</w:t>
      </w:r>
    </w:p>
    <w:p>
      <w:pPr>
        <w:jc w:val="both"/>
        <w:ind w:firstLine="8"/>
        <w:spacing w:after="0" w:line="252" w:lineRule="auto"/>
        <w:tabs>
          <w:tab w:leader="none" w:pos="3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the Option or Stock Appreciation Right, as applicable, is granted to an Eligible Individual (other than a Greater Than 10% Shareholder), or (b) five (5) years from the date an Incentive Stock Option is granted to a Greater Than 10% Shareholder.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Sections 10‎.7 and 12‎.1, any other term or condition of such Option or Stock Appreciation Right relating to such Termination of Service of the Holder or otherwise.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Option and SAR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The period during which the right to exercise, in whole or in part, an Option vests in the Holder shall be set by the Administrator and set forth in the applicable Award Agreement, but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determined by the Administrator in the Award Agreement, the applicable Program or by action of the Administrator following the grant of the Option, (a) no portion of an Option which is unexercisable at a Holder’s Termination of Service shall thereafter become exercisable and (b) the portion of an Option that is unexercisable at a Holder’s Termination of Service shall automatically expire on the date of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The period during which the right to exercise, in whole or in part, a Stock Appreciation Right vests in the Holder shall be set by the Administrator and set forth in the applicable Award Agreement, but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determined by the Administrator in the Award Agreement, the applicable Program or by action of the Administrator following the grant of the Stock Appreciation Right, (a) no portion of a Stock Appreciation Right which is unexercisable at a Holder’s Termination of Service shall thereafter become exercisable and (b) the portion of a Stock Appreciation Right that is unexercisable at a Holder’s Termination of Service shall automatically expire on the date of such Termination of Service.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Substitution of Stock Appreciation Rights; Early Exercise of Options</w:t>
      </w:r>
      <w:r>
        <w:rPr>
          <w:rFonts w:ascii="Times New Roman" w:cs="Times New Roman" w:eastAsia="Times New Roman" w:hAnsi="Times New Roman"/>
          <w:sz w:val="18"/>
          <w:szCs w:val="18"/>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Restricted Stock with respect to any unvested portion of the Option so exercised. Restricted Stock acquired upon the exercise of any unvested portion of an Option shall be subject to such terms and conditions as the Administrator shall determine.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OF OPTIONS AND STOCK APPRECIATION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Exercise and Payment</w:t>
      </w:r>
      <w:r>
        <w:rPr>
          <w:rFonts w:ascii="Times New Roman" w:cs="Times New Roman" w:eastAsia="Times New Roman" w:hAnsi="Times New Roman"/>
          <w:sz w:val="18"/>
          <w:szCs w:val="18"/>
          <w:color w:val="auto"/>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Manner of Exercise</w:t>
      </w:r>
      <w:r>
        <w:rPr>
          <w:rFonts w:ascii="Times New Roman" w:cs="Times New Roman" w:eastAsia="Times New Roman" w:hAnsi="Times New Roman"/>
          <w:sz w:val="18"/>
          <w:szCs w:val="18"/>
          <w:color w:val="auto"/>
        </w:rPr>
        <w:t>. Except as set forth in Section 6‎.3, all or a portion of an exercisable Option or Stock Appreciation Right shall be deemed exercised upon delivery of all of the following to the Secretary of the Company, the share plan administrator of the Company or such other person or entity designated by the Administrator, or his, her or its office, as applicable: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 written or electronic notice complying with the applicable rules established by the Administrator stating that the Option or Stock Appreciation Right, or a portion thereof, is exercised. The notice shall be signed by the Holder or other person then entitled to exercise the Option or Stock Appreciation Right or such portion thereof;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Such representations and documents as the Administrator, in its sole discretion, deems necessary or advisable to effect compliance with Applicable Law;</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In the event that the Option or Stock Appreciation Right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Full payment (which term shall include an arrangement for full payment having been made) of any Tax Liability arising on exercise (or partial exercise) of the Option or Stock Appreciation Right (or in respect of the issue of Shares pursuant to such exercise (or partial exercise)), and, in the case of an Option, full payment of the exercise price, in a manner permitted by the Administrator in accordance with Sections 10‎.1 and 10‎.2.</w:t>
      </w:r>
    </w:p>
    <w:p>
      <w:pPr>
        <w:spacing w:after="0" w:line="17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6.3         </w:t>
      </w:r>
      <w:r>
        <w:rPr>
          <w:rFonts w:ascii="Times New Roman" w:cs="Times New Roman" w:eastAsia="Times New Roman" w:hAnsi="Times New Roman"/>
          <w:sz w:val="17"/>
          <w:szCs w:val="17"/>
          <w:u w:val="single" w:color="auto"/>
          <w:color w:val="auto"/>
        </w:rPr>
        <w:t>  Expiration of Option Term or SAR Term: Automatic Exercise of In-The-Money Options and Stock Appreciation Rights</w:t>
      </w:r>
      <w:r>
        <w:rPr>
          <w:rFonts w:ascii="Times New Roman" w:cs="Times New Roman" w:eastAsia="Times New Roman" w:hAnsi="Times New Roman"/>
          <w:sz w:val="17"/>
          <w:szCs w:val="17"/>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10‎.1(b) or 10‎.1(c) and the Company or any Subsidiary shall be entitled to deduct or withhold an amount sufficient to satisfy any Tax Liability associated with such exercise in accordance with Section 10‎.2. Unless otherwise determined by the Administrator, this Section 6‎.3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6‎.3.</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Notification Regarding Disposition</w:t>
      </w:r>
      <w:r>
        <w:rPr>
          <w:rFonts w:ascii="Times New Roman" w:cs="Times New Roman" w:eastAsia="Times New Roman" w:hAnsi="Times New Roman"/>
          <w:sz w:val="18"/>
          <w:szCs w:val="18"/>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RESTRICTED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Award of Restricted Stock</w:t>
      </w:r>
      <w:r>
        <w:rPr>
          <w:rFonts w:ascii="Times New Roman" w:cs="Times New Roman" w:eastAsia="Times New Roman" w:hAnsi="Times New Roman"/>
          <w:sz w:val="18"/>
          <w:szCs w:val="18"/>
          <w:color w:val="auto"/>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Rights as Shareholders</w:t>
      </w:r>
      <w:r>
        <w:rPr>
          <w:rFonts w:ascii="Times New Roman" w:cs="Times New Roman" w:eastAsia="Times New Roman" w:hAnsi="Times New Roman"/>
          <w:sz w:val="18"/>
          <w:szCs w:val="18"/>
          <w:color w:val="auto"/>
        </w:rPr>
        <w:t xml:space="preserve">. Subject to Section 7‎.4, upon issuance of Restricted Stock, the Holder shall have, unless otherwise provided by the Administrator, all the rights of a shareholder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sole discretion of the Administrator, any extraordinary distributions with respect to the Shares may be subject to the restrictions set forth in Section 7‎.3. In addition, with respect to a share of Restricted Stock, dividends which are paid prior to vesting shall only be paid out to the Holder to the extent that the vesting conditions are subsequently satisfied and the share of Restricted Stock vests.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Restrictions</w:t>
      </w:r>
      <w:r>
        <w:rPr>
          <w:rFonts w:ascii="Times New Roman" w:cs="Times New Roman" w:eastAsia="Times New Roman" w:hAnsi="Times New Roman"/>
          <w:sz w:val="18"/>
          <w:szCs w:val="18"/>
          <w:color w:val="auto"/>
        </w:rPr>
        <w:t xml:space="preserve">. All Restricted Stock (including any shares received by Holders thereof with respect to Restricted Stock as a result of stock dividends, stock splits or any other form of recapitalization) shall be subject to such restrictions and vesting requirements as the Administrator shall provide in the applicable Program or Award Agreement, but the vesting period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By action taken after the Restricted Stock is issued, in the event of a Holder’s Termination of Service due to:</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death or disability, the Administrator may, on such terms and conditions as it may determine to be appropriate, accelerate the vesting of such Restricted Stock by removing any or all of the restrictions imposed by the terms of the applicable Program or Award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retirement, the Administrator may, on such terms and conditions as it may determine to be appropriate, determine that such Restricted Stock shall continue to vest on the date(s) set out, and remain subject to such restrictions as are provided, in the applicable Program or Award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Repurchase or Forfeiture of Restricted Stock</w:t>
      </w:r>
      <w:r>
        <w:rPr>
          <w:rFonts w:ascii="Times New Roman" w:cs="Times New Roman" w:eastAsia="Times New Roman" w:hAnsi="Times New Roman"/>
          <w:sz w:val="18"/>
          <w:szCs w:val="18"/>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or a person nominated by the Company without consideration on the date of such Termination of Service. If a price was paid by the Holder for the Restricted Stock, upon a Termination of Service during the applicable restriction period, the Company or a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 Administrator, in its sole discretion, may provide (in an Award Agreement or otherwise) that in the event of a Holder’s Termination of Service due to:</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death or disability, the Holder’s rights in unvested Restricted Stock then subject to restrictions shall not lapse, such Restricted Stock shall vest and cease to be forfeitable and, if applicable, the Company shall cease to have a right of repurchase;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retirement, the Holder’s rights in unvested Restricted Stock then subject to restrictions shall not lapse, but shall continue to vest on the date(s) set out, and remain subject to such restrictions as are provided, in the applicable Program or Award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Section 83(b) Election</w:t>
      </w:r>
      <w:r>
        <w:rPr>
          <w:rFonts w:ascii="Times New Roman" w:cs="Times New Roman" w:eastAsia="Times New Roman" w:hAnsi="Times New Roman"/>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RESTRICTED STOCK UNITS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Grant of Restricted Stock Units</w:t>
      </w:r>
      <w:r>
        <w:rPr>
          <w:rFonts w:ascii="Times New Roman" w:cs="Times New Roman" w:eastAsia="Times New Roman" w:hAnsi="Times New Roman"/>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8.2         </w:t>
      </w:r>
      <w:r>
        <w:rPr>
          <w:rFonts w:ascii="Times New Roman" w:cs="Times New Roman" w:eastAsia="Times New Roman" w:hAnsi="Times New Roman"/>
          <w:sz w:val="17"/>
          <w:szCs w:val="17"/>
          <w:u w:val="single" w:color="auto"/>
          <w:color w:val="auto"/>
        </w:rPr>
        <w:t>  Term</w:t>
      </w:r>
      <w:r>
        <w:rPr>
          <w:rFonts w:ascii="Times New Roman" w:cs="Times New Roman" w:eastAsia="Times New Roman" w:hAnsi="Times New Roman"/>
          <w:sz w:val="17"/>
          <w:szCs w:val="17"/>
          <w:color w:val="auto"/>
        </w:rPr>
        <w:t>. Except as otherwise provided herein, the term of a Restricted Stock Unit award shall be set by the Administrator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Purchase Price</w:t>
      </w:r>
      <w:r>
        <w:rPr>
          <w:rFonts w:ascii="Times New Roman" w:cs="Times New Roman" w:eastAsia="Times New Roman" w:hAnsi="Times New Roman"/>
          <w:sz w:val="18"/>
          <w:szCs w:val="18"/>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value of the consideration shall not be less than the par value of a Share, unless otherwise permitted by Applicable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Vesting of Restricted Stock Units</w:t>
      </w:r>
      <w:r>
        <w:rPr>
          <w:rFonts w:ascii="Times New Roman" w:cs="Times New Roman" w:eastAsia="Times New Roman" w:hAnsi="Times New Roman"/>
          <w:sz w:val="18"/>
          <w:szCs w:val="18"/>
          <w:color w:val="auto"/>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but the vesting period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w:t>
      </w:r>
    </w:p>
    <w:p>
      <w:pPr>
        <w:spacing w:after="0" w:line="18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Maturity and Payment</w:t>
      </w:r>
      <w:r>
        <w:rPr>
          <w:rFonts w:ascii="Times New Roman" w:cs="Times New Roman" w:eastAsia="Times New Roman" w:hAnsi="Times New Roman"/>
          <w:sz w:val="18"/>
          <w:szCs w:val="18"/>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calendar year in which the applicable portion of the Restricted Stock Unit vests; or (b)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Company’s fiscal year in which the applicable portion of the Restricted Stock Unit vests. On the maturity date, and subject to the achievement in full of any applicable Performance Goals during any applicable Performance Period,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Shares as determined by the Administrator.</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8.6         </w:t>
      </w:r>
      <w:r>
        <w:rPr>
          <w:rFonts w:ascii="Times New Roman" w:cs="Times New Roman" w:eastAsia="Times New Roman" w:hAnsi="Times New Roman"/>
          <w:sz w:val="18"/>
          <w:szCs w:val="18"/>
          <w:u w:val="single" w:color="auto"/>
          <w:color w:val="auto"/>
        </w:rPr>
        <w:t>  Settlement after Termination of Service</w:t>
      </w:r>
      <w:r>
        <w:rPr>
          <w:rFonts w:ascii="Times New Roman" w:cs="Times New Roman" w:eastAsia="Times New Roman" w:hAnsi="Times New Roman"/>
          <w:sz w:val="18"/>
          <w:szCs w:val="18"/>
          <w:color w:val="auto"/>
        </w:rPr>
        <w:t xml:space="preserve">. An Award of Restricted Stock Units shall only be settled (whether by a distribution of Shares or a payment in cash) while the Holder is an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in its sole discretion, may provide (in an Award Agreement or otherwise) that a Restricted Stock Unit award: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may be settled subsequent to a Termination of Service in the event of a Holder’s Termination of Service due to death or disability;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may continue to vest on the date(s) set out, and remain subject to such restrictions as are provided, in the applicable Program or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OTHER STOCK OR CASH BASED AWARDS AND DIVIDEND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EQUIVALENTS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Other Stock or Cash Based Awards</w:t>
      </w:r>
      <w:r>
        <w:rPr>
          <w:rFonts w:ascii="Times New Roman" w:cs="Times New Roman" w:eastAsia="Times New Roman" w:hAnsi="Times New Roman"/>
          <w:sz w:val="18"/>
          <w:szCs w:val="18"/>
          <w:color w:val="auto"/>
        </w:rPr>
        <w:t xml:space="preserve">.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but the vesting period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Dividend Equivalents</w:t>
      </w:r>
      <w:r>
        <w:rPr>
          <w:rFonts w:ascii="Times New Roman" w:cs="Times New Roman" w:eastAsia="Times New Roman" w:hAnsi="Times New Roman"/>
          <w:sz w:val="18"/>
          <w:szCs w:val="18"/>
          <w:color w:val="auto"/>
        </w:rPr>
        <w:t>.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The Administrator shall determine the method or methods by which payments by any Holder with respect to any Awards granted under the Plan shall be made, including, without limitation: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cash or check;</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of such proceeds is then made to the Company upon settlement of such sale;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other form of legal consideration acceptable to the Administrator in its sole discretion;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any combination of the above permitted forms of payment.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Responsibility for Taxes and Tax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As a condition of the grant, vesting and/or exercise of any Award (or any Substitute Award) granted to a Holder,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unless the Company or (if different) the Holder’s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decides not to pursue such recovery at its absolute discretion), or any other relevant taxes (including, but not limited, to any federal, state, local or foreign taxes) or tax related items (or any equivalent or similar taxes, contributions or other relevant tax-related items in any relevant jurisdiction) or required deductions, withholdings or payments legally applicable to the relevant Holder related to:</w:t>
      </w:r>
    </w:p>
    <w:p>
      <w:pPr>
        <w:spacing w:after="0" w:line="5" w:lineRule="exact"/>
        <w:rPr>
          <w:sz w:val="20"/>
          <w:szCs w:val="20"/>
          <w:color w:val="auto"/>
        </w:rPr>
      </w:pPr>
    </w:p>
    <w:p>
      <w:pPr>
        <w:jc w:val="both"/>
        <w:ind w:firstLine="8"/>
        <w:spacing w:after="0" w:line="271" w:lineRule="auto"/>
        <w:tabs>
          <w:tab w:leader="none" w:pos="22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vesting or exercise of or any benefit derived from an Award (or any Substitute Award); (ii) the transfer or issue of Shares or cash to a Holder on satisfaction of an Award (or any Substitute Award); (iii) any restrictions applicable to Shares held by a Holder ceasing to apply to those Shares; (iv) the disposal of any Shares by or on behalf of a Holder; or (v) participation in the Plan (any, a “</w:t>
      </w:r>
      <w:r>
        <w:rPr>
          <w:rFonts w:ascii="Times New Roman" w:cs="Times New Roman" w:eastAsia="Times New Roman" w:hAnsi="Times New Roman"/>
          <w:sz w:val="17"/>
          <w:szCs w:val="17"/>
          <w:u w:val="single" w:color="auto"/>
          <w:color w:val="auto"/>
        </w:rPr>
        <w:t>Tax Liability</w:t>
      </w:r>
      <w:r>
        <w:rPr>
          <w:rFonts w:ascii="Times New Roman" w:cs="Times New Roman" w:eastAsia="Times New Roman" w:hAnsi="Times New Roman"/>
          <w:sz w:val="17"/>
          <w:szCs w:val="17"/>
          <w:color w:val="auto"/>
        </w:rPr>
        <w:t>”) is and remains the responsibility of the relevant Holder and may exceed the amount actually withheld by the Company or (if different) the Employer. For the avoidance of doubt, any references to National Insurance contributions or NICs in the Plan shall be deemed to include a reference to the United Kingdom tax known as the health and social care levy.</w:t>
      </w:r>
    </w:p>
    <w:p>
      <w:pPr>
        <w:spacing w:after="0" w:line="17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Company or any Subsidiary (including the Employer, if applicable) shall have the authority and the right to deduct or withhold, or require a Holder to remit to the Company, an amount sufficient to satisfy any Tax Liability required by law to be withheld or otherwise arising with respect to any taxable event concerning a Holder arising as a result of the Plan or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The Holder irrevocably agrees to pay to the Company or (if different) the Employer the amount of any Tax Liability or enter into arrangements to the satisfaction of the Company or the Employer (as appropriate) for payment of any Tax Liability that the Company, Subsidiary or the Employer is required or authorized, or reasonably believes it is required or authorized, to withhold, pay, or account for, including (but not limited) by way of (i) cash of or check for the relevant amount paid or made payable, as applicable, to the Company or the Employer (or other relevant Subsidiary) with respect to which the relevant Tax Liability arises; (ii) withholding from the Holder’s wages or other compensation paid to the Holder by the Company or the Employer (or any other relevant Subsidiary), including (for the avoidance of doubt) any payment due to Participant pursuant to the relevant Award,</w:t>
      </w:r>
    </w:p>
    <w:p>
      <w:pPr>
        <w:spacing w:after="0" w:line="5" w:lineRule="exact"/>
        <w:rPr>
          <w:sz w:val="20"/>
          <w:szCs w:val="20"/>
          <w:color w:val="auto"/>
        </w:rPr>
      </w:pPr>
    </w:p>
    <w:p>
      <w:pPr>
        <w:jc w:val="both"/>
        <w:ind w:firstLine="8"/>
        <w:spacing w:after="0" w:line="255"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on satisfaction of an Award either through a voluntary sale or through a mandatory sale arranged by the Company (on the Holder’s behalf pursuant to this authorization) without further consent, (iv) withholding Shares that would otherwise be issued upon satisfaction of an Award or (v) in any combination of the foregoing or such other method as determined by the Company or the Administrator.</w:t>
      </w:r>
    </w:p>
    <w:p>
      <w:pPr>
        <w:spacing w:after="0" w:line="186"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(d)            The Holder will indemnify and keep indemnified the Company and any relevant Subsidiary (including the Employer, if applicable) from and against any liability for or obligation to pay any Tax Liability, regardless of any action taken by the Company or any Subsidiary (including the Employer, if applicable). Neither the Company nor any Subsidiary (including the Employer, if applicable) makes any representation or undertaking regarding the treatment of any Tax Liability in connection with the grant, vesting, exercise or payment of any Award (or any Substitute Award), any subsequent disposal of Shares or the receipt of any dividend. Neither the Company nor any Subsidiary (including the Employer, if applicable) commits to or is under any obligation to structure any Award (or any Substitute Award) to reduce or eliminate any Tax Liability or to achieve any particular tax result.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Transferability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Except as otherwise provided in Sections 10‎.3(b) and 10‎.3(c):</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No Award under the Plan may be sold, pledged, assigned or transferred in any manner other than (A) by will or the laws of descent and distribution or (B) other than in respect of an Incentive Stock Option, subject to the consent of the Administrator, pursuant to a DRO, unless and until such Award has been exercised or the Shares underlying such Award have been issued, and all restrictions applicable to such Shares have lapsed;</w:t>
      </w:r>
    </w:p>
    <w:p>
      <w:pPr>
        <w:spacing w:after="0" w:line="176"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            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(iii)            During the lifetime of the Holder, only the Holder may exercise any exercisable portion of an Award granted to such Holder under the Plan, unless (other than in respect of an Incentive Stock Option)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Applicable Laws of descent and distribution.</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Section 10‎.3(a), a Holder may, if permitted, and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or jurisdiction,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change or revocation is delivered in writing to the Administrator prior to the Holder’s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Conditions to Issuance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No fractional Shares shall be issued and the Administrator, in its sole discretion, shall determine whether cash shall be given in lieu of fractional Shares or whether such fractional Shares shall be eliminated by rounding down.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Company, in its sole discretion, may (i) retain physical possession of any share certificate evidencing Shares until any restrictions thereon shall have lapsed and/or (ii) require that the share certificates evidencing such Shares be held in custody by a designated escrow agent (which may but need not be the Company) until the restrictions thereon shall have lapsed, and that the Holder deliver a stock transfer form, endorsed in blank, relating to such Shares.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share plan administrator).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10.5       </w:t>
      </w:r>
      <w:r>
        <w:rPr>
          <w:rFonts w:ascii="Times New Roman" w:cs="Times New Roman" w:eastAsia="Times New Roman" w:hAnsi="Times New Roman"/>
          <w:sz w:val="18"/>
          <w:szCs w:val="18"/>
          <w:u w:val="single" w:color="auto"/>
          <w:color w:val="auto"/>
        </w:rPr>
        <w:t>  Malus and Claw-Back Provisions</w:t>
      </w:r>
      <w:r>
        <w:rPr>
          <w:rFonts w:ascii="Times New Roman" w:cs="Times New Roman" w:eastAsia="Times New Roman" w:hAnsi="Times New Roman"/>
          <w:sz w:val="18"/>
          <w:szCs w:val="18"/>
          <w:color w:val="auto"/>
        </w:rPr>
        <w:t>.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malus or claw-back policy implemented by the Company, including, without limitation, the LivaNova Compensation Recoupment Policy and any malus or claw-back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10.6       </w:t>
      </w:r>
      <w:r>
        <w:rPr>
          <w:rFonts w:ascii="Times New Roman" w:cs="Times New Roman" w:eastAsia="Times New Roman" w:hAnsi="Times New Roman"/>
          <w:sz w:val="18"/>
          <w:szCs w:val="18"/>
          <w:u w:val="single" w:color="auto"/>
          <w:color w:val="auto"/>
        </w:rPr>
        <w:t>  Prohibition on Repricing</w:t>
      </w:r>
      <w:r>
        <w:rPr>
          <w:rFonts w:ascii="Times New Roman" w:cs="Times New Roman" w:eastAsia="Times New Roman" w:hAnsi="Times New Roman"/>
          <w:sz w:val="18"/>
          <w:szCs w:val="18"/>
          <w:color w:val="auto"/>
        </w:rPr>
        <w:t>. Subject to Section 12‎.2, the Administrator shall not, without the approval of the shareholders of the Company,</w:t>
      </w:r>
    </w:p>
    <w:p>
      <w:pPr>
        <w:spacing w:after="0" w:line="27" w:lineRule="exact"/>
        <w:rPr>
          <w:sz w:val="20"/>
          <w:szCs w:val="20"/>
          <w:color w:val="auto"/>
        </w:rPr>
      </w:pPr>
    </w:p>
    <w:p>
      <w:pPr>
        <w:jc w:val="both"/>
        <w:ind w:firstLine="8"/>
        <w:spacing w:after="0" w:line="251"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10‎.6,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exercise price per Share of outstanding Options or Stock Appreciation Rights or to cancel outstanding Options or Stock Appreciation Rights in exchange for cash or other Awards with an exercise price per Share that is less than the exercise price per Share of the original Options or Stock Appreciation Rights without the approval of the shareholders of the Company.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10.7       </w:t>
      </w:r>
      <w:r>
        <w:rPr>
          <w:rFonts w:ascii="Times New Roman" w:cs="Times New Roman" w:eastAsia="Times New Roman" w:hAnsi="Times New Roman"/>
          <w:sz w:val="18"/>
          <w:szCs w:val="18"/>
          <w:u w:val="single" w:color="auto"/>
          <w:color w:val="auto"/>
        </w:rPr>
        <w:t>  Amendment of Awards</w:t>
      </w:r>
      <w:r>
        <w:rPr>
          <w:rFonts w:ascii="Times New Roman" w:cs="Times New Roman" w:eastAsia="Times New Roman" w:hAnsi="Times New Roman"/>
          <w:sz w:val="18"/>
          <w:szCs w:val="18"/>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12.2 or 12‎.9).</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  Data Protection</w:t>
      </w:r>
      <w:r>
        <w:rPr>
          <w:rFonts w:ascii="Times New Roman" w:cs="Times New Roman" w:eastAsia="Times New Roman" w:hAnsi="Times New Roman"/>
          <w:sz w:val="18"/>
          <w:szCs w:val="18"/>
          <w:color w:val="auto"/>
        </w:rPr>
        <w:t>. The Holder acknowledges and understands that the Company or a Subsidiary (including the Holder’s employer), as applicable, shall process personal information about the Holder for the purpose of managing and administering the Plan and the Awards, as described in the relevant Award Agreement and subject to Applicable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Administrator</w:t>
      </w:r>
      <w:r>
        <w:rPr>
          <w:rFonts w:ascii="Times New Roman" w:cs="Times New Roman" w:eastAsia="Times New Roman" w:hAnsi="Times New Roman"/>
          <w:sz w:val="18"/>
          <w:szCs w:val="18"/>
          <w:color w:val="auto"/>
        </w:rPr>
        <w:t>. The Committee shall administer the Plan (except as otherwise permitted herein). To the extent necessary to comply with Rule 16b-3 of the Exchange Act, the Committee shall take all action with respect to such Awards, and the individuals taking such action shall consist solely of two or more Non-Employee Directors, each of whom is intended to qualify as a “non-employee director” as defined by Rule 16b-3 of the Exchange Act or any successor rule. Additionally, to the extent required by Applicable Law, each of the individuals constituting the Committee shall be an “independent director” under Nasdaq Rule 5605(d)(2) or any successor rule.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Duties and Powers of Administrator</w:t>
      </w:r>
      <w:r>
        <w:rPr>
          <w:rFonts w:ascii="Times New Roman" w:cs="Times New Roman" w:eastAsia="Times New Roman" w:hAnsi="Times New Roman"/>
          <w:sz w:val="18"/>
          <w:szCs w:val="18"/>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Sections 10‎.5, 10‎.7 or 12‎.9.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Nasdaq Rule 5605(d) or any successor rule are required to be determined in the sole discretion of the Committee.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Action by the Administrator</w:t>
      </w:r>
      <w:r>
        <w:rPr>
          <w:rFonts w:ascii="Times New Roman" w:cs="Times New Roman" w:eastAsia="Times New Roman" w:hAnsi="Times New Roman"/>
          <w:sz w:val="18"/>
          <w:szCs w:val="18"/>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director,</w:t>
      </w:r>
    </w:p>
    <w:p>
      <w:pPr>
        <w:jc w:val="both"/>
        <w:spacing w:after="0" w:line="263" w:lineRule="auto"/>
        <w:rPr>
          <w:sz w:val="20"/>
          <w:szCs w:val="20"/>
          <w:color w:val="auto"/>
        </w:rPr>
      </w:pPr>
      <w:r>
        <w:rPr>
          <w:rFonts w:ascii="Times New Roman" w:cs="Times New Roman" w:eastAsia="Times New Roman" w:hAnsi="Times New Roman"/>
          <w:sz w:val="18"/>
          <w:szCs w:val="18"/>
          <w:color w:val="auto"/>
        </w:rPr>
        <w:t>officer or employee of the Company or any Subsidiary, the Company</w:t>
      </w:r>
      <w:r>
        <w:rPr>
          <w:rFonts w:ascii="Times New Roman" w:cs="Times New Roman" w:eastAsia="Times New Roman" w:hAnsi="Times New Roman"/>
          <w:sz w:val="23"/>
          <w:szCs w:val="23"/>
          <w:color w:val="auto"/>
        </w:rPr>
        <w:t>’</w:t>
      </w:r>
      <w:r>
        <w:rPr>
          <w:rFonts w:ascii="Times New Roman" w:cs="Times New Roman" w:eastAsia="Times New Roman" w:hAnsi="Times New Roman"/>
          <w:sz w:val="18"/>
          <w:szCs w:val="18"/>
          <w:color w:val="auto"/>
        </w:rPr>
        <w:t>s independent certified public accountants, or any executive compensation consultant or other professional retained by the Company to assist in the administration of the Plan.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  Authority of Administrator</w:t>
      </w:r>
      <w:r>
        <w:rPr>
          <w:rFonts w:ascii="Times New Roman" w:cs="Times New Roman" w:eastAsia="Times New Roman" w:hAnsi="Times New Roman"/>
          <w:sz w:val="18"/>
          <w:szCs w:val="18"/>
          <w:color w:val="auto"/>
        </w:rPr>
        <w:t>. Subject to the Organizational Documents, any specific designation in the Plan and Applicable Law,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has the exclusive power, authority and sole discretion 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Designate Eligible Individuals to receive Awards;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Determine the type or types of Awards to be granted to each Eligible Individual (including, without limitation, any Awards granted in tandem with another Award granted pursuant to the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Determine the number of Awards to be granted and the number of Shares to which an Award will relate;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Determine the terms and conditions of any Award granted pursuant to the Plan, including, but not limited to, the exercise price, grant price,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Determine whether, to what extent, and under what circumstances an Award may be settled in, or the exercise price of an Award may be paid in cash, Shares, other Awards, or other property, or an Award may be canceled, forfeited, or surrendered;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Prescribe the form of each Award Agreement, which need not be identical for each 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Decide all other matters that must be determined in connection with an Award;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Establish, adopt, or revise any Programs, rules and regulations as it may deem necessary or advisable to administer the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Interpret the terms of, and any matter arising pursuant to, the Plan, any Program or any Award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Make all other decisions and determinations that may be required pursuant to the Plan or as the Administrator deems necessary or advisable to administer the Plan;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Permit any Award or portion thereof to continue to vest on the date(s) set out in the applicable Program or Award Agreement in the event of a Holder’s Termination of Service due to retirement, subject to whatever terms and conditions it selects;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Accelerate wholly or partially the vesting or lapse of restrictions of any Award or portion thereof in the event of a Holder’s Termination of Service due to death or disability, subject to whatever terms and conditions it selects and Section 12‎.2.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  Decisions Binding</w:t>
      </w:r>
      <w:r>
        <w:rPr>
          <w:rFonts w:ascii="Times New Roman" w:cs="Times New Roman" w:eastAsia="Times New Roman" w:hAnsi="Times New Roman"/>
          <w:sz w:val="18"/>
          <w:szCs w:val="18"/>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  Delegation of Authority</w:t>
      </w:r>
      <w:r>
        <w:rPr>
          <w:rFonts w:ascii="Times New Roman" w:cs="Times New Roman" w:eastAsia="Times New Roman" w:hAnsi="Times New Roman"/>
          <w:sz w:val="18"/>
          <w:szCs w:val="18"/>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‎Article 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a member of the Board or an officer of the Company be delegated the authority to grant Awards to, or amend Awards held by: (a) such individual; (b) any other individual to whom authority to grant or amend Awards has been delegated hereunder; or (c) any individual who is subject to Section 16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  Amendment, Suspension or Termination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Except as otherwise provided in Section 12‎.1(b), the Plan may be wholly or partially amended or otherwise modified, suspended or terminated at any time or from time to time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provided in Sections 10‎.5, 10‎.7 or 12‎.9,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Notwithstanding Section 12.1(a), the Board may not, except as provided in Section 12‎.2, take any of the following actions without approval of the Company’s shareholders: (i) increase the limit imposed in Section 3‎.1 on the maximum number of Shares which may be issued under the Plan or the Award Limit, (ii) reduce the price per share of any outstanding Option or Stock Appreciation Right granted under the Plan or take any action prohibited under Section 10‎.6, (iii) cancel any Option or Stock Appreciation Right in exchange for cash or another Award in violation of Section 10‎.6, or (iv) any other action that may require approval of the Company’s shareholders under Applicable Law.</w:t>
      </w:r>
    </w:p>
    <w:p>
      <w:pPr>
        <w:spacing w:after="0" w:line="18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18"/>
          <w:szCs w:val="18"/>
          <w:color w:val="auto"/>
        </w:rPr>
        <w:t>(c)            No Awards may be granted or awarded during any period of suspension or after termination of the Plan, and notwithstanding anything herein to the contrary, in no event may any Award be granted under the Plan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earlier of: (i) the date on which the Plan was adopted by the Board or (ii) the date the Plan was approved by the Company’s shareholders (such anniversary,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Any Awards that are outstanding on the Expiration Date shall remain in force according to the terms of the Plan, the applicable Program and the applicable Award Agreement.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  Changes in Shares or Assets of the Company, Acquisition or Liquidation of the Company and Other Corporate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other than an Equity Restructuring, the Administrator will make equitable adjustments, if any, as the Administrator, in its sole discretion, may deem appropriate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9" w:name="page40"/>
    <w:bookmarkEnd w:id="3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In the event of any transaction or event described in Section 12‎.2(a)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89"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            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18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(iii)            To make adjustments in the number and type of Shares (or other securities or property) subject to outstanding Awards, and/or in the terms and conditions of (including the grant or exercise price), and the criteria included in, outstanding Awards and Awards which may be granted in the future;</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To provide that such Award shall be exercisable or payable or fully vested with respect to all Shares covered thereby, notwithstanding anything to the contrary in the Plan or the applicable Program or Award Agreement;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To replace such Award with other rights or property selected by the Administrator; and/or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To provide that the Award cannot vest, be exercised or become payable after such event.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(c)            In connection with the occurrence of any Equity Restructuring, and notwithstanding anything to the contrary in Sections 12.2(a) and ‎12.2(b):</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            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Notwithstanding any other provision of the Plan, in the event of a Change in Control, unless the Administrator elects to</w:t>
      </w:r>
    </w:p>
    <w:p>
      <w:pPr>
        <w:spacing w:after="0" w:line="27" w:lineRule="exact"/>
        <w:rPr>
          <w:sz w:val="20"/>
          <w:szCs w:val="20"/>
          <w:color w:val="auto"/>
        </w:rPr>
      </w:pPr>
    </w:p>
    <w:p>
      <w:pPr>
        <w:jc w:val="both"/>
        <w:ind w:firstLine="8"/>
        <w:spacing w:after="0" w:line="253" w:lineRule="auto"/>
        <w:tabs>
          <w:tab w:leader="none" w:pos="2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 Award in exchange for cash, rights or property, or (ii) cause an Award to become fully exercisable and no longer subject to any forfeiture restrictions prior to the consummation of a Change in Control, pursuant to this Section 12‎.2,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For the purposes of this Section 12‎.2, an Award shall be considered assumed if, following the Change in Control, the Award confers the right to purchase or receive, for each Share subject to the Award immediately prior to the Change in Control, the consideration (whether in shares,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an Award that vests, is earned or paid-out based upon achievement of Performance Goals will not be considered assumed if such Performance Goals are modified without the Holder’s consent in a manner that could reasonably be expected to have a material adverse impact on the Holder, although a modification to such Performance Goals only to reflect the successor corporation’s post-Change in Control corporate structure will not be deemed to invalidate an otherwise valid Award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            The existence of the Plan, any Program, any Award Agreement and/or the Awards granted hereunder shall not affect or restrict in any way the right or power of the Company or the shareholders of the Company to make or authorize any adjustment, recapitalization, reorganization or other change in the Company’s capital structure or its business, any merger or consolidation of the Company, any issue of shares or of options, warrants or rights to purchase shares or of bonds, debentures, or preference shares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In the event of any pending dividend in specie, sub-division of shares, combination or exchange of shares, merger, consolidation of shares, or other distribution (other than normal cash dividends) of Company assets to shareholders, or any other change affecting the Shares or the 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  No Shareholders Rights</w:t>
      </w:r>
      <w:r>
        <w:rPr>
          <w:rFonts w:ascii="Times New Roman" w:cs="Times New Roman" w:eastAsia="Times New Roman" w:hAnsi="Times New Roman"/>
          <w:sz w:val="18"/>
          <w:szCs w:val="18"/>
          <w:color w:val="auto"/>
        </w:rPr>
        <w:t>. Except as otherwise provided herein or in an applicable Program or Award Agreement, a Holder shall have none of the rights of a shareholder with respect to Shares covered by any Award until the Holder becomes the record owner of such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  Paperless Administration</w:t>
      </w:r>
      <w:r>
        <w:rPr>
          <w:rFonts w:ascii="Times New Roman" w:cs="Times New Roman" w:eastAsia="Times New Roman" w:hAnsi="Times New Roman"/>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  Effect of Plan upon Other Compensation Plans</w:t>
      </w:r>
      <w:r>
        <w:rPr>
          <w:rFonts w:ascii="Times New Roman" w:cs="Times New Roman" w:eastAsia="Times New Roman" w:hAnsi="Times New Roman"/>
          <w:sz w:val="18"/>
          <w:szCs w:val="18"/>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Non-Employee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shares or assets of any corporation, partnership, limited liability company, firm or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  Titles and Headings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References to Sections of Applicable Law</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or any other Applicable Law shall include any amendment or successor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12‎.9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12.10          </w:t>
      </w:r>
      <w:r>
        <w:rPr>
          <w:rFonts w:ascii="Times New Roman" w:cs="Times New Roman" w:eastAsia="Times New Roman" w:hAnsi="Times New Roman"/>
          <w:sz w:val="18"/>
          <w:szCs w:val="18"/>
          <w:u w:val="single" w:color="auto"/>
          <w:color w:val="auto"/>
        </w:rPr>
        <w:t>  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12.11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12.12          </w:t>
      </w:r>
      <w:r>
        <w:rPr>
          <w:rFonts w:ascii="Times New Roman" w:cs="Times New Roman" w:eastAsia="Times New Roman" w:hAnsi="Times New Roman"/>
          <w:sz w:val="18"/>
          <w:szCs w:val="18"/>
          <w:u w:val="single" w:color="auto"/>
          <w:color w:val="auto"/>
        </w:rPr>
        <w:t>  Relationship to other Benefits</w:t>
      </w:r>
      <w:r>
        <w:rPr>
          <w:rFonts w:ascii="Times New Roman" w:cs="Times New Roman" w:eastAsia="Times New Roman" w:hAnsi="Times New Roman"/>
          <w:sz w:val="18"/>
          <w:szCs w:val="18"/>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12.13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expenses of administering the Plan shall be borne by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who are Canadian Holders (as defined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APPLICATION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Appendix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which is part of the Plan, contains the additional “terms and conditions” of the Plan, any Program, and the Award Agreements that will apply to a Holder if:</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at the time the Holder receives a grant of an Award under the Plan, such Holder performs some or all of the duties of the Holder’s engagement with the Company (or any Subsidiary) in Canada (other than where such performance in Canada is not significant in scope and is incidental to duties performed by the relevant Holder outside Canada); 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after the receipt by the Holder of a grant of an Award under the Plan, such Holder commences performing some or all of the duties of the Holder’s engagement with the Company (or any Subsidiary) in Canada (other than where such performance in Canada is not significant in scope and is incidental to duties performed by the relevant Holder outside Canada, in which case the additional terms and conditions of this Appendix A shall be deemed to apply from the date on which the relevant Award was granted),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such a Holder being a “</w:t>
      </w:r>
      <w:r>
        <w:rPr>
          <w:rFonts w:ascii="Times New Roman" w:cs="Times New Roman" w:eastAsia="Times New Roman" w:hAnsi="Times New Roman"/>
          <w:sz w:val="18"/>
          <w:szCs w:val="18"/>
          <w:u w:val="single" w:color="auto"/>
          <w:color w:val="auto"/>
        </w:rPr>
        <w:t>Canadian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conflict between the terms of the Plan, any applicable Program or an Award Agreement and the terms of this Appendix A with respect to a Canadian Holder, the terms of this Appendix A shall govern. Capitalized terms used but not defined herein shall have the same meanings assigned to them in the Plan, any applicable Program or the Award Agreements.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22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Section 10.3(c) of the Plan, all references to a Holder being “married” and/or the Holder’s “spouse” shall be read as including references to a Holder being in a common law or civil partnership and/or being a spouse, and all references to a Holder’s “spouse” shall be read as including references to a Holder’s civil or common law partner as well as being married.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other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supplements Section 12.12 of the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Plan shall not form part of any contract of employment between any Canadian Holder and his or her Employer.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No Canadian Holder shall have any right to compensation or damages from the Company, any Subsidiary or the Administrator or any of their respective affiliates on account of any loss of any right to vest or the lapsing, cancellation or forfeiture of any Award under the Plan, where such loss arises (or is claimed to arise) in whole or in part from (i) the termination of such Canadian Holder’s employment by, or (ii) notice to terminate such Canadian Holder’s employment given by or to, the Company or any Subsidiary, subject only to the minimum entitlements under the Applicable Laws, including the applicable employment standards legislation.</w:t>
      </w:r>
    </w:p>
    <w:p>
      <w:pPr>
        <w:spacing w:after="0" w:line="183"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The parties acknowledge having requested that the present Agreement and all related documents be drafted in English only. </w:t>
      </w:r>
      <w:r>
        <w:rPr>
          <w:rFonts w:ascii="Times New Roman" w:cs="Times New Roman" w:eastAsia="Times New Roman" w:hAnsi="Times New Roman"/>
          <w:sz w:val="18"/>
          <w:szCs w:val="18"/>
          <w:b w:val="1"/>
          <w:bCs w:val="1"/>
          <w:i w:val="1"/>
          <w:iCs w:val="1"/>
          <w:color w:val="auto"/>
        </w:rPr>
        <w:t>Les parties reconnaissent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avoir demandé que le présent contrat et les documents joints soient rédigés en anglais seulement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who are French Holders (as defined below)</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Administrator has adopted this French sub-plan (the “</w:t>
      </w:r>
      <w:r>
        <w:rPr>
          <w:rFonts w:ascii="Times New Roman" w:cs="Times New Roman" w:eastAsia="Times New Roman" w:hAnsi="Times New Roman"/>
          <w:sz w:val="18"/>
          <w:szCs w:val="18"/>
          <w:u w:val="single" w:color="auto"/>
          <w:color w:val="auto"/>
        </w:rPr>
        <w:t>French Sub-Plan</w:t>
      </w:r>
      <w:r>
        <w:rPr>
          <w:rFonts w:ascii="Times New Roman" w:cs="Times New Roman" w:eastAsia="Times New Roman" w:hAnsi="Times New Roman"/>
          <w:sz w:val="18"/>
          <w:szCs w:val="18"/>
          <w:color w:val="auto"/>
        </w:rPr>
        <w:t>”) pursuant to the powers granted to the Administrator in Section 4‎.5 of the Plan (as it may be amended or restated from time to time), subject to the approval of the shareholders of the Company which was received on June 13, 2022. This French Sub-Plan provides additional definitions and conditions that will apply to the operation of the Plan with respect to Restricted Stock Units granted to a French Holder in the employ of a French Subsidiary (as defined below).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primary purpose of the French Sub-Plan is to amend those provisions of the Plan which are required to be amended in order for Awards of Restricted Stock Units made under the Plan, to comply with French tax, social and corporate rules, applicable to shares granted for no consideration under Sections L. 225-197-1 to L. 225-197-6 of the French Commercial Code, as amended, in order to allow the French Holder to benefit from the related favorable tax and social regime as set out in particular in 80 </w:t>
      </w:r>
      <w:r>
        <w:rPr>
          <w:rFonts w:ascii="Times New Roman" w:cs="Times New Roman" w:eastAsia="Times New Roman" w:hAnsi="Times New Roman"/>
          <w:sz w:val="18"/>
          <w:szCs w:val="18"/>
          <w:i w:val="1"/>
          <w:iCs w:val="1"/>
          <w:color w:val="auto"/>
        </w:rPr>
        <w:t>quaterdecies</w:t>
      </w:r>
      <w:r>
        <w:rPr>
          <w:rFonts w:ascii="Times New Roman" w:cs="Times New Roman" w:eastAsia="Times New Roman" w:hAnsi="Times New Roman"/>
          <w:sz w:val="18"/>
          <w:szCs w:val="18"/>
          <w:color w:val="auto"/>
        </w:rPr>
        <w:t xml:space="preserve"> of the French Tax Code and L. 242 1 of the French Social Security Code; provided, however, that, nothing in the French Sub-Plan shall be construed as a guarantee or an undertaking by the Company, or any of its French Subsidiaries that such regime will effectively apply. In particular, the Company reserves the right to take actions that may subsequently result in the disqualification of the Restricted Stock Units granted under the French Sub-Plan for French tax and/or social security purposes.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additional terms and conditions provided for by the French Sub-Plan are specific to the French Holders in the employ of a French Subsidiary only and do not affect the rights afforded to any other individual granted Restricted Stock Units or any other award under the Plan. The additional terms and conditions provided for by the French Sub-Plan also do not affect the terms of the Plan for purposes of compliance with U.S. laws (including, without limitation, tax and securities laws).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herein shall have the meanings specified in the Plan. In addition, the following terms shall have the meanings set forth below: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given date, the opening sales price for a Share as quoted on the Nasdaq Global Select Market for such date or, if there is no opening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French Holder</w:t>
      </w:r>
      <w:r>
        <w:rPr>
          <w:rFonts w:ascii="Times New Roman" w:cs="Times New Roman" w:eastAsia="Times New Roman" w:hAnsi="Times New Roman"/>
          <w:sz w:val="18"/>
          <w:szCs w:val="18"/>
          <w:color w:val="auto"/>
        </w:rPr>
        <w:t>” shall mean an Eligible Individual who has been granted Restricted Stock Units pursuant to the Plan as amended by the French Sub-Plan.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French Subsidiary</w:t>
      </w:r>
      <w:r>
        <w:rPr>
          <w:rFonts w:ascii="Times New Roman" w:cs="Times New Roman" w:eastAsia="Times New Roman" w:hAnsi="Times New Roman"/>
          <w:sz w:val="18"/>
          <w:szCs w:val="18"/>
          <w:color w:val="auto"/>
        </w:rPr>
        <w:t>” shall mean a company incorporated according to the laws of France in which the Company holds, directly or indirectly, at least 10% of the share capital or the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shall mean the date on which the Administrator (i) makes the determination granting the Restricted Stock Units to an Eligible Individual, and (ii) determines the number of Restricted Stock Units granted to such Eligible Individual and (iii) determines the consideration to be paid, if 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this French Sub-Plan form an integral part of the Plan and each Restricted Stock Unit granted to an Eligible Individual in the employ of a French Subsidiary shall be governed by the provisions of this French Sub-Plan (unless provided otherwise in the Award Agreement). In the event of any inconsistency between the Plan and the French Sub-Plan, the terms of the French Sub-Plan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French Holders may not obtain rights or benefits under the French Sub-Plan if not entitled to such rights or benefits pursuant to the provisions of the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 other provisions of the Plan, only Restricted Stock Units as provided under article 8 of the Plan may be granted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French Sub-Plan to Eligible Individuals resident in France as follows:</w:t>
      </w:r>
    </w:p>
    <w:p>
      <w:pPr>
        <w:spacing w:after="0" w:line="207"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Individual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person employed by a French Subsidiary under the terms of a written or oral employment agreement, resident and providing services in France who might be granted Restricted Stock Units under French law and who would be subject to taxation in France with respect to income derived from such grants is an Eligible Individual for the purpose of this French Sub-Plan, provided that this person does not own, on the Grant Date and/or will not own as a result of the delivery of the Shares derived from the Restricted Stock Units, shares representing more than 10% of the issued share capital of the Company. Compliance with this 10% threshold will be analyzed on the Grant Date.</w:t>
      </w:r>
    </w:p>
    <w:p>
      <w:pPr>
        <w:spacing w:after="0" w:line="183"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Restricted Stock Units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number of Restricted Stock Units granted under the French Sub-Plan is subject to the Plan limits and, in no event, may exceed 10% of the Company’s stock upon the Grant Date (when added together with other Restricted Stock Units granted by the Company under the Plan, but excluding Restricted Stock Units which have not vested at the end of the Acquisition Period and Shares underlying the Restricted Stock Units which are no longer subject to a Holding Period).</w:t>
      </w:r>
    </w:p>
    <w:p>
      <w:pPr>
        <w:spacing w:after="0" w:line="180"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grant of Restricted Stock Units under this French Sub-Plan is an irrevocable commitment of the Company for the benefit of the French Holder, subject to such French Holder’s compliance with the provisions of the Plan, the French Sub-Plan and any applicable vesting conditions.</w:t>
      </w:r>
    </w:p>
    <w:p>
      <w:pPr>
        <w:spacing w:after="0" w:line="16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of Restricted Stock Units and the related delivery of Shares to a French Holder will be made for no consideration or, if consideration is required by the law governing the Plan or the company law to which the Company is subject, for a consideration that will not exceed 5% of the Fair Market Value of the Shares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 Delivery of Shares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Stock Units may only be settled in Shares. Without prejudice to any additional vesting and/or delivery conditions that may be set by the Administrator and included in the Award Agreement, Shares delivered in settlement of the Restricted Stock Units cannot be delivered (the “</w:t>
      </w:r>
      <w:r>
        <w:rPr>
          <w:rFonts w:ascii="Times New Roman" w:cs="Times New Roman" w:eastAsia="Times New Roman" w:hAnsi="Times New Roman"/>
          <w:sz w:val="18"/>
          <w:szCs w:val="18"/>
          <w:u w:val="single" w:color="auto"/>
          <w:color w:val="auto"/>
        </w:rPr>
        <w:t>Delivery Date</w:t>
      </w:r>
      <w:r>
        <w:rPr>
          <w:rFonts w:ascii="Times New Roman" w:cs="Times New Roman" w:eastAsia="Times New Roman" w:hAnsi="Times New Roman"/>
          <w:sz w:val="18"/>
          <w:szCs w:val="18"/>
          <w:color w:val="auto"/>
        </w:rPr>
        <w:t>”) to a French Holder prior to the expiration of a one year period (the “</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 from the Grant Date. The Shares shall be definitely vested at the end of the Acquisition Period or any longer vesting period provided in the Award Agreement and shall be delivered shortly thereafter. No forfeiture of the Shares can happen between the term of the Acquisition Period, or such longer vesting period provided in the Award Agreement, and the delivery (or the maturity or payment date) of the Shares.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the French Holder’s disability of the second or third category (as determined in accordance with Article L 341-4 of the French Social Security Code), the Restricted Stock Units shall immediately vest and the Administrator shall cause the accelerated delivery of the Shares promptly after such event. In addition, in the event of the French Holder’s death, the heirs may request in writing the delivery of the Shares within a six-month period following the French Holder’s death, and the Administrator shall cause such accelerated vesting and delivery promptly after the receipt of such request. Finally, the Administrator may substitute for any outstanding Restricted Stock Units an alternative award, upon the occurrence of the corporate transactions and under the conditions referred to under Article L 225-197-1, III of the French Commercial Code. Otherwise, the Restricted Stock Units may neither be assigned nor transferred in any way during the Acquisition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delivered in settlement of the Restricted Stock Units will be kept in book-entry registration.</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delivered to the French Holder prior to the end of the second anniversary of the Grant Date cannot be transferred in any manner whatsoever by the French Holder for the period of time from the Delivery Date until after the expiry of the second anniversary of the Grant Date (the “</w:t>
      </w:r>
      <w:r>
        <w:rPr>
          <w:rFonts w:ascii="Times New Roman" w:cs="Times New Roman" w:eastAsia="Times New Roman" w:hAnsi="Times New Roman"/>
          <w:sz w:val="18"/>
          <w:szCs w:val="18"/>
          <w:u w:val="single" w:color="auto"/>
          <w:color w:val="auto"/>
        </w:rPr>
        <w:t>Holding Period</w:t>
      </w:r>
      <w:r>
        <w:rPr>
          <w:rFonts w:ascii="Times New Roman" w:cs="Times New Roman" w:eastAsia="Times New Roman" w:hAnsi="Times New Roman"/>
          <w:sz w:val="18"/>
          <w:szCs w:val="18"/>
          <w:color w:val="auto"/>
        </w:rPr>
        <w:t>”), except: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in the case of death of the French Holder or in the event of the French Holder’s disability of the second or third category (as determined in accordance with Article L 341-4 of the French Social Security Code),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in the event of the corporate transactions and under the conditions referred to under Article L 225-197-1, III of the French Commercial Code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subject to complying with the rollover mechanisms set forth therein.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duration of the Holding Period, if any, shall be determined in the Award Agreement</w:t>
      </w:r>
      <w:r>
        <w:rPr>
          <w:rFonts w:ascii="Times New Roman" w:cs="Times New Roman" w:eastAsia="Times New Roman" w:hAnsi="Times New Roman"/>
          <w:sz w:val="25"/>
          <w:szCs w:val="25"/>
          <w:color w:val="auto"/>
        </w:rPr>
        <w:t>.</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when transferability restrictions have lapsed, the Shares cannot be sold (i) during the thirty calendar day period preceding the announcement of an annual or intermediary financial report that the Company is required to publish and (iii) during the black-out periods provided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 French Holder does not comply with these requirements, such French Holder shall be liable for all consequences that the French Subsidiary may suffer as a result of such breach and undertakes to indemnify the French Subsidiary in respect of any amounts that may become payable by the French Subsidiary as a result of such breach.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Beneficiaries will not benefit from the payment in cash provided for by Section 8‎.5 of the Plan nor from the payment of Dividend Equivalents provided for by Section 9‎.2 of the Plan.</w:t>
      </w:r>
    </w:p>
    <w:p>
      <w:pPr>
        <w:spacing w:after="0" w:line="16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10‎.2 of the Plan will apply to Awards of Restricted stock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French Holders will not satisfy their obligations by having the Company withhold from the number of Shares distributable, if any, a number of Shares having an aggregate value equal to the amount of the required withholding tax. For the avoidance of doubt, any sale of Shares to satisfy the payment of any Tax Liability shall occur only after the expiration of the Holding Period.</w:t>
      </w:r>
    </w:p>
    <w:p>
      <w:pPr>
        <w:spacing w:after="0" w:line="180"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provisions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provisions of Section 12‎.2 of the Plan will apply to the Restricted Stock Units granted under this French Sub-Plan;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Administrator may in its sole discretion decide not to apply all or part of the provisions of Section 12‎.2 of the Plan to such Restricted Stock Units or to apply to such Restricted Stock Units different measures than those applied to other Restricted Stock Units granted pursuant to the Plan, in each case, in order to comply with French law requirements;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for the avoidance of doubt, the provisions of this Section 9 shall not be construed as an undertaking of the Company or the Administrator to apply the provisions of Section 12‎.2 in a way that would preserve the favorable tax and social regime as set out in particular in Articles 80 </w:t>
      </w:r>
      <w:r>
        <w:rPr>
          <w:rFonts w:ascii="Times New Roman" w:cs="Times New Roman" w:eastAsia="Times New Roman" w:hAnsi="Times New Roman"/>
          <w:sz w:val="18"/>
          <w:szCs w:val="18"/>
          <w:i w:val="1"/>
          <w:iCs w:val="1"/>
          <w:color w:val="auto"/>
        </w:rPr>
        <w:t>quaterdecies</w:t>
      </w:r>
      <w:r>
        <w:rPr>
          <w:rFonts w:ascii="Times New Roman" w:cs="Times New Roman" w:eastAsia="Times New Roman" w:hAnsi="Times New Roman"/>
          <w:sz w:val="18"/>
          <w:szCs w:val="18"/>
          <w:color w:val="auto"/>
        </w:rPr>
        <w:t xml:space="preserve"> of the French Tax Code and L. 242 1 of the French Social Security Code.</w:t>
      </w:r>
    </w:p>
    <w:p>
      <w:pPr>
        <w:spacing w:after="0" w:line="187"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Plan, the Administrator reserves the right to amend or terminate this French Sub-Plan at any time.</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prejudice to the provisions of the Plan expressly or impliedly set aside or modified by this French Sub-Plan, Article‎ 5, Article‎ 6, Article‎ 7 and Article 9 of the Plan and Sections 10‎.3(a)(iii), 10‎.6, 11‎.6 of the Plan will not apply to French Holders. Unless provided otherwise in this French Sub-Plan, the terms and conditions of the Plan shall remain unchanged.</w:t>
      </w:r>
    </w:p>
    <w:p>
      <w:pPr>
        <w:spacing w:after="0" w:line="176"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Any Eligible Individual accepting an Award of Restricted Stock Units under this French Sub-Plan acknowledges in doing so that he or she is proficient in English and that he or she fully understands the terms and conditions thereof, as well as those of the Plan. </w:t>
      </w:r>
      <w:r>
        <w:rPr>
          <w:rFonts w:ascii="Times New Roman" w:cs="Times New Roman" w:eastAsia="Times New Roman" w:hAnsi="Times New Roman"/>
          <w:sz w:val="18"/>
          <w:szCs w:val="18"/>
          <w:b w:val="1"/>
          <w:bCs w:val="1"/>
          <w:i w:val="1"/>
          <w:iCs w:val="1"/>
          <w:color w:val="auto"/>
        </w:rPr>
        <w:t>L’Individu Eligible qui accepte une attribution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gratuite d’actions reconnait qu’il ou elle maitrise l’anglais et qu’il ou elle comprend entièrement les termes et conditions du Sous Plan ainsi que ceux du 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who are German Holders (as defined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APPLICATION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Appendix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which is part of the Plan, contains the additional “terms and conditions” of the Plan, any Program, and the Award Agreements that will apply to a Holder if:</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at the time the Holder receives a grant of an Award under the Plan, such Holder is resident in Germany for tax purposes or performs some or all of the duties of the Holder’s engagement with the Company (or any Subsidiary) in Germany (other where such performance in Germany is not significant in scope and is incidental to duties performed by the relevant Holder outside Germany); 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after the receipt by the Holder of a grant of an Award under the Plan, such Holder becomes resident in Germany for tax purposes, or commences performing some or all of the duties of the Holder’s engagement with a Subsidiary in Germany (other than where such performance in Germany is not significant in scope and is incidental to duties performed by the relevant Holder outside Germany), in which case the additional terms and conditions of this Appendix C shall be deemed to apply from the date on which the relevant Award was granted); or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in all other cases if a Holder is subject to tax in Germany with respect to any Award or grant, vesting, exercise or event or payment or otherwise in connection therewith,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such a Holder being a “</w:t>
      </w:r>
      <w:r>
        <w:rPr>
          <w:rFonts w:ascii="Times New Roman" w:cs="Times New Roman" w:eastAsia="Times New Roman" w:hAnsi="Times New Roman"/>
          <w:sz w:val="18"/>
          <w:szCs w:val="18"/>
          <w:u w:val="single" w:color="auto"/>
          <w:color w:val="auto"/>
        </w:rPr>
        <w:t>German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conflict between the terms of the Plan, any applicable Program or an Award Agreement and the terms of this Appendix C with respect to a German Holder, the terms of this Appendix C shall govern. Capitalized terms used but not defined herein shall have the same meanings assigned to them in the Plan, any applicable Program or the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Taxation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supplements, but does not limit,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 of the Plan:</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Holder irrevocably agrees to pay to the Company or (if different) the Employer the amount of any Tax Liability or enter into arrangements to the satisfaction of the Company or the Employer (as appropriate) for payment of any Tax Liability.</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The Holder further irrevocably agrees to fully indemnify the Company and (if different) the Employer against any and all liabilities vis-à-vis the German tax authorities in connection with the grant, vesting, exercise of or otherwise in connection with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including any secondary liability (</w:t>
      </w:r>
      <w:r>
        <w:rPr>
          <w:rFonts w:ascii="Times New Roman" w:cs="Times New Roman" w:eastAsia="Times New Roman" w:hAnsi="Times New Roman"/>
          <w:sz w:val="18"/>
          <w:szCs w:val="18"/>
          <w:i w:val="1"/>
          <w:iCs w:val="1"/>
          <w:color w:val="auto"/>
        </w:rPr>
        <w:t>Haftung</w:t>
      </w:r>
      <w:r>
        <w:rPr>
          <w:rFonts w:ascii="Times New Roman" w:cs="Times New Roman" w:eastAsia="Times New Roman" w:hAnsi="Times New Roman"/>
          <w:sz w:val="18"/>
          <w:szCs w:val="18"/>
          <w:color w:val="auto"/>
        </w:rPr>
        <w:t>) for taxes by the Employer or the Company and including any interest and penalties as well as reasonable costs and fees thereon, if any.</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The Holder hereby undertakes and shall be responsible for notifying and reporting to the Company or (if different) the Employer any taxable benefits, payments or other taxable events for German tax purposes without undue delay upon the Holder becoming aware thereof, and in any event at the latest six weeks before accrual (</w:t>
      </w:r>
      <w:r>
        <w:rPr>
          <w:rFonts w:ascii="Times New Roman" w:cs="Times New Roman" w:eastAsia="Times New Roman" w:hAnsi="Times New Roman"/>
          <w:sz w:val="18"/>
          <w:szCs w:val="18"/>
          <w:i w:val="1"/>
          <w:iCs w:val="1"/>
          <w:color w:val="auto"/>
        </w:rPr>
        <w:t>Zufluss</w:t>
      </w:r>
      <w:r>
        <w:rPr>
          <w:rFonts w:ascii="Times New Roman" w:cs="Times New Roman" w:eastAsia="Times New Roman" w:hAnsi="Times New Roman"/>
          <w:sz w:val="18"/>
          <w:szCs w:val="18"/>
          <w:color w:val="auto"/>
        </w:rPr>
        <w:t>) to the Holder and moreover in any event in compliance with all applicable German tax provisions, rules, regulations and guidance issued by the German tax authorities. The Holder will obtain tax advice by own individual qualified German tax counsel to ensure compliance in connection with this undertaking also will also comply with any other reporting, notification and German tax filing obligation vis-à-vis the German tax authorities.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Transferability of Awards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In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.3(c) of the Plan, all references to a Holder being “married” shall be read as including references to a Holder being in a civil partnership, and all references to a Holder’s “spouse” shall be read as including references to a Holder’s civil partner.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Grant by the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Awards are granted to German Holders by the Administrator on behalf of the Company as part of a group-wide program and not on behalf of his or her Employer.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Plan shall not form part of the employment relationship between any German Holder and his or her Employer.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Awards granted to German Holders shall not form a part of the remuneration under the German Holder’s employment relationship with his or her Employer (including, without limitation, normal or expected wages, salary or any kind of fixed or variable components of remuneration).</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As regards Other Stock or Cash Based Awards granted to a German Holder, the last sentence of Section 9.2 shall be deleted in its entirety and replaced with the following:</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“Other Stock or Cash Based Awards may be paid in cash, Shares, or a combination of cash and Shares, as determined by the Administrator, and may be available as a form of payment in the settlement of other Awards granted under the Plan, as stand-alone payments, but not as part of the remuneration under the German Holder’s employment relationship with his or her Employer (in particular, not as: (i) a part of any kind of fixed or variable components of remuneration, any bonus, deferred bonus, deferred compensation or other arrangement; or (ii) a payment in lieu of compensation to which an German Holder is otherwise entitled under the German Holder’s employment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In addition to Section 12‎.12, any income recognized by the German Holder as a result of any Award will not be included in the formula for calculating benefits under the German Holder’s employment relationship or any retirement, disability or any other benefit plan or any other plan (including, but not limited to, any social plan, as well as any severance, resignation, termination, redundancy, dismissal, end of service payments, bonuses, holiday pay, long-service awards, pension or retirement benefits or similar payments, or any post-contractual non-compete compensation, if any) provided by, or otherwise applicable under the German Holder’s employment relationship with, his or her Employer.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No German Holder shall have any right to compensation or damages from the Company, any Subsidiary (including his or her Employer) or the Administrator or any of their respective affiliates on account of any loss of any right to vest or the lapsing, cancellation or forfeiture of any Award under the Plan, where such loss arises (or is claimed to arise) in whole or in part from: (i) the termination of such German Holder’s employment by; or (ii) notice to terminate such German Holder’s employment given by or to, his or her Employer. For the avoidance of doubt, any rights of a German Holder against his or her Employer under German law in connection with an unfair dismissal remain unaffected.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Language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Before any Award is granted to any German Holder, the relevant German Holder, when accepting the Award, shall acknowledge in doing so that he or she is proficient in English (or thought appropriate advice) and that he or she fully understands the terms and conditions thereof, as well as those of the Plan.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German Holder shall not have any entitlement against the Company, any Subsidiary (including his or her Employer) or the Administrator or any of their respective affiliates to be provided with a version of the Award, the Plan or any other documents related thereto in the German language.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costs, fees or expenses incurred by a German Holder in connection with the delivery of any Award, the Plan and any other documents related thereto in the English language shall be solely borne by the German Holder. For the avoidance of doubt, any such costs, fees or expenses shall not be considered as expenses of administering the Plan; Section 12‎.13 shall be interpreted and construed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who are Singapore Holders (as defined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APPLICATION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Appendix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which is part of the Plan, contains the additional “terms and conditions” of the Plan, any Program, and the Award Agreements that will apply to a Holder who is resident in the Republic of Singapore, and an Employees of a company incorporated according to Singapore law, which is controlled by the Company either directly or indirectly (a “</w:t>
      </w:r>
      <w:r>
        <w:rPr>
          <w:rFonts w:ascii="Times New Roman" w:cs="Times New Roman" w:eastAsia="Times New Roman" w:hAnsi="Times New Roman"/>
          <w:sz w:val="18"/>
          <w:szCs w:val="18"/>
          <w:u w:val="single" w:color="auto"/>
          <w:color w:val="auto"/>
        </w:rPr>
        <w:t>Singapore Subsidiary</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Singapore Holder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this Appendix D is to establish certain rules and limitations applicable to the allotment, acceptance and exercise and settlement of Awards and to any Shares that may be allotted in connection with Awards under the Plan from time to time, in compliance with securities and other applicable laws currently in force. Except as otherwise provided by this Appendix D, and/or by any Singaporean mandatory provision regarding employment, central provident fund matters, personal capacity/disability, succession (inheritance) applicable to the Singapore Holders, all Awards granted pursuant to this Appendix D and the relevant Shares shall be governed by the terms of the Plan, save as otherwise set out in this Appendix 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Plan and this Appendix D shall be read together. In any case of any inconsistency between the provisions of this Appendix D and the Plan, the provisions of the Plan shall govern unless expressly stated otherwise in this Appendix 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capitalized term not specifically defined in this Appendix D shall be construed according to the definition or interpretation given to it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Eligibility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Singapore Holders are eligible to be awarded Awards under the Plan, if they are employed by a Singapore Subsidiary and meet the conditions set out in the Plan. The personal capacity to be an Eligible Employee shall be constructed and determined in accordance with Singapore law.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Eligible Employee resident in the Republic of Singapore must qualify as a “Qualifying Person” in accordance with Section 273(1)(i) and 273(4) of the Securities and Futures Act 2001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Events related to the Employment Relationship</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provisions applicable in case of Termination of Service, disability, inability to work and inheritance rights shall be constructed and regulated in accordance with Singapore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Restrictions on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Employees resident in the Republic of Singapore are not permitted to transfer: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any Awards until a period of at least 6 months has elapsed from the Grant Date; or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            any Shares received upon the exercise or settlement of any Award until a period of at least 6 months has elapsed from the date the Shares are issued or transferred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APPENDIX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who are United Kingdom Holders (as defined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APPLICATION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Appendix (“</w:t>
      </w:r>
      <w:r>
        <w:rPr>
          <w:rFonts w:ascii="Times New Roman" w:cs="Times New Roman" w:eastAsia="Times New Roman" w:hAnsi="Times New Roman"/>
          <w:sz w:val="18"/>
          <w:szCs w:val="18"/>
          <w:u w:val="single" w:color="auto"/>
          <w:color w:val="auto"/>
        </w:rPr>
        <w:t>Appendix E</w:t>
      </w:r>
      <w:r>
        <w:rPr>
          <w:rFonts w:ascii="Times New Roman" w:cs="Times New Roman" w:eastAsia="Times New Roman" w:hAnsi="Times New Roman"/>
          <w:sz w:val="18"/>
          <w:szCs w:val="18"/>
          <w:color w:val="auto"/>
        </w:rPr>
        <w:t>”), which is part of the Plan, contains the additional “terms and conditions” of the Plan, any Program, and the Award Agreements that will apply to a Holder if:</w:t>
      </w:r>
    </w:p>
    <w:p>
      <w:pPr>
        <w:spacing w:after="0" w:line="16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(a)            at the time the Holder receives a grant of an Award under the Plan, such Holder is resident in the United Kingdom for tax purposes or performs some or all of the duties of the Holder’s engagement with the Company (or any Subsidiary) in the United Kingdom (other where such performance in the United Kingdom is not significant in scope and is incidental to duties performed by the relevant Holder outside the United Kingdom); or</w:t>
      </w:r>
    </w:p>
    <w:p>
      <w:pPr>
        <w:spacing w:after="0" w:line="4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after the receipt by the Holder of a grant of an Award under the Plan, such Holder becomes resident in the United Kingdom for tax purposes, or commences performing some or all of the duties of the Holder’s engagement with the Company (or any Subsidiary) in the United Kingdom (other than where such performance in the United Kingdom is not significant in scope and is incidental to duties performed by the relevant Holder outside the United Kingdom), in which case the additional terms and conditions of this Appendix E shall be deemed to apply from the date on which the relevant Award was granted),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such a Holder being a “</w:t>
      </w:r>
      <w:r>
        <w:rPr>
          <w:rFonts w:ascii="Times New Roman" w:cs="Times New Roman" w:eastAsia="Times New Roman" w:hAnsi="Times New Roman"/>
          <w:sz w:val="18"/>
          <w:szCs w:val="18"/>
          <w:u w:val="single" w:color="auto"/>
          <w:color w:val="auto"/>
        </w:rPr>
        <w:t>United Kingdom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conflict between the terms of the Plan, any applicable Program or an Award Agreement and the terms of this Appendix E with respect to a United Kingdom Holder, the terms of this Appendix E shall govern. Capitalized terms used but not defined herein shall have the same meanings assigned to them in the Plan, any applicable Program or the Award Agreements.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22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supplements Section 10‎.2 of the Plan: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Holder irrevocably agrees to pay to the Company or (if different) the Employer the amount of any Tax Liability or enter into arrangements to the satisfaction of the Company or the Employer (as appropriate) for payment of any Tax Liability. This paragraph and the following paragraphs (b) and (c) shall apply to any Tax Liability to the extent that the Company, any Subsidiary or the Employer is required or authorized, or reasonably believes it is required or authorized, to withhold, pay or account for such Tax Liability, and paragraphs (b) and (c) shall be read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The Holder further irrevocably agrees that if the Holder does not pay or the Employer or the Company does not withhold from the Holder the full amount of any Tax Liability that the Holder owes in connection with the grant or exercise of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(the “</w:t>
      </w:r>
      <w:r>
        <w:rPr>
          <w:rFonts w:ascii="Times New Roman" w:cs="Times New Roman" w:eastAsia="Times New Roman" w:hAnsi="Times New Roman"/>
          <w:sz w:val="18"/>
          <w:szCs w:val="18"/>
          <w:u w:val="single" w:color="auto"/>
          <w:color w:val="auto"/>
        </w:rPr>
        <w:t>Taxable Event</w:t>
      </w:r>
      <w:r>
        <w:rPr>
          <w:rFonts w:ascii="Times New Roman" w:cs="Times New Roman" w:eastAsia="Times New Roman" w:hAnsi="Times New Roman"/>
          <w:sz w:val="18"/>
          <w:szCs w:val="18"/>
          <w:color w:val="auto"/>
        </w:rPr>
        <w:t>”) within ninety (90) days of the end of the UK tax year in which the Taxable Event occurs, or such other period specified in Section 222(1)(c) of the UK Income Tax (Earnings and Pensions) Act 2003 (“</w:t>
      </w:r>
      <w:r>
        <w:rPr>
          <w:rFonts w:ascii="Times New Roman" w:cs="Times New Roman" w:eastAsia="Times New Roman" w:hAnsi="Times New Roman"/>
          <w:sz w:val="18"/>
          <w:szCs w:val="18"/>
          <w:u w:val="single" w:color="auto"/>
          <w:color w:val="auto"/>
        </w:rPr>
        <w:t>ITEPA 2003</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Due Date</w:t>
      </w:r>
      <w:r>
        <w:rPr>
          <w:rFonts w:ascii="Times New Roman" w:cs="Times New Roman" w:eastAsia="Times New Roman" w:hAnsi="Times New Roman"/>
          <w:sz w:val="18"/>
          <w:szCs w:val="18"/>
          <w:color w:val="auto"/>
        </w:rPr>
        <w:t>”), then the amount of any uncollected Tax Liability shall (unless the Company or (if different) the Employer determines otherwise at its discretion) constitute a loan owed by the Holder to the Company or (if different) the Employer, effective on the Due Date. The Holder agrees that the loan will bear interest at the then-current official rate of Her Majesty’s Revenue and Customs (“</w:t>
      </w:r>
      <w:r>
        <w:rPr>
          <w:rFonts w:ascii="Times New Roman" w:cs="Times New Roman" w:eastAsia="Times New Roman" w:hAnsi="Times New Roman"/>
          <w:sz w:val="18"/>
          <w:szCs w:val="18"/>
          <w:u w:val="single" w:color="auto"/>
          <w:color w:val="auto"/>
        </w:rPr>
        <w:t>HMRC</w:t>
      </w:r>
      <w:r>
        <w:rPr>
          <w:rFonts w:ascii="Times New Roman" w:cs="Times New Roman" w:eastAsia="Times New Roman" w:hAnsi="Times New Roman"/>
          <w:sz w:val="18"/>
          <w:szCs w:val="18"/>
          <w:color w:val="auto"/>
        </w:rPr>
        <w:t>”) and will be immediately due and repayable by the Holder, and the Company or the Employer (as appropriate) may recover it at any time thereafter by any of the means referred to in Section 10‎.2(c) of the Plan. The Holder also authorizes the Company to withhold the transfer of any Shares unless and until the loan is repaid in full.</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Notwithstanding the foregoing, if the Holder is a director or other officer of the Company or the Employer (including an executive officer of the Company), the Holder will not be eligible for such a loan to cover any relevant uncollected Tax Liability. In that case, or in any other case where the Company or the Employer determines not to treat the amount of any uncollected Tax Liability as a loan in accordance with the preceding paragraph, the amount of any uncollected Tax Liability that are not collected from or paid by the Holder by the Due Date will constitute a benefit to the Holder on which additional income tax and National Insurance contributions (“NICs”) will be payable. The Holder shall be responsible for reporting and paying any income tax due on this additional benefit directly to HMRC under the self-assessment regime (unless the Company or the Employer has confirmed that such income tax has been accounted for through payroll) and for reimbursing the Company or the Employer (as applicable) for the value of any employee NICs due on this additional benefit which the Company and/or the Employer may recover from the Holder at any time thereafter by any of the means referred to in Section 10‎.2(c) of the Plan.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To the extent required by the Administrator or the Company (or, if different, the Employer), and subject to this being permitted 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the grant, vesting and/or exercise of an Award granted to any Holder shall be conditional on:</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Holder entering into a joint election with the Company or (if different) the Employer (as appropriate) pursuant to section 431(1) or 431(2) of ITEPA 2003 (or such other election as the Company or (if different) the Employer may direct for the same purpose) in respect of any Shares acquired (or to be acquired) on the grant, vesting or exercise of the relevant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the Holder entering into a joint election with the Company or (if different) the Employer (as appropriate), made in accordance with paragraph 3B(1) of Schedule 1 of the UK Social Security Contributions and Benefits Act 1992, to transfer to Holder the liability for and secondary Class 1 (employer) NICs arising in respect of “relevant employment income” as defined in paragraph 3B(1A) of Schedule 1 of the Social Security Contributions and Benefits Act 1992.</w:t>
      </w:r>
    </w:p>
    <w:p>
      <w:pPr>
        <w:spacing w:after="0" w:line="180"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Section 10‎.3(c) of the Plan, all references to a Holder being “married” shall be read as including references to a Holder being in a civil partnership, and all references to a Holder’s “spouse” shall be read as including references to a Holder’s civil partner.</w:t>
      </w:r>
    </w:p>
    <w:p>
      <w:pPr>
        <w:spacing w:after="0" w:line="162"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other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supplements Section 12‎.12 of the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Plan shall not form part of any contract of employment between any United Kingdom Holder and his or her Employer.</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No United Kingdom Holder shall have any right to compensation or damages from the Company, any Subsidiary or the Administrator or any of their respective affiliates on account of any loss of any right to vest or the lapsing, cancellation or forfeiture of any Award under the Plan, where such loss arises (or is claimed to arise) in whole or in part from: (i) the termination of such United Kingdom Holder’s employment by; or</w:t>
      </w:r>
    </w:p>
    <w:p>
      <w:pPr>
        <w:spacing w:after="0" w:line="1" w:lineRule="exact"/>
        <w:rPr>
          <w:sz w:val="20"/>
          <w:szCs w:val="20"/>
          <w:color w:val="auto"/>
        </w:rPr>
      </w:pPr>
    </w:p>
    <w:p>
      <w:pPr>
        <w:ind w:firstLine="8"/>
        <w:spacing w:after="0" w:line="260" w:lineRule="auto"/>
        <w:tabs>
          <w:tab w:leader="none" w:pos="2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terminate such United Kingdom Holder’s employment given by or to, the Company or any Subsidiary. This exclusion of liability shall apply however the termination of employment, or the giving of notice, is caused, and however compensation or damages may be 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Exhibit 107</w:t>
            </w:r>
          </w:p>
        </w:tc>
      </w:tr>
      <w:tr>
        <w:trPr>
          <w:trHeight w:val="432"/>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1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(Form Type)</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LivaNova PLC</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12"/>
          </w:tcPr>
          <w:p>
            <w:pPr>
              <w:jc w:val="center"/>
              <w:ind w:right="6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10"/>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Table 1: Newly Registered Securities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4"/>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Proposed</w:t>
            </w:r>
          </w:p>
        </w:tc>
        <w:tc>
          <w:tcPr>
            <w:tcW w:w="2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1"/>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Fee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Maximum</w:t>
            </w:r>
          </w:p>
        </w:tc>
        <w:tc>
          <w:tcPr>
            <w:tcW w:w="2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Maximum</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Amount of</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Security Class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Calculation</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Offering Price</w:t>
            </w:r>
          </w:p>
        </w:tc>
        <w:tc>
          <w:tcPr>
            <w:tcW w:w="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Registration</w:t>
            </w:r>
          </w:p>
        </w:tc>
      </w:tr>
      <w:tr>
        <w:trPr>
          <w:trHeight w:val="270"/>
        </w:trPr>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Security Type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Rule</w:t>
            </w:r>
          </w:p>
        </w:tc>
        <w:tc>
          <w:tcPr>
            <w:tcW w:w="1340" w:type="dxa"/>
            <w:vAlign w:val="bottom"/>
            <w:gridSpan w:val="3"/>
          </w:tcPr>
          <w:p>
            <w:pPr>
              <w:jc w:val="center"/>
              <w:ind w:right="100"/>
              <w:spacing w:after="0" w:line="270" w:lineRule="exact"/>
              <w:rPr>
                <w:sz w:val="20"/>
                <w:szCs w:val="20"/>
                <w:color w:val="auto"/>
              </w:rPr>
            </w:pPr>
            <w:r>
              <w:rPr>
                <w:rFonts w:ascii="Times New Roman" w:cs="Times New Roman" w:eastAsia="Times New Roman" w:hAnsi="Times New Roman"/>
                <w:sz w:val="18"/>
                <w:szCs w:val="18"/>
                <w:color w:val="auto"/>
                <w:w w:val="96"/>
              </w:rPr>
              <w:t xml:space="preserve">Registered </w:t>
            </w:r>
            <w:r>
              <w:rPr>
                <w:rFonts w:ascii="Times New Roman" w:cs="Times New Roman" w:eastAsia="Times New Roman" w:hAnsi="Times New Roman"/>
                <w:sz w:val="29"/>
                <w:szCs w:val="29"/>
                <w:color w:val="auto"/>
                <w:w w:val="96"/>
                <w:vertAlign w:val="superscript"/>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color w:val="auto"/>
                <w:w w:val="93"/>
              </w:rPr>
              <w:t xml:space="preserve">Per Unit </w:t>
            </w:r>
            <w:r>
              <w:rPr>
                <w:rFonts w:ascii="Times New Roman" w:cs="Times New Roman" w:eastAsia="Times New Roman" w:hAnsi="Times New Roman"/>
                <w:sz w:val="29"/>
                <w:szCs w:val="29"/>
                <w:color w:val="auto"/>
                <w:w w:val="93"/>
                <w:vertAlign w:val="superscript"/>
              </w:rPr>
              <w:t>(2)</w:t>
            </w:r>
          </w:p>
        </w:tc>
        <w:tc>
          <w:tcPr>
            <w:tcW w:w="20" w:type="dxa"/>
            <w:vAlign w:val="bottom"/>
          </w:tcPr>
          <w:p>
            <w:pPr>
              <w:spacing w:after="0"/>
              <w:rPr>
                <w:sz w:val="23"/>
                <w:szCs w:val="2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Offering Price</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Fee Rate</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Fee</w:t>
            </w:r>
          </w:p>
        </w:tc>
      </w:tr>
      <w:tr>
        <w:trPr>
          <w:trHeight w:val="191"/>
        </w:trPr>
        <w:tc>
          <w:tcPr>
            <w:tcW w:w="1140" w:type="dxa"/>
            <w:vAlign w:val="bottom"/>
            <w:tcBorders>
              <w:top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8"/>
              </w:rPr>
              <w:t>Ordinary</w:t>
            </w: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7"/>
              </w:rPr>
              <w:t>457(c) &amp;</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Shares, par</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457(h)</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jc w:val="center"/>
              <w:ind w:right="1400"/>
              <w:spacing w:after="0"/>
              <w:rPr>
                <w:sz w:val="20"/>
                <w:szCs w:val="20"/>
                <w:color w:val="auto"/>
              </w:rPr>
            </w:pPr>
            <w:r>
              <w:rPr>
                <w:rFonts w:ascii="Times New Roman" w:cs="Times New Roman" w:eastAsia="Times New Roman" w:hAnsi="Times New Roman"/>
                <w:sz w:val="18"/>
                <w:szCs w:val="18"/>
                <w:color w:val="auto"/>
              </w:rPr>
              <w:t>value £1.00 per</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share</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3,100,000</w:t>
            </w:r>
          </w:p>
        </w:tc>
        <w:tc>
          <w:tcPr>
            <w:tcW w:w="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67.83</w:t>
            </w:r>
          </w:p>
        </w:tc>
        <w:tc>
          <w:tcPr>
            <w:tcW w:w="14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$ 210,273,000.00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.0000927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19,492.31</w:t>
            </w:r>
          </w:p>
        </w:tc>
        <w:tc>
          <w:tcPr>
            <w:tcW w:w="80" w:type="dxa"/>
            <w:vAlign w:val="bottom"/>
            <w:shd w:val="clear" w:color="auto" w:fill="CCEEFF"/>
          </w:tcPr>
          <w:p>
            <w:pPr>
              <w:spacing w:after="0"/>
              <w:rPr>
                <w:sz w:val="21"/>
                <w:szCs w:val="21"/>
                <w:color w:val="auto"/>
              </w:rPr>
            </w:pPr>
          </w:p>
        </w:tc>
      </w:tr>
      <w:tr>
        <w:trPr>
          <w:trHeight w:val="209"/>
        </w:trPr>
        <w:tc>
          <w:tcPr>
            <w:tcW w:w="1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gridSpan w:val="7"/>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$ 210,273,000.00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gridSpan w:val="2"/>
            <w:shd w:val="clear" w:color="auto" w:fill="CCEEFF"/>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Net Fee Due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340" w:right="240" w:hanging="332"/>
        <w:spacing w:after="0" w:line="219"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Ordinary Shares par value £1.00 per share of LivaNova PLC (the “Ordinary Shares”) issuable upon exercise or settlement of awards that may be granted pursuant to the LivaNova PLC 2022 Incentive Award Plan. This registration statement, pursuant to Rule 416(a) under the Securities Act of 1933, as amended (the “Securities Act”), also covers an indeterminate number of additional Ordinary Shares with respect to the shares registered hereunder as may be issued to prevent dilution in the event of a stock split, stock dividend or similar transaction.</w:t>
      </w:r>
    </w:p>
    <w:p>
      <w:pPr>
        <w:spacing w:after="0" w:line="198" w:lineRule="exact"/>
        <w:rPr>
          <w:rFonts w:ascii="Times New Roman" w:cs="Times New Roman" w:eastAsia="Times New Roman" w:hAnsi="Times New Roman"/>
          <w:sz w:val="30"/>
          <w:szCs w:val="30"/>
          <w:color w:val="auto"/>
          <w:vertAlign w:val="superscript"/>
        </w:rPr>
      </w:pPr>
    </w:p>
    <w:p>
      <w:pPr>
        <w:ind w:left="340" w:right="40" w:hanging="332"/>
        <w:spacing w:after="0" w:line="210"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Estimated pursuant to Rule 457(c) and (h) of the Securities Act solely for the purposes of calculating the amount of the registration fee. The fee with respect to the shares registered herein was based on the average of the high and low price per share of the Ordinary Shares on June 6, 2022, as reported by the NASDAQ Global Market LLC, which was $67.83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lowerLetter"/>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33AB105"/>
    <w:multiLevelType w:val="hybridMultilevel"/>
    <w:lvl w:ilvl="0">
      <w:lvlJc w:val="left"/>
      <w:lvlText w:val="%1"/>
      <w:numFmt w:val="lowerLetter"/>
      <w:start w:val="1"/>
    </w:lvl>
    <w:lvl w:ilvl="1">
      <w:lvlJc w:val="left"/>
      <w:lvlText w:val="(%2)"/>
      <w:numFmt w:val="decimal"/>
      <w:start w:val="2"/>
    </w:lvl>
  </w:abstractNum>
  <w:abstractNum w:abstractNumId="4">
    <w:nsid w:val="721DA317"/>
    <w:multiLevelType w:val="hybridMultilevel"/>
    <w:lvl w:ilvl="0">
      <w:lvlJc w:val="left"/>
      <w:lvlText w:val="(%1)"/>
      <w:numFmt w:val="lowerLetter"/>
      <w:start w:val="2"/>
    </w:lvl>
    <w:lvl w:ilvl="1">
      <w:lvlJc w:val="left"/>
      <w:lvlText w:val="%2"/>
      <w:numFmt w:val="decimal"/>
      <w:start w:val="1"/>
    </w:lvl>
  </w:abstractNum>
  <w:abstractNum w:abstractNumId="5">
    <w:nsid w:val="2443A858"/>
    <w:multiLevelType w:val="hybridMultilevel"/>
    <w:lvl w:ilvl="0">
      <w:lvlJc w:val="left"/>
      <w:lvlText w:val="(%1)"/>
      <w:numFmt w:val="lowerLetter"/>
      <w:start w:val="1"/>
    </w:lvl>
    <w:lvl w:ilvl="1">
      <w:lvlJc w:val="left"/>
      <w:lvlText w:val="(%2)"/>
      <w:numFmt w:val="lowerLetter"/>
      <w:start w:val="9"/>
    </w:lvl>
  </w:abstractNum>
  <w:abstractNum w:abstractNumId="6">
    <w:nsid w:val="2D1D5AE9"/>
    <w:multiLevelType w:val="hybridMultilevel"/>
    <w:lvl w:ilvl="0">
      <w:lvlJc w:val="left"/>
      <w:lvlText w:val="(%1)"/>
      <w:numFmt w:val="lowerRoman"/>
      <w:start w:val="2"/>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8"/>
    </w:lvl>
  </w:abstractNum>
  <w:abstractNum w:abstractNumId="9">
    <w:nsid w:val="8EDBDAB"/>
    <w:multiLevelType w:val="hybridMultilevel"/>
    <w:lvl w:ilvl="0">
      <w:lvlJc w:val="left"/>
      <w:lvlText w:val="(%1)"/>
      <w:numFmt w:val="lowerRoman"/>
      <w:start w:val="8"/>
    </w:lvl>
  </w:abstractNum>
  <w:abstractNum w:abstractNumId="10">
    <w:nsid w:val="79838CB2"/>
    <w:multiLevelType w:val="hybridMultilevel"/>
    <w:lvl w:ilvl="0">
      <w:lvlJc w:val="left"/>
      <w:lvlText w:val="(%1)"/>
      <w:numFmt w:val="lowerRoman"/>
      <w:start w:val="12"/>
    </w:lvl>
  </w:abstractNum>
  <w:abstractNum w:abstractNumId="11">
    <w:nsid w:val="4353D0CD"/>
    <w:multiLevelType w:val="hybridMultilevel"/>
    <w:lvl w:ilvl="0">
      <w:lvlJc w:val="left"/>
      <w:lvlText w:val="(%1)"/>
      <w:numFmt w:val="lowerRoman"/>
      <w:start w:val="25"/>
    </w:lvl>
  </w:abstractNum>
  <w:abstractNum w:abstractNumId="12">
    <w:nsid w:val="B03E0C6"/>
    <w:multiLevelType w:val="hybridMultilevel"/>
    <w:lvl w:ilvl="0">
      <w:lvlJc w:val="left"/>
      <w:lvlText w:val="(%1)"/>
      <w:numFmt w:val="lowerRoman"/>
      <w:start w:val="34"/>
    </w:lvl>
  </w:abstractNum>
  <w:abstractNum w:abstractNumId="13">
    <w:nsid w:val="189A769B"/>
    <w:multiLevelType w:val="hybridMultilevel"/>
    <w:lvl w:ilvl="0">
      <w:lvlJc w:val="left"/>
      <w:lvlText w:val="(%1)"/>
      <w:numFmt w:val="lowerLetter"/>
      <w:start w:val="3"/>
    </w:lvl>
  </w:abstractNum>
  <w:abstractNum w:abstractNumId="14">
    <w:nsid w:val="54E49EB4"/>
    <w:multiLevelType w:val="hybridMultilevel"/>
    <w:lvl w:ilvl="0">
      <w:lvlJc w:val="left"/>
      <w:lvlText w:val="(%1)"/>
      <w:numFmt w:val="lowerLetter"/>
      <w:start w:val="6"/>
    </w:lvl>
  </w:abstractNum>
  <w:abstractNum w:abstractNumId="15">
    <w:nsid w:val="71F32454"/>
    <w:multiLevelType w:val="hybridMultilevel"/>
    <w:lvl w:ilvl="0">
      <w:lvlJc w:val="left"/>
      <w:lvlText w:val="(%1)"/>
      <w:numFmt w:val="decimal"/>
      <w:start w:val="10"/>
    </w:lvl>
  </w:abstractNum>
  <w:abstractNum w:abstractNumId="16">
    <w:nsid w:val="2CA88611"/>
    <w:multiLevelType w:val="hybridMultilevel"/>
    <w:lvl w:ilvl="0">
      <w:lvlJc w:val="left"/>
      <w:lvlText w:val="(%1)"/>
      <w:numFmt w:val="lowerRoman"/>
      <w:start w:val="1"/>
    </w:lvl>
  </w:abstractNum>
  <w:abstractNum w:abstractNumId="17">
    <w:nsid w:val="836C40E"/>
    <w:multiLevelType w:val="hybridMultilevel"/>
    <w:lvl w:ilvl="0">
      <w:lvlJc w:val="left"/>
      <w:lvlText w:val="(%1)"/>
      <w:numFmt w:val="lowerRoman"/>
      <w:start w:val="3"/>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Roman"/>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2"/>
    </w:lvl>
  </w:abstractNum>
  <w:abstractNum w:abstractNumId="22">
    <w:nsid w:val="7C3DBD3D"/>
    <w:multiLevelType w:val="hybridMultilevel"/>
    <w:lvl w:ilvl="0">
      <w:lvlJc w:val="left"/>
      <w:lvlText w:val="%1."/>
      <w:numFmt w:val="decimal"/>
      <w:start w:val="3"/>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2"/>
    </w:lvl>
  </w:abstractNum>
  <w:abstractNum w:abstractNumId="25">
    <w:nsid w:val="22221A70"/>
    <w:multiLevelType w:val="hybridMultilevel"/>
    <w:lvl w:ilvl="0">
      <w:lvlJc w:val="left"/>
      <w:lvlText w:val="%1."/>
      <w:numFmt w:val="decimal"/>
      <w:start w:val="3"/>
    </w:lvl>
  </w:abstractNum>
  <w:abstractNum w:abstractNumId="26">
    <w:nsid w:val="4516DDE9"/>
    <w:multiLevelType w:val="hybridMultilevel"/>
    <w:lvl w:ilvl="0">
      <w:lvlJc w:val="left"/>
      <w:lvlText w:val="%1."/>
      <w:numFmt w:val="decimal"/>
      <w:start w:val="4"/>
    </w:lvl>
  </w:abstractNum>
  <w:abstractNum w:abstractNumId="27">
    <w:nsid w:val="3006C83E"/>
    <w:multiLevelType w:val="hybridMultilevel"/>
    <w:lvl w:ilvl="0">
      <w:lvlJc w:val="left"/>
      <w:lvlText w:val="%1."/>
      <w:numFmt w:val="decimal"/>
      <w:start w:val="5"/>
    </w:lvl>
  </w:abstractNum>
  <w:abstractNum w:abstractNumId="28">
    <w:nsid w:val="614FD4A1"/>
    <w:multiLevelType w:val="hybridMultilevel"/>
    <w:lvl w:ilvl="0">
      <w:lvlJc w:val="left"/>
      <w:lvlText w:val="%1."/>
      <w:numFmt w:val="decimal"/>
      <w:start w:val="6"/>
    </w:lvl>
  </w:abstractNum>
  <w:abstractNum w:abstractNumId="29">
    <w:nsid w:val="419AC241"/>
    <w:multiLevelType w:val="hybridMultilevel"/>
    <w:lvl w:ilvl="0">
      <w:lvlJc w:val="left"/>
      <w:lvlText w:val="%1."/>
      <w:numFmt w:val="decimal"/>
      <w:start w:val="7"/>
    </w:lvl>
  </w:abstractNum>
  <w:abstractNum w:abstractNumId="30">
    <w:nsid w:val="5577F8E1"/>
    <w:multiLevelType w:val="hybridMultilevel"/>
    <w:lvl w:ilvl="0">
      <w:lvlJc w:val="left"/>
      <w:lvlText w:val="%1."/>
      <w:numFmt w:val="decimal"/>
      <w:start w:val="8"/>
    </w:lvl>
  </w:abstractNum>
  <w:abstractNum w:abstractNumId="31">
    <w:nsid w:val="440BADFC"/>
    <w:multiLevelType w:val="hybridMultilevel"/>
    <w:lvl w:ilvl="0">
      <w:lvlJc w:val="left"/>
      <w:lvlText w:val="%1."/>
      <w:numFmt w:val="decimal"/>
      <w:start w:val="9"/>
    </w:lvl>
  </w:abstractNum>
  <w:abstractNum w:abstractNumId="32">
    <w:nsid w:val="5072367"/>
    <w:multiLevelType w:val="hybridMultilevel"/>
    <w:lvl w:ilvl="0">
      <w:lvlJc w:val="left"/>
      <w:lvlText w:val="%1."/>
      <w:numFmt w:val="decimal"/>
      <w:start w:val="10"/>
    </w:lvl>
  </w:abstractNum>
  <w:abstractNum w:abstractNumId="33">
    <w:nsid w:val="3804823E"/>
    <w:multiLevelType w:val="hybridMultilevel"/>
    <w:lvl w:ilvl="0">
      <w:lvlJc w:val="left"/>
      <w:lvlText w:val="%1."/>
      <w:numFmt w:val="decimal"/>
      <w:start w:val="1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2"/>
    </w:lvl>
  </w:abstractNum>
  <w:abstractNum w:abstractNumId="36">
    <w:nsid w:val="5C482A97"/>
    <w:multiLevelType w:val="hybridMultilevel"/>
    <w:lvl w:ilvl="0">
      <w:lvlJc w:val="left"/>
      <w:lvlText w:val="%1."/>
      <w:numFmt w:val="decimal"/>
      <w:start w:val="3"/>
    </w:lvl>
  </w:abstractNum>
  <w:abstractNum w:abstractNumId="37">
    <w:nsid w:val="2463B9EA"/>
    <w:multiLevelType w:val="hybridMultilevel"/>
    <w:lvl w:ilvl="0">
      <w:lvlJc w:val="left"/>
      <w:lvlText w:val="(%1)"/>
      <w:numFmt w:val="lowerRoman"/>
      <w:start w:val="2"/>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jpeg"/><Relationship Id="rId52" Type="http://schemas.openxmlformats.org/officeDocument/2006/relationships/image" Target="media/image37.png"/><Relationship Id="rId53" Type="http://schemas.openxmlformats.org/officeDocument/2006/relationships/image" Target="media/image38.jpe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21" Type="http://schemas.openxmlformats.org/officeDocument/2006/relationships/hyperlink" Target="https://www.sec.gov/ix?doc=/Archives/edgar/data/1639691/000163969122000013/livn-20211231.htm" TargetMode="External"/><Relationship Id="rId22" Type="http://schemas.openxmlformats.org/officeDocument/2006/relationships/hyperlink" Target="https://www.sec.gov/Archives/edgar/data/1639691/000110465922052852/tm227116-3_def14a.htm" TargetMode="External"/><Relationship Id="rId23" Type="http://schemas.openxmlformats.org/officeDocument/2006/relationships/hyperlink" Target="https://www.sec.gov/ix?doc=/Archives/edgar/data/1639691/000163969122000044/livn-20220331.htm" TargetMode="External"/><Relationship Id="rId24" Type="http://schemas.openxmlformats.org/officeDocument/2006/relationships/hyperlink" Target="https://www.sec.gov/ix?doc=/Archives/edgar/data/1639691/000163969122000040/livn-20220504.htm" TargetMode="External"/><Relationship Id="rId25" Type="http://schemas.openxmlformats.org/officeDocument/2006/relationships/hyperlink" Target="https://www.sec.gov/ix?doc=/Archives/edgar/data/1639691/000163969122000030/livn-20220316.htm" TargetMode="External"/><Relationship Id="rId26" Type="http://schemas.openxmlformats.org/officeDocument/2006/relationships/hyperlink" Target="https://www.sec.gov/ix?doc=/Archives/edgar/data/1639691/000163969122000008/livn-20220221.htm" TargetMode="External"/><Relationship Id="rId27" Type="http://schemas.openxmlformats.org/officeDocument/2006/relationships/hyperlink" Target="https://www.sec.gov/Archives/edgar/data/1639691/000119312515137291/d904675ds4.htm" TargetMode="External"/><Relationship Id="rId33" Type="http://schemas.openxmlformats.org/officeDocument/2006/relationships/hyperlink" Target="http://www.sec.gov/Archives/edgar/data/1639691/000163969120000098/livn-20200630x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2022-06-13T16:06:28Z</dcterms:created>
  <dcterms:modified xsi:type="dcterms:W3CDTF">2022-06-13T16:06:28Z</dcterms:modified>
</cp:coreProperties>
</file>