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3124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4200" cy="8953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U.S. Securities and Exchange Commission</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 F Street N.E.</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1, 2024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 Notice of Disclosure Filed in Exchange Act Quarterly Report under Section 219 of the Iran Threat Reduction and Syria Human Rights Act of 2012 and Section 13(r) of the Securities Exchange Act of 1934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val="false"/>
          <w:color w:val="000000"/>
          <w:sz w:val="24"/>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June 30, 2024, which was filed with the Securities and Exchange Commission on August 1, 2024. The disclosure can be found within Part II, Item 5. </w:t>
      </w:r>
      <w:r>
        <w:rPr>
          <w:rFonts w:ascii="Times New Roman;sans-serif" w:hAnsi="Times New Roman;sans-serif"/>
          <w:b w:val="false"/>
          <w:i/>
          <w:color w:val="000000"/>
          <w:sz w:val="24"/>
        </w:rPr>
        <w:t>Other Information</w:t>
      </w:r>
      <w:r>
        <w:rPr>
          <w:color w:val="000000"/>
        </w:rPr>
        <w:t xml:space="preserve"> </w:t>
      </w:r>
      <w:r>
        <w:rPr>
          <w:rFonts w:ascii="Times New Roman;sans-serif" w:hAnsi="Times New Roman;sans-serif"/>
          <w:b w:val="false"/>
          <w:color w:val="000000"/>
          <w:sz w:val="24"/>
        </w:rPr>
        <w:t>in the Quarterly Report on Form 10-Q.</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Respectfully submitted,</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LivaNova PLC</w:t>
      </w:r>
    </w:p>
    <w:p>
      <w:pPr>
        <w:pStyle w:val="TextBody"/>
        <w:bidi w:val="0"/>
        <w:spacing w:before="0" w:after="0"/>
        <w:jc w:val="left"/>
        <w:rPr/>
      </w:pPr>
      <w:r>
        <w:rPr/>
      </w:r>
    </w:p>
    <w:p>
      <w:pPr>
        <w:pStyle w:val="TextBody"/>
        <w:bidi w:val="0"/>
        <w:spacing w:before="0" w:after="0"/>
        <w:jc w:val="left"/>
        <w:rPr/>
      </w:pPr>
      <w:r>
        <w:rPr/>
      </w:r>
    </w:p>
    <w:tbl>
      <w:tblPr>
        <w:tblW w:w="3795" w:type="dxa"/>
        <w:jc w:val="left"/>
        <w:tblInd w:w="0" w:type="dxa"/>
        <w:tblLayout w:type="fixed"/>
        <w:tblCellMar>
          <w:top w:w="28" w:type="dxa"/>
          <w:left w:w="28" w:type="dxa"/>
          <w:bottom w:w="28" w:type="dxa"/>
          <w:right w:w="28" w:type="dxa"/>
        </w:tblCellMar>
      </w:tblPr>
      <w:tblGrid>
        <w:gridCol w:w="168"/>
        <w:gridCol w:w="148"/>
        <w:gridCol w:w="149"/>
        <w:gridCol w:w="975"/>
        <w:gridCol w:w="975"/>
        <w:gridCol w:w="138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VLADIMIR MAKATSARIA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Vladimir Makatsaria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bl>
    <w:p>
      <w:pPr>
        <w:pStyle w:val="TextBody"/>
        <w:bidi w:val="0"/>
        <w:spacing w:before="0" w:after="40"/>
        <w:jc w:val="left"/>
        <w:rPr/>
      </w:pPr>
      <w:r>
        <w:rPr/>
      </w:r>
    </w:p>
    <w:p>
      <w:pPr>
        <w:pStyle w:val="TextBody"/>
        <w:bidi w:val="0"/>
        <w:spacing w:before="0" w:after="40"/>
        <w:jc w:val="left"/>
        <w:rPr/>
      </w:pPr>
      <w:r>
        <w:rPr/>
      </w:r>
    </w:p>
    <w:tbl>
      <w:tblPr>
        <w:tblW w:w="3420" w:type="dxa"/>
        <w:jc w:val="left"/>
        <w:tblInd w:w="0" w:type="dxa"/>
        <w:tblLayout w:type="fixed"/>
        <w:tblCellMar>
          <w:top w:w="28" w:type="dxa"/>
          <w:left w:w="28" w:type="dxa"/>
          <w:bottom w:w="28" w:type="dxa"/>
          <w:right w:w="28" w:type="dxa"/>
        </w:tblCellMar>
      </w:tblPr>
      <w:tblGrid>
        <w:gridCol w:w="168"/>
        <w:gridCol w:w="148"/>
        <w:gridCol w:w="149"/>
        <w:gridCol w:w="866"/>
        <w:gridCol w:w="866"/>
        <w:gridCol w:w="122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Words>
  <Characters>844</Characters>
  <CharactersWithSpaces>990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