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7509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7509510"/>
                    </a:xfrm>
                    <a:prstGeom prst="rect">
                      <a:avLst/>
                    </a:prstGeom>
                    <a:noFill/>
                  </pic:spPr>
                </pic:pic>
              </a:graphicData>
            </a:graphic>
          </wp:anchor>
        </w:drawing>
      </w:r>
    </w:p>
    <w:p>
      <w:pPr>
        <w:spacing w:after="0" w:line="1195" w:lineRule="exact"/>
        <w:rPr>
          <w:sz w:val="24"/>
          <w:szCs w:val="24"/>
          <w:color w:val="auto"/>
        </w:rPr>
      </w:pPr>
    </w:p>
    <w:p>
      <w:pPr>
        <w:sectPr>
          <w:pgSz w:w="11900" w:h="16931" w:orient="portrait"/>
          <w:cols w:equalWidth="0" w:num="2">
            <w:col w:w="2280" w:space="360"/>
            <w:col w:w="8440"/>
          </w:cols>
          <w:pgMar w:left="460" w:top="215"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Bolton Stephanie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03/30/2025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708"/>
        <w:spacing w:after="0"/>
        <w:rPr>
          <w:sz w:val="20"/>
          <w:szCs w:val="20"/>
          <w:color w:val="auto"/>
        </w:rPr>
      </w:pPr>
      <w:r>
        <w:rPr>
          <w:rFonts w:ascii="Times New Roman" w:cs="Times New Roman" w:eastAsia="Times New Roman" w:hAnsi="Times New Roman"/>
          <w:sz w:val="16"/>
          <w:szCs w:val="16"/>
          <w:color w:val="0000FF"/>
        </w:rPr>
        <w:t>President, Global Epilepsy</w:t>
      </w:r>
    </w:p>
    <w:p>
      <w:pPr>
        <w:spacing w:after="0" w:line="311" w:lineRule="exact"/>
        <w:rPr>
          <w:sz w:val="24"/>
          <w:szCs w:val="24"/>
          <w:color w:val="auto"/>
        </w:rPr>
      </w:pPr>
    </w:p>
    <w:p>
      <w:pPr>
        <w:sectPr>
          <w:pgSz w:w="11900" w:h="16931" w:orient="portrait"/>
          <w:cols w:equalWidth="0" w:num="3">
            <w:col w:w="3180" w:space="720"/>
            <w:col w:w="3112" w:space="720"/>
            <w:col w:w="3348"/>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6"/>
            <w:vMerge w:val="continue"/>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X0</w:t>
            </w:r>
          </w:p>
        </w:tc>
        <w:tc>
          <w:tcPr>
            <w:tcW w:w="9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W2 6LA</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2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44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2"/>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4"/>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gridSpan w:val="2"/>
          </w:tcPr>
          <w:p>
            <w:pPr>
              <w:ind w:left="7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3"/>
              <w:spacing w:after="0"/>
              <w:rPr>
                <w:sz w:val="20"/>
                <w:szCs w:val="20"/>
                <w:color w:val="auto"/>
              </w:rPr>
            </w:pPr>
            <w:r>
              <w:rPr>
                <w:rFonts w:ascii="Times New Roman" w:cs="Times New Roman" w:eastAsia="Times New Roman" w:hAnsi="Times New Roman"/>
                <w:sz w:val="16"/>
                <w:szCs w:val="16"/>
                <w:color w:val="0000FF"/>
              </w:rPr>
              <w:t>03/30/2025</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63"/>
              <w:spacing w:after="0"/>
              <w:rPr>
                <w:sz w:val="20"/>
                <w:szCs w:val="20"/>
                <w:color w:val="auto"/>
              </w:rPr>
            </w:pPr>
            <w:r>
              <w:rPr>
                <w:rFonts w:ascii="Times New Roman" w:cs="Times New Roman" w:eastAsia="Times New Roman" w:hAnsi="Times New Roman"/>
                <w:sz w:val="16"/>
                <w:szCs w:val="16"/>
                <w:color w:val="0000FF"/>
              </w:rPr>
              <w:t>6,024</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right="8"/>
              <w:spacing w:after="0" w:line="302"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6"/>
                <w:szCs w:val="16"/>
                <w:color w:val="0000FF"/>
              </w:rPr>
              <w:t>15,586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3"/>
              <w:spacing w:after="0"/>
              <w:rPr>
                <w:sz w:val="20"/>
                <w:szCs w:val="20"/>
                <w:color w:val="auto"/>
              </w:rPr>
            </w:pPr>
            <w:r>
              <w:rPr>
                <w:rFonts w:ascii="Times New Roman" w:cs="Times New Roman" w:eastAsia="Times New Roman" w:hAnsi="Times New Roman"/>
                <w:sz w:val="16"/>
                <w:szCs w:val="16"/>
                <w:color w:val="0000FF"/>
              </w:rPr>
              <w:t>03/30/2025</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2,835</w:t>
            </w:r>
            <w:r>
              <w:rPr>
                <w:rFonts w:ascii="Times New Roman" w:cs="Times New Roman" w:eastAsia="Times New Roman" w:hAnsi="Times New Roman"/>
                <w:sz w:val="21"/>
                <w:szCs w:val="21"/>
                <w:color w:val="008000"/>
                <w:vertAlign w:val="superscript"/>
              </w:rPr>
              <w:t>(2)</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39.13</w:t>
            </w:r>
          </w:p>
        </w:tc>
        <w:tc>
          <w:tcPr>
            <w:tcW w:w="1280" w:type="dxa"/>
            <w:vAlign w:val="bottom"/>
            <w:tcBorders>
              <w:bottom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6"/>
                <w:szCs w:val="16"/>
                <w:color w:val="0000FF"/>
              </w:rPr>
              <w:t>12,751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3A. Deemed</w:t>
            </w:r>
          </w:p>
        </w:tc>
        <w:tc>
          <w:tcPr>
            <w:tcW w:w="640" w:type="dxa"/>
            <w:vAlign w:val="bottom"/>
          </w:tcPr>
          <w:p>
            <w:pPr>
              <w:jc w:val="center"/>
              <w:ind w:right="499"/>
              <w:spacing w:after="0"/>
              <w:rPr>
                <w:sz w:val="20"/>
                <w:szCs w:val="20"/>
                <w:color w:val="auto"/>
              </w:rPr>
            </w:pPr>
            <w:r>
              <w:rPr>
                <w:rFonts w:ascii="Arial" w:cs="Arial" w:eastAsia="Arial" w:hAnsi="Arial"/>
                <w:sz w:val="11"/>
                <w:szCs w:val="11"/>
                <w:b w:val="1"/>
                <w:bCs w:val="1"/>
                <w:color w:val="auto"/>
                <w:w w:val="86"/>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Execution Date,</w:t>
            </w:r>
          </w:p>
        </w:tc>
        <w:tc>
          <w:tcPr>
            <w:tcW w:w="640" w:type="dxa"/>
            <w:vAlign w:val="bottom"/>
          </w:tcPr>
          <w:p>
            <w:pPr>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if any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jc w:val="center"/>
              <w:ind w:right="479"/>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426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426</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457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457</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2"/>
              </w:rPr>
              <w:t>457</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1,330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1,330</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2,659</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1,229</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1,229</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3,686</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805</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805</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717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717</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1,060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1,060</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7,027</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7,027</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7,027</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3,513</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3,513</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3,513</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3,513</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3,513</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3,513</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7,027</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7,027</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7,027</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700" w:type="dxa"/>
            <w:vAlign w:val="bottom"/>
          </w:tcPr>
          <w:p>
            <w:pPr>
              <w:spacing w:after="0"/>
              <w:rPr>
                <w:sz w:val="15"/>
                <w:szCs w:val="15"/>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15,385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Appreciation</w:t>
            </w:r>
          </w:p>
        </w:tc>
        <w:tc>
          <w:tcPr>
            <w:tcW w:w="74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39.13</w:t>
            </w: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3"/>
                <w:szCs w:val="13"/>
                <w:color w:val="0000FF"/>
                <w:w w:val="94"/>
              </w:rPr>
              <w:t>15,385</w:t>
            </w:r>
          </w:p>
        </w:tc>
        <w:tc>
          <w:tcPr>
            <w:tcW w:w="4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03/30/2035</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gridSpan w:val="2"/>
          </w:tcPr>
          <w:p>
            <w:pPr>
              <w:jc w:val="center"/>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15,385</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-4632325</wp:posOffset>
            </wp:positionV>
            <wp:extent cx="28575" cy="4638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63804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and vested performance stock units (PSUs) settled in ordinary shares of LivaNova PLC (the Company), GBP 1.00 par value.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2015 Incentive Award Plan (the 2015 Plan) and the award agreement.</w:t>
      </w:r>
    </w:p>
    <w:p>
      <w:pPr>
        <w:spacing w:after="0" w:line="40" w:lineRule="exact"/>
        <w:rPr>
          <w:rFonts w:ascii="Times New Roman" w:cs="Times New Roman" w:eastAsia="Times New Roman" w:hAnsi="Times New Roman"/>
          <w:sz w:val="13"/>
          <w:szCs w:val="13"/>
          <w:color w:val="008000"/>
        </w:rPr>
      </w:pPr>
    </w:p>
    <w:p>
      <w:pPr>
        <w:ind w:left="40" w:right="2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RSUs subject to a four-year vesting in equal annual installments, the first vesting having occurred on March 30, 2022. The RSUs are subject to forfeiture prior to vesting in accordance with the terms of the 2015 Plan and the award agreement.</w:t>
      </w:r>
    </w:p>
    <w:p>
      <w:pPr>
        <w:spacing w:after="0" w:line="20" w:lineRule="exact"/>
        <w:rPr>
          <w:rFonts w:ascii="Times New Roman" w:cs="Times New Roman" w:eastAsia="Times New Roman" w:hAnsi="Times New Roman"/>
          <w:sz w:val="13"/>
          <w:szCs w:val="13"/>
          <w:color w:val="008000"/>
        </w:rPr>
      </w:pPr>
    </w:p>
    <w:p>
      <w:pPr>
        <w:ind w:left="40" w:right="2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in equal annual installments, the first vesting having occurred on March 30, 2023. The RSUs are subject to forfeiture prior to vesting in accordance with the terms of the 2015 Plan and the award agreement.</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2022 Incentive Award Plan (the 2022 Plan) and the award agreement.</w:t>
      </w:r>
    </w:p>
    <w:p>
      <w:pPr>
        <w:spacing w:after="0" w:line="40" w:lineRule="exact"/>
        <w:rPr>
          <w:rFonts w:ascii="Times New Roman" w:cs="Times New Roman" w:eastAsia="Times New Roman" w:hAnsi="Times New Roman"/>
          <w:sz w:val="13"/>
          <w:szCs w:val="13"/>
          <w:color w:val="008000"/>
        </w:rPr>
      </w:pPr>
    </w:p>
    <w:p>
      <w:pPr>
        <w:ind w:left="40" w:right="2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RSUs subject to a four-year vesting in equal annual installments, the first vesting having occurred on March 30, 2024. The RSUs are subject to forfeiture prior to vesting in accordance with the terms of the 2022 Plan and the award agreement.</w:t>
      </w:r>
    </w:p>
    <w:p>
      <w:pPr>
        <w:sectPr>
          <w:pgSz w:w="11900" w:h="16931" w:orient="portrait"/>
          <w:cols w:equalWidth="0" w:num="1">
            <w:col w:w="11080"/>
          </w:cols>
          <w:pgMar w:left="460" w:top="215" w:right="359" w:bottom="0" w:gutter="0" w:footer="0" w:header="0"/>
          <w:type w:val="continuous"/>
        </w:sectPr>
      </w:pPr>
    </w:p>
    <w:bookmarkStart w:id="1" w:name="page2"/>
    <w:bookmarkEnd w:id="1"/>
    <w:p>
      <w:pPr>
        <w:ind w:left="1" w:right="60" w:hanging="1"/>
        <w:spacing w:after="0" w:line="24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subject to a four-year vesting in equal annual installments, the first vesting having occurred on March 30, 2025. The RSUs are subject to forfeiture prior to vesting in accordance with the terms of the 2022 Plan and the award agreement.</w:t>
      </w:r>
    </w:p>
    <w:p>
      <w:pPr>
        <w:spacing w:after="0" w:line="20"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represents a contingent right to receive one ordinary share of the Company in accordance with the terms of the 2015 Plan and the award agreement.</w:t>
      </w:r>
    </w:p>
    <w:p>
      <w:pPr>
        <w:spacing w:after="0" w:line="40" w:lineRule="exact"/>
        <w:rPr>
          <w:rFonts w:ascii="Times New Roman" w:cs="Times New Roman" w:eastAsia="Times New Roman" w:hAnsi="Times New Roman"/>
          <w:sz w:val="13"/>
          <w:szCs w:val="13"/>
          <w:color w:val="008000"/>
        </w:rPr>
      </w:pPr>
    </w:p>
    <w:p>
      <w:pPr>
        <w:ind w:left="1" w:hanging="1"/>
        <w:spacing w:after="0" w:line="236"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PSUs to vest or lapse on March 30, 2025 based on the Company's cumulative adjusted free cash flow (FCF) for performance period 2022-2024 compared to a target determined by the 2015 Plan Administrator. The Company has determined that 88.1% of the underlying PSUs shall vest on March 30, 2025, subject to continued service during the vesting period and the award agreement. The performance achieved was 88.1%, and the actual number of vested shares is presented as the quantity that was acquired.</w:t>
      </w:r>
    </w:p>
    <w:p>
      <w:pPr>
        <w:spacing w:after="0" w:line="26" w:lineRule="exact"/>
        <w:rPr>
          <w:rFonts w:ascii="Times New Roman" w:cs="Times New Roman" w:eastAsia="Times New Roman" w:hAnsi="Times New Roman"/>
          <w:sz w:val="13"/>
          <w:szCs w:val="13"/>
          <w:color w:val="008000"/>
        </w:rPr>
      </w:pPr>
    </w:p>
    <w:p>
      <w:pPr>
        <w:ind w:left="1" w:right="40" w:hanging="1"/>
        <w:spacing w:after="0" w:line="247" w:lineRule="auto"/>
        <w:tabs>
          <w:tab w:leader="none" w:pos="18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PSUs to vest or lapse on March 30, 2025 based on the Company's Return on Investment Capital (ROIC) for performance period 2022-2024 compared to a target determined by the 2015 Plan Administrator. The performance achieved was 78.5%, and the actual number of vested shares is presented as the quantity that was acquired.</w:t>
      </w:r>
    </w:p>
    <w:p>
      <w:pPr>
        <w:spacing w:after="0" w:line="20" w:lineRule="exact"/>
        <w:rPr>
          <w:rFonts w:ascii="Times New Roman" w:cs="Times New Roman" w:eastAsia="Times New Roman" w:hAnsi="Times New Roman"/>
          <w:sz w:val="13"/>
          <w:szCs w:val="13"/>
          <w:color w:val="008000"/>
        </w:rPr>
      </w:pPr>
    </w:p>
    <w:p>
      <w:pPr>
        <w:ind w:left="1" w:right="120" w:hanging="1"/>
        <w:spacing w:after="0" w:line="236"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PSUs to vest or lapse on March 30, 2025 based on the Company's total shareholder return (TSR) for the three-year period beginning on January 1, 2022 and ending December 31, 2024 relative to the total shareholder return of a peer group of companies, as determined by the 2015 Plan Administrator. The Company's performance achieved a result of 58%, and the actual number of vested shares is presented as the quantity that was acquired.</w:t>
      </w:r>
    </w:p>
    <w:p>
      <w:pPr>
        <w:spacing w:after="0" w:line="26" w:lineRule="exact"/>
        <w:rPr>
          <w:rFonts w:ascii="Times New Roman" w:cs="Times New Roman" w:eastAsia="Times New Roman" w:hAnsi="Times New Roman"/>
          <w:sz w:val="13"/>
          <w:szCs w:val="13"/>
          <w:color w:val="008000"/>
        </w:rPr>
      </w:pPr>
    </w:p>
    <w:p>
      <w:pPr>
        <w:ind w:left="1" w:right="280" w:hanging="1"/>
        <w:spacing w:after="0" w:line="24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RSUs subject to a three-year vesting in equal annual installments, the first vesting occurring on March 30, 2026. The RSUs are subject to forfeiture prior to vesting in accordance with the terms of the 2022 Plan and the award agreement.</w:t>
      </w:r>
    </w:p>
    <w:p>
      <w:pPr>
        <w:spacing w:after="0" w:line="2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represents a contingent right to receive one ordinary share of the Company in accordance with the terms of the 2022 Plan and the award agreement.</w:t>
      </w:r>
    </w:p>
    <w:p>
      <w:pPr>
        <w:spacing w:after="0" w:line="40" w:lineRule="exact"/>
        <w:rPr>
          <w:rFonts w:ascii="Times New Roman" w:cs="Times New Roman" w:eastAsia="Times New Roman" w:hAnsi="Times New Roman"/>
          <w:sz w:val="13"/>
          <w:szCs w:val="13"/>
          <w:color w:val="008000"/>
        </w:rPr>
      </w:pPr>
    </w:p>
    <w:p>
      <w:pPr>
        <w:ind w:left="1" w:hanging="1"/>
        <w:spacing w:after="0" w:line="24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PSUs to vest or lapse on March 30, 2028 based on how the Company's FCF for performance period 2025-2027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0" w:lineRule="exact"/>
        <w:rPr>
          <w:rFonts w:ascii="Times New Roman" w:cs="Times New Roman" w:eastAsia="Times New Roman" w:hAnsi="Times New Roman"/>
          <w:sz w:val="13"/>
          <w:szCs w:val="13"/>
          <w:color w:val="008000"/>
        </w:rPr>
      </w:pPr>
    </w:p>
    <w:p>
      <w:pPr>
        <w:ind w:left="1" w:right="60" w:hanging="1"/>
        <w:spacing w:after="0" w:line="285"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30, 2025, reporting person was granted PSUs to vest or lapse on March 30, 2028 based on how the Company's ROIC calculated for the performance period 2025-2027 compares to a target determined by the 2022 Plan Administrator. The number included in column 5 of Table II reflects the target number of PSUs eligible for vesting subject to continued service during the vesting period and the award agreement.</w:t>
      </w:r>
    </w:p>
    <w:p>
      <w:pPr>
        <w:ind w:left="1" w:right="80" w:hanging="1"/>
        <w:spacing w:after="0" w:line="236"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PSUs to vest or lapse on March 30, 2028 based on the Company's TSR for the three-year period beginning on January 1, 2025 and ending December 31, 2027 relative to the TSR of an index of companies, as determined by the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1" w:right="20" w:hanging="1"/>
        <w:spacing w:after="0" w:line="24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stock appreciation rights (SARs) subject to a four-year vesting in equal annual installments, the first vesting occurring on March 30, 2026. The SARs are subject to forfeiture prior to vesting in accordance with the terms of the Plan and the award agreement.</w:t>
      </w:r>
    </w:p>
    <w:p>
      <w:pPr>
        <w:sectPr>
          <w:pgSz w:w="11900" w:h="16838" w:orient="portrait"/>
          <w:cols w:equalWidth="0" w:num="1">
            <w:col w:w="10881"/>
          </w:cols>
          <w:pgMar w:left="499" w:top="177" w:right="519" w:bottom="1440" w:gutter="0" w:footer="0" w:header="0"/>
        </w:sectPr>
      </w:pP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/s/ Sarah K. Mohr,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-3810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79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37" w:lineRule="exact"/>
        <w:rPr>
          <w:sz w:val="20"/>
          <w:szCs w:val="20"/>
          <w:color w:val="auto"/>
        </w:rPr>
      </w:pPr>
    </w:p>
    <w:p>
      <w:pPr>
        <w:ind w:left="6561"/>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74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0"/>
          <w:szCs w:val="20"/>
          <w:color w:val="auto"/>
        </w:rPr>
      </w:pPr>
    </w:p>
    <w:p>
      <w:pPr>
        <w:sectPr>
          <w:pgSz w:w="11900" w:h="16838" w:orient="portrait"/>
          <w:cols w:equalWidth="0" w:num="2">
            <w:col w:w="8621" w:space="140"/>
            <w:col w:w="2120"/>
          </w:cols>
          <w:pgMar w:left="499" w:top="177" w:right="519" w:bottom="1440" w:gutter="0" w:footer="0" w:header="0"/>
          <w:type w:val="continuous"/>
        </w:sect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600" w:hanging="1"/>
        <w:spacing w:after="0" w:line="329"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1"/>
      </w:cols>
      <w:pgMar w:left="499" w:top="17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2558"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2025-04-01T20:08:42Z</dcterms:created>
  <dcterms:modified xsi:type="dcterms:W3CDTF">2025-04-01T20:08:42Z</dcterms:modified>
</cp:coreProperties>
</file>