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November 5, 2025</w:t>
      </w:r>
    </w:p>
    <w:p>
      <w:pPr>
        <w:spacing w:after="0" w:line="287" w:lineRule="exact"/>
        <w:rPr>
          <w:sz w:val="24"/>
          <w:szCs w:val="24"/>
          <w:color w:val="auto"/>
        </w:rPr>
      </w:pPr>
    </w:p>
    <w:p>
      <w:pPr>
        <w:ind w:right="2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01" w:lineRule="exact"/>
        <w:rPr>
          <w:sz w:val="24"/>
          <w:szCs w:val="24"/>
          <w:color w:val="auto"/>
        </w:rPr>
      </w:pPr>
    </w:p>
    <w:p>
      <w:pPr>
        <w:spacing w:after="0" w:line="291"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Quarterly Report on Form 10-Q for the period ended September 30, 2025, which was filed with the Securities and Exchange Commission on November 5, 2025. The disclosure can be found within Part II, Item 5. </w:t>
      </w:r>
      <w:r>
        <w:rPr>
          <w:rFonts w:ascii="Times New Roman" w:cs="Times New Roman" w:eastAsia="Times New Roman" w:hAnsi="Times New Roman"/>
          <w:sz w:val="22"/>
          <w:szCs w:val="22"/>
          <w:i w:val="1"/>
          <w:iCs w:val="1"/>
          <w:color w:val="auto"/>
        </w:rPr>
        <w:t>Other Information</w:t>
      </w:r>
      <w:r>
        <w:rPr>
          <w:rFonts w:ascii="Times New Roman" w:cs="Times New Roman" w:eastAsia="Times New Roman" w:hAnsi="Times New Roman"/>
          <w:sz w:val="22"/>
          <w:szCs w:val="22"/>
          <w:color w:val="auto"/>
        </w:rPr>
        <w:t xml:space="preserve"> in the Quarterly Report on Form 10-Q.</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200" w:lineRule="exact"/>
        <w:rPr>
          <w:sz w:val="24"/>
          <w:szCs w:val="24"/>
          <w:color w:val="auto"/>
        </w:rPr>
      </w:pPr>
    </w:p>
    <w:p>
      <w:pPr>
        <w:spacing w:after="0" w:line="371" w:lineRule="exact"/>
        <w:rPr>
          <w:sz w:val="24"/>
          <w:szCs w:val="24"/>
          <w:color w:val="auto"/>
        </w:rPr>
      </w:pPr>
    </w:p>
    <w:tbl>
      <w:tblPr>
        <w:tblLayout w:type="fixed"/>
        <w:tblInd w:w="20" w:type="dxa"/>
        <w:tblCellMar>
          <w:top w:w="0" w:type="dxa"/>
          <w:left w:w="0" w:type="dxa"/>
          <w:bottom w:w="0" w:type="dxa"/>
          <w:right w:w="0" w:type="dxa"/>
        </w:tblCellMar>
      </w:tblPr>
      <w:tr>
        <w:trPr>
          <w:trHeight w:val="291"/>
        </w:trPr>
        <w:tc>
          <w:tcPr>
            <w:tcW w:w="7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8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VLADIMIR MAKATSARIA</w:t>
            </w:r>
          </w:p>
        </w:tc>
      </w:tr>
      <w:tr>
        <w:trPr>
          <w:trHeight w:val="295"/>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Vladimir Makatsaria</w:t>
            </w:r>
          </w:p>
        </w:tc>
      </w:tr>
      <w:tr>
        <w:trPr>
          <w:trHeight w:val="310"/>
        </w:trPr>
        <w:tc>
          <w:tcPr>
            <w:tcW w:w="74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Times New Roman" w:cs="Times New Roman" w:eastAsia="Times New Roman" w:hAnsi="Times New Roman"/>
                <w:sz w:val="22"/>
                <w:szCs w:val="22"/>
                <w:color w:val="auto"/>
              </w:rPr>
              <w:t>Chief Executive Officer</w:t>
            </w: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0960"/>
      </w:cols>
      <w:pgMar w:left="320" w:top="144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2025-11-05T11:32:38Z</dcterms:created>
  <dcterms:modified xsi:type="dcterms:W3CDTF">2025-11-05T11:32:38Z</dcterms:modified>
</cp:coreProperties>
</file>