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80"/>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(Mark One)</w:t>
      </w:r>
    </w:p>
    <w:p>
      <w:pPr>
        <w:spacing w:after="0" w:line="16" w:lineRule="exact"/>
        <w:rPr>
          <w:sz w:val="24"/>
          <w:szCs w:val="24"/>
          <w:color w:val="auto"/>
        </w:rPr>
      </w:pPr>
    </w:p>
    <w:p>
      <w:pPr>
        <w:ind w:left="4440" w:right="2360" w:hanging="2154"/>
        <w:spacing w:after="0" w:line="255" w:lineRule="auto"/>
        <w:tabs>
          <w:tab w:leader="none" w:pos="253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QUARTERLY REPORT PURSUANT TO SECTION 13 OR 15(d) OF THE SECURITIES EXCHANGE ACT OF 1934 </w:t>
      </w:r>
      <w:r>
        <w:rPr>
          <w:rFonts w:ascii="Times New Roman" w:cs="Times New Roman" w:eastAsia="Times New Roman" w:hAnsi="Times New Roman"/>
          <w:sz w:val="13"/>
          <w:szCs w:val="13"/>
          <w:color w:val="auto"/>
        </w:rPr>
        <w:t>For the quarterly period ended: March 31, 2024</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3840" w:right="2360" w:hanging="1558"/>
        <w:spacing w:after="0" w:line="271" w:lineRule="auto"/>
        <w:tabs>
          <w:tab w:leader="none" w:pos="2531"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_______________ to _______________</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13970</wp:posOffset>
            </wp:positionV>
            <wp:extent cx="163068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068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15"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England and Wales </w:t>
            </w:r>
            <w:r>
              <w:rPr>
                <w:rFonts w:ascii="Times New Roman" w:cs="Times New Roman" w:eastAsia="Times New Roman" w:hAnsi="Times New Roman"/>
                <w:sz w:val="13"/>
                <w:szCs w:val="13"/>
                <w:i w:val="1"/>
                <w:iCs w:val="1"/>
                <w:color w:val="FFFFFF"/>
              </w:rPr>
              <w:t>...................</w:t>
            </w:r>
          </w:p>
        </w:tc>
        <w:tc>
          <w:tcPr>
            <w:tcW w:w="1560" w:type="dxa"/>
            <w:vAlign w:val="bottom"/>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w w:val="98"/>
              </w:rPr>
              <w:t>98-1268150</w:t>
            </w: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(State or other jurisdiction of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80"/>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incorporation or organization)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r>
      <w:tr>
        <w:trPr>
          <w:trHeight w:val="268"/>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60" w:type="dxa"/>
            <w:vAlign w:val="bottom"/>
            <w:gridSpan w:val="6"/>
          </w:tcPr>
          <w:p>
            <w:pPr>
              <w:jc w:val="center"/>
              <w:ind w:right="3780"/>
              <w:spacing w:after="0"/>
              <w:rPr>
                <w:sz w:val="20"/>
                <w:szCs w:val="20"/>
                <w:color w:val="auto"/>
              </w:rPr>
            </w:pPr>
            <w:r>
              <w:rPr>
                <w:rFonts w:ascii="Times New Roman" w:cs="Times New Roman" w:eastAsia="Times New Roman" w:hAnsi="Times New Roman"/>
                <w:sz w:val="13"/>
                <w:szCs w:val="13"/>
                <w:b w:val="1"/>
                <w:bCs w:val="1"/>
                <w:color w:val="auto"/>
                <w:w w:val="97"/>
              </w:rPr>
              <w:t>20 Eastbourne Terrace, London, United Kingdom</w:t>
            </w: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 xml:space="preserve"> W2 6LG</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FFFFFF"/>
              </w:rPr>
              <w:t xml:space="preserve">....................... </w:t>
            </w:r>
            <w:r>
              <w:rPr>
                <w:rFonts w:ascii="Times New Roman" w:cs="Times New Roman" w:eastAsia="Times New Roman" w:hAnsi="Times New Roman"/>
                <w:sz w:val="13"/>
                <w:szCs w:val="13"/>
                <w:i w:val="1"/>
                <w:iCs w:val="1"/>
                <w:color w:val="000000"/>
              </w:rPr>
              <w:t>(Zip Code)</w:t>
            </w:r>
          </w:p>
        </w:tc>
      </w:tr>
      <w:tr>
        <w:trPr>
          <w:trHeight w:val="286"/>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gridSpan w:val="6"/>
          </w:tcPr>
          <w:p>
            <w:pPr>
              <w:jc w:val="center"/>
              <w:ind w:right="3760"/>
              <w:spacing w:after="0"/>
              <w:rPr>
                <w:sz w:val="20"/>
                <w:szCs w:val="20"/>
                <w:color w:val="auto"/>
              </w:rPr>
            </w:pPr>
            <w:r>
              <w:rPr>
                <w:rFonts w:ascii="Times New Roman" w:cs="Times New Roman" w:eastAsia="Times New Roman" w:hAnsi="Times New Roman"/>
                <w:sz w:val="13"/>
                <w:szCs w:val="13"/>
                <w:i w:val="1"/>
                <w:iCs w:val="1"/>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(44) (0) 203 325-0660</w:t>
            </w:r>
          </w:p>
        </w:tc>
      </w:tr>
      <w:tr>
        <w:trPr>
          <w:trHeight w:val="175"/>
        </w:trPr>
        <w:tc>
          <w:tcPr>
            <w:tcW w:w="1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18"/>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60" w:type="dxa"/>
            <w:vAlign w:val="bottom"/>
            <w:gridSpan w:val="6"/>
          </w:tcPr>
          <w:p>
            <w:pPr>
              <w:ind w:left="5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r>
      <w:tr>
        <w:trPr>
          <w:trHeight w:val="248"/>
        </w:trPr>
        <w:tc>
          <w:tcPr>
            <w:tcW w:w="1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Trading Symbol(s)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20" w:type="dxa"/>
            <w:vAlign w:val="bottom"/>
            <w:gridSpan w:val="2"/>
          </w:tcPr>
          <w:p>
            <w:pPr>
              <w:jc w:val="center"/>
              <w:ind w:right="1560"/>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7"/>
        </w:trPr>
        <w:tc>
          <w:tcPr>
            <w:tcW w:w="3560" w:type="dxa"/>
            <w:vAlign w:val="bottom"/>
            <w:gridSpan w:val="3"/>
          </w:tcPr>
          <w:p>
            <w:pPr>
              <w:jc w:val="center"/>
              <w:ind w:left="119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12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LIVN</w:t>
            </w:r>
          </w:p>
        </w:tc>
        <w:tc>
          <w:tcPr>
            <w:tcW w:w="1560" w:type="dxa"/>
            <w:vAlign w:val="bottom"/>
          </w:tcPr>
          <w:p>
            <w:pPr>
              <w:spacing w:after="0"/>
              <w:rPr>
                <w:sz w:val="15"/>
                <w:szCs w:val="15"/>
                <w:color w:val="auto"/>
              </w:rPr>
            </w:pPr>
          </w:p>
        </w:tc>
        <w:tc>
          <w:tcPr>
            <w:tcW w:w="382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8"/>
              </w:rPr>
              <w:t>The NASDAQ Stock Market LLC</w:t>
            </w:r>
          </w:p>
        </w:tc>
      </w:tr>
    </w:tbl>
    <w:p>
      <w:pPr>
        <w:spacing w:after="0" w:line="68"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80"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7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whether the registrant is a shell company (as defined in Rule 12b-2 of the Act). Yes </w:t>
            </w:r>
            <w:r>
              <w:rPr>
                <w:rFonts w:ascii="MS PGothic" w:cs="MS PGothic" w:eastAsia="MS PGothic" w:hAnsi="MS PGothic"/>
                <w:sz w:val="13"/>
                <w:szCs w:val="13"/>
                <w:color w:val="auto"/>
                <w:w w:val="98"/>
              </w:rPr>
              <w:t>☐</w:t>
            </w:r>
          </w:p>
        </w:tc>
        <w:tc>
          <w:tcPr>
            <w:tcW w:w="55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33"/>
        </w:trPr>
        <w:tc>
          <w:tcPr>
            <w:tcW w:w="5720" w:type="dxa"/>
            <w:vAlign w:val="bottom"/>
          </w:tcPr>
          <w:p>
            <w:pPr>
              <w:jc w:val="center"/>
              <w:ind w:left="96"/>
              <w:spacing w:after="0"/>
              <w:rPr>
                <w:sz w:val="20"/>
                <w:szCs w:val="20"/>
                <w:color w:val="auto"/>
              </w:rPr>
            </w:pPr>
            <w:r>
              <w:rPr>
                <w:rFonts w:ascii="Times New Roman" w:cs="Times New Roman" w:eastAsia="Times New Roman" w:hAnsi="Times New Roman"/>
                <w:sz w:val="13"/>
                <w:szCs w:val="13"/>
                <w:i w:val="1"/>
                <w:iCs w:val="1"/>
                <w:color w:val="auto"/>
                <w:w w:val="96"/>
              </w:rPr>
              <w:t>Class</w:t>
            </w:r>
          </w:p>
        </w:tc>
        <w:tc>
          <w:tcPr>
            <w:tcW w:w="55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Outstanding at April 26, 2024</w:t>
            </w:r>
          </w:p>
        </w:tc>
      </w:tr>
      <w:tr>
        <w:trPr>
          <w:trHeight w:val="170"/>
        </w:trPr>
        <w:tc>
          <w:tcPr>
            <w:tcW w:w="57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5560" w:type="dxa"/>
            <w:vAlign w:val="bottom"/>
          </w:tcPr>
          <w:p>
            <w:pPr>
              <w:jc w:val="right"/>
              <w:ind w:right="2356"/>
              <w:spacing w:after="0"/>
              <w:rPr>
                <w:sz w:val="20"/>
                <w:szCs w:val="20"/>
                <w:color w:val="auto"/>
              </w:rPr>
            </w:pPr>
            <w:r>
              <w:rPr>
                <w:rFonts w:ascii="Times New Roman" w:cs="Times New Roman" w:eastAsia="Times New Roman" w:hAnsi="Times New Roman"/>
                <w:sz w:val="13"/>
                <w:szCs w:val="13"/>
                <w:color w:val="auto"/>
              </w:rPr>
              <w:t>54,151,745</w:t>
            </w:r>
          </w:p>
        </w:tc>
      </w:tr>
      <w:tr>
        <w:trPr>
          <w:trHeight w:val="547"/>
        </w:trPr>
        <w:tc>
          <w:tcPr>
            <w:tcW w:w="57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82"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4"/>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w w:val="99"/>
              </w:rPr>
              <w:t>PART I. FINANCIAL INFORMATION</w:t>
            </w: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1"/>
        </w:trPr>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right w:val="single" w:sz="8" w:color="CCEEFF"/>
            </w:tcBorders>
            <w:shd w:val="clear" w:color="auto" w:fill="CCEEFF"/>
          </w:tcPr>
          <w:p>
            <w:pPr>
              <w:spacing w:after="0"/>
              <w:rPr>
                <w:sz w:val="13"/>
                <w:szCs w:val="13"/>
                <w:color w:val="auto"/>
              </w:rPr>
            </w:pPr>
          </w:p>
        </w:tc>
        <w:tc>
          <w:tcPr>
            <w:tcW w:w="700" w:type="dxa"/>
            <w:vAlign w:val="bottom"/>
            <w:tcBorders>
              <w:bottom w:val="single" w:sz="8" w:color="0000FF"/>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Definitions</w:t>
            </w:r>
          </w:p>
        </w:tc>
        <w:tc>
          <w:tcPr>
            <w:tcW w:w="8420" w:type="dxa"/>
            <w:vAlign w:val="bottom"/>
            <w:tcBorders>
              <w:bottom w:val="single" w:sz="8" w:color="CCEEFF"/>
            </w:tcBorders>
            <w:gridSpan w:val="13"/>
            <w:shd w:val="clear" w:color="auto" w:fill="CCEEFF"/>
          </w:tcPr>
          <w:p>
            <w:pPr>
              <w:spacing w:after="0"/>
              <w:rPr>
                <w:sz w:val="13"/>
                <w:szCs w:val="13"/>
                <w:color w:val="auto"/>
              </w:rPr>
            </w:pPr>
          </w:p>
        </w:tc>
        <w:tc>
          <w:tcPr>
            <w:tcW w:w="5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w:t>
            </w:r>
          </w:p>
        </w:tc>
        <w:tc>
          <w:tcPr>
            <w:tcW w:w="44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Note About Forward-Looking Statements</w:t>
            </w:r>
          </w:p>
        </w:tc>
        <w:tc>
          <w:tcPr>
            <w:tcW w:w="6760" w:type="dxa"/>
            <w:vAlign w:val="bottom"/>
            <w:gridSpan w:val="8"/>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6</w:t>
            </w:r>
          </w:p>
        </w:tc>
        <w:tc>
          <w:tcPr>
            <w:tcW w:w="44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w:t>
            </w: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Financial Statements</w:t>
            </w:r>
          </w:p>
        </w:tc>
        <w:tc>
          <w:tcPr>
            <w:tcW w:w="660" w:type="dxa"/>
            <w:vAlign w:val="bottom"/>
            <w:gridSpan w:val="2"/>
            <w:shd w:val="clear" w:color="auto" w:fill="CCEEFF"/>
          </w:tcPr>
          <w:p>
            <w:pPr>
              <w:jc w:val="center"/>
              <w:ind w:left="510"/>
              <w:spacing w:after="0" w:line="155" w:lineRule="exact"/>
              <w:rPr>
                <w:sz w:val="20"/>
                <w:szCs w:val="20"/>
                <w:color w:val="auto"/>
              </w:rPr>
            </w:pPr>
            <w:r>
              <w:rPr>
                <w:rFonts w:ascii="Times New Roman" w:cs="Times New Roman" w:eastAsia="Times New Roman" w:hAnsi="Times New Roman"/>
                <w:sz w:val="14"/>
                <w:szCs w:val="14"/>
                <w:color w:val="0000FF"/>
              </w:rPr>
              <w:t>7</w:t>
            </w:r>
          </w:p>
        </w:tc>
        <w:tc>
          <w:tcPr>
            <w:tcW w:w="44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8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(Loss) Income</w:t>
            </w:r>
          </w:p>
        </w:tc>
        <w:tc>
          <w:tcPr>
            <w:tcW w:w="6040" w:type="dxa"/>
            <w:vAlign w:val="bottom"/>
            <w:gridSpan w:val="5"/>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7</w:t>
            </w:r>
          </w:p>
        </w:tc>
        <w:tc>
          <w:tcPr>
            <w:tcW w:w="44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right w:val="single" w:sz="8" w:color="CCEEFF"/>
            </w:tcBorders>
            <w:shd w:val="clear" w:color="auto" w:fill="CCEEFF"/>
          </w:tcPr>
          <w:p>
            <w:pPr>
              <w:spacing w:after="0"/>
              <w:rPr>
                <w:sz w:val="14"/>
                <w:szCs w:val="14"/>
                <w:color w:val="auto"/>
              </w:rPr>
            </w:pPr>
          </w:p>
        </w:tc>
        <w:tc>
          <w:tcPr>
            <w:tcW w:w="4000" w:type="dxa"/>
            <w:vAlign w:val="bottom"/>
            <w:tcBorders>
              <w:bottom w:val="single" w:sz="8" w:color="0000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Comprehensive (Loss) Income</w:t>
            </w:r>
          </w:p>
        </w:tc>
        <w:tc>
          <w:tcPr>
            <w:tcW w:w="5120" w:type="dxa"/>
            <w:vAlign w:val="bottom"/>
            <w:tcBorders>
              <w:bottom w:val="single" w:sz="8" w:color="CCEEFF"/>
            </w:tcBorders>
            <w:gridSpan w:val="2"/>
            <w:shd w:val="clear" w:color="auto" w:fill="CCEEFF"/>
          </w:tcPr>
          <w:p>
            <w:pPr>
              <w:spacing w:after="0"/>
              <w:rPr>
                <w:sz w:val="14"/>
                <w:szCs w:val="14"/>
                <w:color w:val="auto"/>
              </w:rPr>
            </w:pPr>
          </w:p>
        </w:tc>
        <w:tc>
          <w:tcPr>
            <w:tcW w:w="5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8</w:t>
            </w:r>
          </w:p>
        </w:tc>
        <w:tc>
          <w:tcPr>
            <w:tcW w:w="44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660" w:type="dxa"/>
            <w:vAlign w:val="bottom"/>
            <w:gridSpan w:val="2"/>
          </w:tcPr>
          <w:p>
            <w:pPr>
              <w:jc w:val="center"/>
              <w:ind w:left="510"/>
              <w:spacing w:after="0" w:line="149" w:lineRule="exact"/>
              <w:rPr>
                <w:sz w:val="20"/>
                <w:szCs w:val="20"/>
                <w:color w:val="auto"/>
              </w:rPr>
            </w:pPr>
            <w:r>
              <w:rPr>
                <w:rFonts w:ascii="Times New Roman" w:cs="Times New Roman" w:eastAsia="Times New Roman" w:hAnsi="Times New Roman"/>
                <w:sz w:val="14"/>
                <w:szCs w:val="14"/>
                <w:color w:val="0000FF"/>
              </w:rPr>
              <w:t>9</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92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6200" w:type="dxa"/>
            <w:vAlign w:val="bottom"/>
            <w:gridSpan w:val="6"/>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center"/>
              <w:ind w:right="420"/>
              <w:spacing w:after="0" w:line="155" w:lineRule="exact"/>
              <w:rPr>
                <w:sz w:val="20"/>
                <w:szCs w:val="20"/>
                <w:color w:val="auto"/>
              </w:rPr>
            </w:pPr>
            <w:r>
              <w:rPr>
                <w:rFonts w:ascii="Times New Roman" w:cs="Times New Roman" w:eastAsia="Times New Roman" w:hAnsi="Times New Roman"/>
                <w:sz w:val="14"/>
                <w:szCs w:val="14"/>
                <w:color w:val="0000FF"/>
                <w:w w:val="71"/>
              </w:rPr>
              <w:t>10</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12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660" w:type="dxa"/>
            <w:vAlign w:val="bottom"/>
            <w:gridSpan w:val="2"/>
          </w:tcPr>
          <w:p>
            <w:pPr>
              <w:jc w:val="center"/>
              <w:ind w:left="470"/>
              <w:spacing w:after="0" w:line="149" w:lineRule="exact"/>
              <w:rPr>
                <w:sz w:val="20"/>
                <w:szCs w:val="20"/>
                <w:color w:val="auto"/>
              </w:rPr>
            </w:pPr>
            <w:r>
              <w:rPr>
                <w:rFonts w:ascii="Times New Roman" w:cs="Times New Roman" w:eastAsia="Times New Roman" w:hAnsi="Times New Roman"/>
                <w:sz w:val="14"/>
                <w:szCs w:val="14"/>
                <w:color w:val="0000FF"/>
                <w:w w:val="85"/>
              </w:rPr>
              <w:t>11</w:t>
            </w:r>
          </w:p>
        </w:tc>
        <w:tc>
          <w:tcPr>
            <w:tcW w:w="4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31</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38</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38</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0000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560" w:type="dxa"/>
            <w:vAlign w:val="bottom"/>
            <w:tcBorders>
              <w:top w:val="single" w:sz="8" w:color="CCEEFF"/>
              <w:bottom w:val="single" w:sz="8" w:color="CCEEFF"/>
            </w:tcBorders>
          </w:tcPr>
          <w:p>
            <w:pPr>
              <w:spacing w:after="0"/>
              <w:rPr>
                <w:sz w:val="15"/>
                <w:szCs w:val="15"/>
                <w:color w:val="auto"/>
              </w:rPr>
            </w:pPr>
          </w:p>
        </w:tc>
        <w:tc>
          <w:tcPr>
            <w:tcW w:w="460" w:type="dxa"/>
            <w:vAlign w:val="bottom"/>
            <w:tcBorders>
              <w:top w:val="single" w:sz="8" w:color="0000FF"/>
              <w:bottom w:val="single" w:sz="8" w:color="auto"/>
            </w:tcBorders>
          </w:tcPr>
          <w:p>
            <w:pPr>
              <w:spacing w:after="0"/>
              <w:rPr>
                <w:sz w:val="15"/>
                <w:szCs w:val="15"/>
                <w:color w:val="auto"/>
              </w:rPr>
            </w:pPr>
          </w:p>
        </w:tc>
        <w:tc>
          <w:tcPr>
            <w:tcW w:w="240" w:type="dxa"/>
            <w:vAlign w:val="bottom"/>
            <w:tcBorders>
              <w:top w:val="single" w:sz="8" w:color="0000FF"/>
              <w:bottom w:val="single" w:sz="8" w:color="auto"/>
            </w:tcBorders>
          </w:tcPr>
          <w:p>
            <w:pPr>
              <w:spacing w:after="0"/>
              <w:rPr>
                <w:sz w:val="15"/>
                <w:szCs w:val="15"/>
                <w:color w:val="auto"/>
              </w:rPr>
            </w:pPr>
          </w:p>
        </w:tc>
        <w:tc>
          <w:tcPr>
            <w:tcW w:w="340" w:type="dxa"/>
            <w:vAlign w:val="bottom"/>
            <w:tcBorders>
              <w:top w:val="single" w:sz="8" w:color="0000FF"/>
              <w:bottom w:val="single" w:sz="8" w:color="auto"/>
            </w:tcBorders>
          </w:tcPr>
          <w:p>
            <w:pPr>
              <w:spacing w:after="0"/>
              <w:rPr>
                <w:sz w:val="15"/>
                <w:szCs w:val="15"/>
                <w:color w:val="auto"/>
              </w:rPr>
            </w:pPr>
          </w:p>
        </w:tc>
        <w:tc>
          <w:tcPr>
            <w:tcW w:w="340" w:type="dxa"/>
            <w:vAlign w:val="bottom"/>
            <w:tcBorders>
              <w:top w:val="single" w:sz="8" w:color="0000FF"/>
              <w:bottom w:val="single" w:sz="8" w:color="auto"/>
            </w:tcBorders>
          </w:tcPr>
          <w:p>
            <w:pPr>
              <w:spacing w:after="0"/>
              <w:rPr>
                <w:sz w:val="15"/>
                <w:szCs w:val="15"/>
                <w:color w:val="auto"/>
              </w:rPr>
            </w:pPr>
          </w:p>
        </w:tc>
        <w:tc>
          <w:tcPr>
            <w:tcW w:w="44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CCEEFF"/>
              <w:bottom w:val="single" w:sz="8" w:color="auto"/>
            </w:tcBorders>
          </w:tcPr>
          <w:p>
            <w:pPr>
              <w:spacing w:after="0"/>
              <w:rPr>
                <w:sz w:val="15"/>
                <w:szCs w:val="15"/>
                <w:color w:val="auto"/>
              </w:rPr>
            </w:pPr>
          </w:p>
        </w:tc>
        <w:tc>
          <w:tcPr>
            <w:tcW w:w="16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5700" w:type="dxa"/>
            <w:vAlign w:val="bottom"/>
            <w:tcBorders>
              <w:top w:val="single" w:sz="8" w:color="CCEEFF"/>
              <w:bottom w:val="single" w:sz="8" w:color="auto"/>
            </w:tcBorders>
            <w:gridSpan w:val="3"/>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9"/>
              </w:rPr>
              <w:t>PART II. OTHER INFORMATION</w:t>
            </w:r>
          </w:p>
        </w:tc>
        <w:tc>
          <w:tcPr>
            <w:tcW w:w="5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0000FF"/>
              <w:bottom w:val="single" w:sz="8" w:color="CCEEFF"/>
            </w:tcBorders>
          </w:tcPr>
          <w:p>
            <w:pPr>
              <w:spacing w:after="0"/>
              <w:rPr>
                <w:sz w:val="15"/>
                <w:szCs w:val="15"/>
                <w:color w:val="auto"/>
              </w:rPr>
            </w:pPr>
          </w:p>
        </w:tc>
        <w:tc>
          <w:tcPr>
            <w:tcW w:w="440" w:type="dxa"/>
            <w:vAlign w:val="bottom"/>
            <w:tcBorders>
              <w:top w:val="single" w:sz="8" w:color="CCEEFF"/>
              <w:bottom w:val="single" w:sz="8" w:color="CCEEFF"/>
            </w:tcBorders>
          </w:tcPr>
          <w:p>
            <w:pPr>
              <w:spacing w:after="0"/>
              <w:rPr>
                <w:sz w:val="15"/>
                <w:szCs w:val="15"/>
                <w:color w:val="auto"/>
              </w:rPr>
            </w:pPr>
          </w:p>
        </w:tc>
      </w:tr>
      <w:tr>
        <w:trPr>
          <w:trHeight w:val="158"/>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Item 1</w:t>
            </w:r>
          </w:p>
        </w:tc>
        <w:tc>
          <w:tcPr>
            <w:tcW w:w="9120" w:type="dxa"/>
            <w:vAlign w:val="bottom"/>
            <w:gridSpan w:val="15"/>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Legal Proceedings</w:t>
            </w:r>
          </w:p>
        </w:tc>
        <w:tc>
          <w:tcPr>
            <w:tcW w:w="1100" w:type="dxa"/>
            <w:vAlign w:val="bottom"/>
            <w:gridSpan w:val="3"/>
            <w:shd w:val="clear" w:color="auto" w:fill="CCEEFF"/>
          </w:tcPr>
          <w:p>
            <w:pPr>
              <w:jc w:val="center"/>
              <w:ind w:left="50"/>
              <w:spacing w:after="0" w:line="118" w:lineRule="exact"/>
              <w:rPr>
                <w:sz w:val="20"/>
                <w:szCs w:val="20"/>
                <w:color w:val="auto"/>
              </w:rPr>
            </w:pPr>
            <w:r>
              <w:rPr>
                <w:rFonts w:ascii="Times New Roman" w:cs="Times New Roman" w:eastAsia="Times New Roman" w:hAnsi="Times New Roman"/>
                <w:sz w:val="13"/>
                <w:szCs w:val="13"/>
                <w:color w:val="0000FF"/>
              </w:rPr>
              <w:t>40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color w:val="0000FF"/>
              </w:rPr>
              <w:t>Item 1A</w:t>
            </w:r>
          </w:p>
        </w:tc>
        <w:tc>
          <w:tcPr>
            <w:tcW w:w="9120" w:type="dxa"/>
            <w:vAlign w:val="bottom"/>
            <w:gridSpan w:val="15"/>
          </w:tcPr>
          <w:p>
            <w:pPr>
              <w:spacing w:after="0" w:line="131" w:lineRule="exact"/>
              <w:rPr>
                <w:sz w:val="20"/>
                <w:szCs w:val="20"/>
                <w:color w:val="auto"/>
              </w:rPr>
            </w:pPr>
            <w:r>
              <w:rPr>
                <w:rFonts w:ascii="Times New Roman" w:cs="Times New Roman" w:eastAsia="Times New Roman" w:hAnsi="Times New Roman"/>
                <w:sz w:val="14"/>
                <w:szCs w:val="14"/>
                <w:color w:val="0000FF"/>
              </w:rPr>
              <w:t>Risk Factors</w:t>
            </w:r>
          </w:p>
        </w:tc>
        <w:tc>
          <w:tcPr>
            <w:tcW w:w="1100" w:type="dxa"/>
            <w:vAlign w:val="bottom"/>
            <w:gridSpan w:val="3"/>
          </w:tcPr>
          <w:p>
            <w:pPr>
              <w:jc w:val="center"/>
              <w:ind w:left="50"/>
              <w:spacing w:after="0" w:line="131" w:lineRule="exact"/>
              <w:rPr>
                <w:sz w:val="20"/>
                <w:szCs w:val="20"/>
                <w:color w:val="auto"/>
              </w:rPr>
            </w:pPr>
            <w:r>
              <w:rPr>
                <w:rFonts w:ascii="Times New Roman" w:cs="Times New Roman" w:eastAsia="Times New Roman" w:hAnsi="Times New Roman"/>
                <w:sz w:val="14"/>
                <w:szCs w:val="14"/>
                <w:color w:val="0000FF"/>
                <w:w w:val="99"/>
              </w:rPr>
              <w:t>40</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560" w:type="dxa"/>
            <w:vAlign w:val="bottom"/>
            <w:tcBorders>
              <w:right w:val="single" w:sz="8" w:color="CCEEFF"/>
            </w:tcBorders>
            <w:shd w:val="clear" w:color="auto" w:fill="CCEEFF"/>
          </w:tcPr>
          <w:p>
            <w:pPr>
              <w:spacing w:after="0"/>
              <w:rPr>
                <w:sz w:val="13"/>
                <w:szCs w:val="13"/>
                <w:color w:val="auto"/>
              </w:rPr>
            </w:pP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42</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912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42</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5</w:t>
            </w:r>
          </w:p>
        </w:tc>
        <w:tc>
          <w:tcPr>
            <w:tcW w:w="912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100" w:type="dxa"/>
            <w:vAlign w:val="bottom"/>
            <w:gridSpan w:val="3"/>
          </w:tcPr>
          <w:p>
            <w:pPr>
              <w:jc w:val="center"/>
              <w:ind w:left="50"/>
              <w:spacing w:after="0" w:line="149" w:lineRule="exact"/>
              <w:rPr>
                <w:sz w:val="20"/>
                <w:szCs w:val="20"/>
                <w:color w:val="auto"/>
              </w:rPr>
            </w:pPr>
            <w:r>
              <w:rPr>
                <w:rFonts w:ascii="Times New Roman" w:cs="Times New Roman" w:eastAsia="Times New Roman" w:hAnsi="Times New Roman"/>
                <w:sz w:val="14"/>
                <w:szCs w:val="14"/>
                <w:color w:val="0000FF"/>
                <w:w w:val="99"/>
              </w:rPr>
              <w:t>43</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6</w:t>
            </w:r>
          </w:p>
        </w:tc>
        <w:tc>
          <w:tcPr>
            <w:tcW w:w="9120" w:type="dxa"/>
            <w:vAlign w:val="bottom"/>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Exhibits</w:t>
            </w:r>
          </w:p>
        </w:tc>
        <w:tc>
          <w:tcPr>
            <w:tcW w:w="1100" w:type="dxa"/>
            <w:vAlign w:val="bottom"/>
            <w:gridSpan w:val="3"/>
            <w:shd w:val="clear" w:color="auto" w:fill="CCEEFF"/>
          </w:tcPr>
          <w:p>
            <w:pPr>
              <w:jc w:val="center"/>
              <w:ind w:left="50"/>
              <w:spacing w:after="0" w:line="155" w:lineRule="exact"/>
              <w:rPr>
                <w:sz w:val="20"/>
                <w:szCs w:val="20"/>
                <w:color w:val="auto"/>
              </w:rPr>
            </w:pPr>
            <w:r>
              <w:rPr>
                <w:rFonts w:ascii="Times New Roman" w:cs="Times New Roman" w:eastAsia="Times New Roman" w:hAnsi="Times New Roman"/>
                <w:sz w:val="14"/>
                <w:szCs w:val="14"/>
                <w:color w:val="0000FF"/>
                <w:w w:val="99"/>
              </w:rPr>
              <w:t>44</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this Quarterly Report on Form 10-Q for the quarter ended March 31, 2024, the following terms and abbreviations have the meanings listed below. “LivaNova” and “the Company” refer to LivaNova PLC and its consolidated subsidiaries.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3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0" w:type="dxa"/>
            <w:vAlign w:val="bottom"/>
          </w:tcPr>
          <w:p>
            <w:pPr>
              <w:spacing w:after="0"/>
              <w:rPr>
                <w:sz w:val="1"/>
                <w:szCs w:val="1"/>
                <w:color w:val="auto"/>
              </w:rPr>
            </w:pPr>
          </w:p>
        </w:tc>
      </w:tr>
      <w:tr>
        <w:trPr>
          <w:trHeight w:val="129"/>
        </w:trPr>
        <w:tc>
          <w:tcPr>
            <w:tcW w:w="3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2021</w:t>
            </w:r>
          </w:p>
        </w:tc>
        <w:tc>
          <w:tcPr>
            <w:tcW w:w="22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First Lien Credit Agreement</w:t>
            </w:r>
          </w:p>
        </w:tc>
        <w:tc>
          <w:tcPr>
            <w:tcW w:w="120" w:type="dxa"/>
            <w:vAlign w:val="bottom"/>
            <w:tcBorders>
              <w:top w:val="single" w:sz="8" w:color="CCEEFF"/>
            </w:tcBorders>
            <w:shd w:val="clear" w:color="auto" w:fill="CCEEFF"/>
          </w:tcPr>
          <w:p>
            <w:pPr>
              <w:spacing w:after="0"/>
              <w:rPr>
                <w:sz w:val="11"/>
                <w:szCs w:val="11"/>
                <w:color w:val="auto"/>
              </w:rPr>
            </w:pPr>
          </w:p>
        </w:tc>
        <w:tc>
          <w:tcPr>
            <w:tcW w:w="86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First Lien Credit Agreement for $125 million between LivaNova PLC and its wholly-owned subsidiary, Borrower, and Goldman Sachs Bank USA, as</w:t>
            </w:r>
          </w:p>
        </w:tc>
        <w:tc>
          <w:tcPr>
            <w:tcW w:w="0" w:type="dxa"/>
            <w:vAlign w:val="bottom"/>
          </w:tcPr>
          <w:p>
            <w:pPr>
              <w:spacing w:after="0"/>
              <w:rPr>
                <w:sz w:val="1"/>
                <w:szCs w:val="1"/>
                <w:color w:val="auto"/>
              </w:rPr>
            </w:pPr>
          </w:p>
        </w:tc>
      </w:tr>
      <w:tr>
        <w:trPr>
          <w:trHeight w:val="191"/>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 Administrative Agent and First Lien Collateral Agent, entered into on August 13, 2021</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10-K</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PLC’s Annual Report on Form 10-K for the year ended December 31, 2023, filed with the SEC on February 29, 2024</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Plan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plan, initiated during the first quarter of 2024, to enhance LivaNova’s focus on its core Cardiopulmonary and Neuromodulation segments</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Capped Calls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Privately negotiated capped call transactions entered into with certain financial institutions</w:t>
            </w:r>
          </w:p>
        </w:tc>
        <w:tc>
          <w:tcPr>
            <w:tcW w:w="0" w:type="dxa"/>
            <w:vAlign w:val="bottom"/>
          </w:tcPr>
          <w:p>
            <w:pPr>
              <w:spacing w:after="0"/>
              <w:rPr>
                <w:sz w:val="1"/>
                <w:szCs w:val="1"/>
                <w:color w:val="auto"/>
              </w:rPr>
            </w:pPr>
          </w:p>
        </w:tc>
      </w:tr>
      <w:tr>
        <w:trPr>
          <w:trHeight w:val="138"/>
        </w:trPr>
        <w:tc>
          <w:tcPr>
            <w:tcW w:w="3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Notes</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$287.5 million aggregate principal amount 3.00% unsecured cash exchangeable senior notes due 2025 by private placement to qualified institutional</w:t>
            </w:r>
          </w:p>
        </w:tc>
        <w:tc>
          <w:tcPr>
            <w:tcW w:w="0" w:type="dxa"/>
            <w:vAlign w:val="bottom"/>
          </w:tcPr>
          <w:p>
            <w:pPr>
              <w:spacing w:after="0"/>
              <w:rPr>
                <w:sz w:val="1"/>
                <w:szCs w:val="1"/>
                <w:color w:val="auto"/>
              </w:rPr>
            </w:pPr>
          </w:p>
        </w:tc>
      </w:tr>
      <w:tr>
        <w:trPr>
          <w:trHeight w:val="191"/>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buyers pursuant to Rule 144A under the Securities Act, issued by LivaNova USA on June 17, 2020</w:t>
            </w:r>
          </w:p>
        </w:tc>
        <w:tc>
          <w:tcPr>
            <w:tcW w:w="0" w:type="dxa"/>
            <w:vAlign w:val="bottom"/>
          </w:tcPr>
          <w:p>
            <w:pPr>
              <w:spacing w:after="0"/>
              <w:rPr>
                <w:sz w:val="1"/>
                <w:szCs w:val="1"/>
                <w:color w:val="auto"/>
              </w:rPr>
            </w:pPr>
          </w:p>
        </w:tc>
      </w:tr>
      <w:tr>
        <w:trPr>
          <w:trHeight w:val="138"/>
        </w:trPr>
        <w:tc>
          <w:tcPr>
            <w:tcW w:w="3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Notes Repurchase Transaction</w:t>
            </w:r>
          </w:p>
        </w:tc>
        <w:tc>
          <w:tcPr>
            <w:tcW w:w="8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Repurchase of $230.0 million aggregate principal amount of the 2025 Notes in privately-negotiated transactions from proceeds from the issuance of</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2029 Notes</w:t>
            </w:r>
          </w:p>
        </w:tc>
        <w:tc>
          <w:tcPr>
            <w:tcW w:w="0" w:type="dxa"/>
            <w:vAlign w:val="bottom"/>
          </w:tcPr>
          <w:p>
            <w:pPr>
              <w:spacing w:after="0"/>
              <w:rPr>
                <w:sz w:val="1"/>
                <w:szCs w:val="1"/>
                <w:color w:val="auto"/>
              </w:rPr>
            </w:pPr>
          </w:p>
        </w:tc>
      </w:tr>
      <w:tr>
        <w:trPr>
          <w:trHeight w:val="184"/>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Capped Calls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 negotiated capped call transactions entered into with certain financial institutions</w:t>
            </w:r>
          </w:p>
        </w:tc>
        <w:tc>
          <w:tcPr>
            <w:tcW w:w="0" w:type="dxa"/>
            <w:vAlign w:val="bottom"/>
          </w:tcPr>
          <w:p>
            <w:pPr>
              <w:spacing w:after="0"/>
              <w:rPr>
                <w:sz w:val="1"/>
                <w:szCs w:val="1"/>
                <w:color w:val="auto"/>
              </w:rPr>
            </w:pPr>
          </w:p>
        </w:tc>
      </w:tr>
      <w:tr>
        <w:trPr>
          <w:trHeight w:val="138"/>
        </w:trPr>
        <w:tc>
          <w:tcPr>
            <w:tcW w:w="3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2029</w:t>
            </w:r>
          </w:p>
        </w:tc>
        <w:tc>
          <w:tcPr>
            <w:tcW w:w="23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Notes</w:t>
            </w:r>
          </w:p>
        </w:tc>
        <w:tc>
          <w:tcPr>
            <w:tcW w:w="8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$345.0 million aggregate principal amount 2.5% unsecured convertible senior notes due 2029 by private placement to qualified institutional buyers</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PLC on March 8, 2024</w:t>
            </w:r>
          </w:p>
        </w:tc>
        <w:tc>
          <w:tcPr>
            <w:tcW w:w="0" w:type="dxa"/>
            <w:vAlign w:val="bottom"/>
          </w:tcPr>
          <w:p>
            <w:pPr>
              <w:spacing w:after="0"/>
              <w:rPr>
                <w:sz w:val="1"/>
                <w:szCs w:val="1"/>
                <w:color w:val="auto"/>
              </w:rPr>
            </w:pPr>
          </w:p>
        </w:tc>
      </w:tr>
      <w:tr>
        <w:trPr>
          <w:trHeight w:val="184"/>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 Technologies, Inc.</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Barclays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Barclays Bank Ireland PLC</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BEPS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Erosion and Profit Shifting</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Borrower</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USA, Inc.</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Transactions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2025 Capped Calls and the 2029 Capped Calls</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Decision Maker</w:t>
            </w:r>
          </w:p>
        </w:tc>
        <w:tc>
          <w:tcPr>
            <w:tcW w:w="0" w:type="dxa"/>
            <w:vAlign w:val="bottom"/>
          </w:tcPr>
          <w:p>
            <w:pPr>
              <w:spacing w:after="0"/>
              <w:rPr>
                <w:sz w:val="1"/>
                <w:szCs w:val="1"/>
                <w:color w:val="auto"/>
              </w:rPr>
            </w:pPr>
          </w:p>
        </w:tc>
      </w:tr>
      <w:tr>
        <w:trPr>
          <w:trHeight w:val="184"/>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 Measurement Period</w:t>
            </w:r>
          </w:p>
        </w:tc>
        <w:tc>
          <w:tcPr>
            <w:tcW w:w="8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Any specified ten consecutive trading day measurement period</w:t>
            </w:r>
          </w:p>
        </w:tc>
        <w:tc>
          <w:tcPr>
            <w:tcW w:w="0" w:type="dxa"/>
            <w:vAlign w:val="bottom"/>
          </w:tcPr>
          <w:p>
            <w:pPr>
              <w:spacing w:after="0"/>
              <w:rPr>
                <w:sz w:val="1"/>
                <w:szCs w:val="1"/>
                <w:color w:val="auto"/>
              </w:rPr>
            </w:pPr>
          </w:p>
        </w:tc>
      </w:tr>
      <w:tr>
        <w:trPr>
          <w:trHeight w:val="104"/>
        </w:trPr>
        <w:tc>
          <w:tcPr>
            <w:tcW w:w="340" w:type="dxa"/>
            <w:vAlign w:val="bottom"/>
            <w:tcBorders>
              <w:bottom w:val="single" w:sz="8" w:color="CCEEFF"/>
            </w:tcBorders>
            <w:shd w:val="clear" w:color="auto" w:fill="CCEEFF"/>
          </w:tcPr>
          <w:p>
            <w:pPr>
              <w:spacing w:after="0"/>
              <w:rPr>
                <w:sz w:val="9"/>
                <w:szCs w:val="9"/>
                <w:color w:val="auto"/>
              </w:rPr>
            </w:pPr>
          </w:p>
        </w:tc>
        <w:tc>
          <w:tcPr>
            <w:tcW w:w="22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Court of Appeal in Milan</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CPB</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 bypass</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 million delayed draw term facility under the 2021 First Lien Credit Agreement resulting from the Incremental Facility Amendment No. 2</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DRE</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Drug-resistant epilepsy</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DTD</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Difficult-to-treat depression</w:t>
            </w:r>
          </w:p>
        </w:tc>
        <w:tc>
          <w:tcPr>
            <w:tcW w:w="0" w:type="dxa"/>
            <w:vAlign w:val="bottom"/>
          </w:tcPr>
          <w:p>
            <w:pPr>
              <w:spacing w:after="0"/>
              <w:rPr>
                <w:sz w:val="1"/>
                <w:szCs w:val="1"/>
                <w:color w:val="auto"/>
              </w:rPr>
            </w:pP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European Court of Justice</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European Union</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c>
          <w:tcPr>
            <w:tcW w:w="0" w:type="dxa"/>
            <w:vAlign w:val="bottom"/>
          </w:tcPr>
          <w:p>
            <w:pPr>
              <w:spacing w:after="0"/>
              <w:rPr>
                <w:sz w:val="1"/>
                <w:szCs w:val="1"/>
                <w:color w:val="auto"/>
              </w:rPr>
            </w:pP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HLM</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Heart-lung machine</w:t>
            </w:r>
          </w:p>
        </w:tc>
        <w:tc>
          <w:tcPr>
            <w:tcW w:w="0" w:type="dxa"/>
            <w:vAlign w:val="bottom"/>
          </w:tcPr>
          <w:p>
            <w:pPr>
              <w:spacing w:after="0"/>
              <w:rPr>
                <w:sz w:val="1"/>
                <w:szCs w:val="1"/>
                <w:color w:val="auto"/>
              </w:rPr>
            </w:pPr>
          </w:p>
        </w:tc>
      </w:tr>
      <w:tr>
        <w:trPr>
          <w:trHeight w:val="138"/>
        </w:trPr>
        <w:tc>
          <w:tcPr>
            <w:tcW w:w="268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 Medical, Inc., acquired by LivaNova in 2018, a company developing an implantable neurostimulation device system for the treatment of</w:t>
            </w:r>
          </w:p>
        </w:tc>
        <w:tc>
          <w:tcPr>
            <w:tcW w:w="0" w:type="dxa"/>
            <w:vAlign w:val="bottom"/>
          </w:tcPr>
          <w:p>
            <w:pPr>
              <w:spacing w:after="0"/>
              <w:rPr>
                <w:sz w:val="1"/>
                <w:szCs w:val="1"/>
                <w:color w:val="auto"/>
              </w:rPr>
            </w:pPr>
          </w:p>
        </w:tc>
      </w:tr>
      <w:tr>
        <w:trPr>
          <w:trHeight w:val="191"/>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c>
          <w:tcPr>
            <w:tcW w:w="0" w:type="dxa"/>
            <w:vAlign w:val="bottom"/>
          </w:tcPr>
          <w:p>
            <w:pPr>
              <w:spacing w:after="0"/>
              <w:rPr>
                <w:sz w:val="1"/>
                <w:szCs w:val="1"/>
                <w:color w:val="auto"/>
              </w:rPr>
            </w:pP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2</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incremental facility amendment to the 2021 First Lien Credit Agreement, dated July 6, 2022</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3</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incremental facility amendment to the 2021 First Lien Credit Agreement, dated March 8, 2024</w:t>
            </w:r>
          </w:p>
        </w:tc>
        <w:tc>
          <w:tcPr>
            <w:tcW w:w="0" w:type="dxa"/>
            <w:vAlign w:val="bottom"/>
          </w:tcPr>
          <w:p>
            <w:pPr>
              <w:spacing w:after="0"/>
              <w:rPr>
                <w:sz w:val="1"/>
                <w:szCs w:val="1"/>
                <w:color w:val="auto"/>
              </w:rPr>
            </w:pPr>
          </w:p>
        </w:tc>
      </w:tr>
      <w:tr>
        <w:trPr>
          <w:trHeight w:val="626"/>
        </w:trPr>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2"/>
        </w:trPr>
        <w:tc>
          <w:tcPr>
            <w:tcW w:w="340" w:type="dxa"/>
            <w:vAlign w:val="bottom"/>
            <w:tcBorders>
              <w:bottom w:val="single" w:sz="8" w:color="9A9A9A"/>
            </w:tcBorders>
          </w:tcPr>
          <w:p>
            <w:pPr>
              <w:spacing w:after="0"/>
              <w:rPr>
                <w:sz w:val="15"/>
                <w:szCs w:val="15"/>
                <w:color w:val="auto"/>
              </w:rPr>
            </w:pPr>
          </w:p>
        </w:tc>
        <w:tc>
          <w:tcPr>
            <w:tcW w:w="2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6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120" w:type="dxa"/>
            <w:vAlign w:val="bottom"/>
          </w:tcPr>
          <w:p>
            <w:pPr>
              <w:spacing w:after="0"/>
              <w:rPr>
                <w:sz w:val="14"/>
                <w:szCs w:val="14"/>
                <w:color w:val="auto"/>
              </w:rPr>
            </w:pPr>
          </w:p>
        </w:tc>
        <w:tc>
          <w:tcPr>
            <w:tcW w:w="8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 million term facility under the 2021 First Lien Credit Agreement resulting from the Incremental Facility Amendment No. 2</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Inspectorate for Nuclear Safety and Radiation Protection, a sub-body of the Italian Ministry of Economic Development</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LivaNova PLC</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public limited company organized under the laws of England and Wales on February 20, 2015</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MDL</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multi-district litigation in the U.S. District Court for the Middle District of Pennsylvania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Nasdaq</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OECD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Organization for Economic Co-operation and Development</w:t>
            </w:r>
          </w:p>
        </w:tc>
      </w:tr>
      <w:tr>
        <w:trPr>
          <w:trHeight w:val="138"/>
        </w:trPr>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Option Counterparties</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Certain financial institutions with whom LivaNova USA or LivaNova PLC, as applicable, has entered into the 2025 Capped Calls and 2029 Capped</w:t>
            </w:r>
          </w:p>
        </w:tc>
      </w:tr>
      <w:tr>
        <w:trPr>
          <w:trHeight w:val="191"/>
        </w:trPr>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Order</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order from the Italian Ministry of the Environment received by LivaNova in 2021</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Pillar Two</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OECD BEPS Pillar Two</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This Quarterly Report on Form 10-Q</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litigation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Sorin spin-off</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spin-off of Sorin from SNIA in 2004</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Act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(No.2) Act 2023</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dollar</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UTPR</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Undertaxed profits rule</w:t>
            </w:r>
          </w:p>
        </w:tc>
      </w:tr>
      <w:tr>
        <w:trPr>
          <w:trHeight w:val="18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VNS Therapy</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Vagus Nerve Stimulation Therapy</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ind w:right="3360" w:firstLine="3488"/>
        <w:spacing w:after="0" w:line="304"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TRADEMARKS AND TRADE NAMES </w:t>
      </w: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1" w:lineRule="exact"/>
        <w:rPr>
          <w:sz w:val="20"/>
          <w:szCs w:val="20"/>
          <w:color w:val="auto"/>
        </w:rPr>
      </w:pPr>
    </w:p>
    <w:p>
      <w:pPr>
        <w:jc w:val="both"/>
        <w:ind w:left="520" w:hanging="260"/>
        <w:spacing w:after="0" w:line="183"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Neuromodulation systems, the VNS Therapy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System, the VITARIA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System and LivaNova’s proprietary pulse generator products: Model 102 (Pulse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102R (Pulse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103 (Demipulse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104 (Demipulse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106 (AspireSR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1000-D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Duo), Model 7103 (VITARIA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and TitrationAssist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and Model 8103 (Symmetry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w:t>
      </w:r>
    </w:p>
    <w:p>
      <w:pPr>
        <w:ind w:left="520" w:hanging="260"/>
        <w:spacing w:after="0"/>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S3</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3"/>
          <w:szCs w:val="13"/>
          <w:color w:val="auto"/>
        </w:rPr>
      </w:pPr>
    </w:p>
    <w:p>
      <w:pPr>
        <w:ind w:left="520" w:hanging="260"/>
        <w:spacing w:after="0" w:line="18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LifeSPARC™, ALung™, Hemolung™, Respiratory Dialysis™ and ActivMix™.</w:t>
      </w:r>
    </w:p>
    <w:p>
      <w:pPr>
        <w:ind w:left="520" w:hanging="260"/>
        <w:spacing w:after="0" w:line="23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181" w:lineRule="auto"/>
        <w:rPr>
          <w:sz w:val="20"/>
          <w:szCs w:val="20"/>
          <w:color w:val="auto"/>
        </w:rPr>
      </w:pPr>
      <w:r>
        <w:rPr>
          <w:rFonts w:ascii="Times New Roman" w:cs="Times New Roman" w:eastAsia="Times New Roman" w:hAnsi="Times New Roman"/>
          <w:sz w:val="13"/>
          <w:szCs w:val="13"/>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symbol, but such references are not intended to indicate in any way that the Company will</w:t>
      </w:r>
    </w:p>
    <w:p>
      <w:pPr>
        <w:spacing w:after="0"/>
        <w:rPr>
          <w:sz w:val="20"/>
          <w:szCs w:val="20"/>
          <w:color w:val="auto"/>
        </w:rPr>
      </w:pPr>
      <w:r>
        <w:rPr>
          <w:rFonts w:ascii="Times New Roman" w:cs="Times New Roman" w:eastAsia="Times New Roman" w:hAnsi="Times New Roman"/>
          <w:sz w:val="14"/>
          <w:szCs w:val="14"/>
          <w:color w:val="auto"/>
        </w:rPr>
        <w:t>not assert, to the fullest extent under applicable law, LivaNova’s rights to these trademarks and trade names.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ABOUT FORWARD-LOOKING STATEMENTS</w:t>
      </w:r>
    </w:p>
    <w:p>
      <w:pPr>
        <w:spacing w:after="0" w:line="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Other factors that could cause LivaNova’s actual results to differ from projected results are described in (1) “Part II, Item 1A. Risk Factors” and elsewhere in this and the Company’s other Quarterly Reports on Form 10-Q, (2) the Company’s 2023 Form 10-K, (3) the Company’s reports and registration statements filed and furnished from time to time with the SEC and (4) other announcements LivaNova makes from time to time.</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You should read the following discussion and analysis in conjunction with the Company’s unaudited condensed consolidated financial statements and related notes included elsewhere in this report. Operating results for the three months ended March 31, 2024, are not necessarily indicative of future results, including the full fiscal year. You should also refer to the Company’s “Annual Consolidated Financial Statements,” “Notes” thereto, “Management’s Discussion and Analysis of Financial Condition and Results of Operations” and “Risk Factors” contained in LivaNova’s 2023 Form 10-K and in the Company’s Quarterly Reports on Form 10-Q.</w:t>
      </w:r>
    </w:p>
    <w:p>
      <w:pPr>
        <w:spacing w:after="0" w:line="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Financial Information and Currency of Financial Statements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All of the financial information included in this quarterly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(LOSS) INCOME</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294,912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87,522</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89,335</w:t>
            </w:r>
          </w:p>
        </w:tc>
      </w:tr>
      <w:tr>
        <w:trPr>
          <w:trHeight w:val="171"/>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207,390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174,083</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124,129</w:t>
            </w:r>
          </w:p>
        </w:tc>
      </w:tr>
      <w:tr>
        <w:trPr>
          <w:trHeight w:val="180"/>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49,986</w:t>
            </w: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r>
      <w:tr>
        <w:trPr>
          <w:trHeight w:val="17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16,246</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25,547</w:t>
            </w:r>
          </w:p>
        </w:tc>
      </w:tr>
      <w:tr>
        <w:trPr>
          <w:trHeight w:val="171"/>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income before tax</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(loss) income per share</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income per share</w:t>
            </w:r>
          </w:p>
        </w:tc>
        <w:tc>
          <w:tcPr>
            <w:tcW w:w="128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5"/>
                <w:szCs w:val="15"/>
                <w:color w:val="auto"/>
              </w:rPr>
            </w:pPr>
          </w:p>
        </w:tc>
        <w:tc>
          <w:tcPr>
            <w:tcW w:w="128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12"/>
        </w:trPr>
        <w:tc>
          <w:tcPr>
            <w:tcW w:w="7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(loss) income per share</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54,008</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53,617</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(loss) income per share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54,008</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53,900</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 INCOME</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unrealized loss on derivatives</w:t>
            </w:r>
          </w:p>
        </w:tc>
        <w:tc>
          <w:tcPr>
            <w:tcW w:w="1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3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of tax</w:t>
            </w:r>
          </w:p>
        </w:tc>
        <w:tc>
          <w:tcPr>
            <w:tcW w:w="1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8,053</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(59,266)</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14,457</w:t>
            </w:r>
          </w:p>
        </w:tc>
      </w:tr>
      <w:tr>
        <w:trPr>
          <w:trHeight w:val="20"/>
        </w:trPr>
        <w:tc>
          <w:tcPr>
            <w:tcW w:w="7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139"/>
        <w:spacing w:after="0" w:line="208" w:lineRule="auto"/>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Assets:</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309,191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266,504</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311,368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$11,026 at March 31, 2024 and $12,019 at December 31, 2023</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215,072</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147,887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39,184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27,182</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1,040,017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988,158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771,817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782,941</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261,178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50,845</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38,496</w:t>
            </w: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12,063</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2,459,602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80,845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91,353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94,630</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327,771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334,983</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568,543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80,902</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45,388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17,254</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45,569</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48,092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47,729</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1,238,065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1,151,935</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6)</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54,295,837 shares issued and 54,148,808 shares outstanding at March 31,</w:t>
            </w:r>
          </w:p>
        </w:tc>
        <w:tc>
          <w:tcPr>
            <w:tcW w:w="300" w:type="dxa"/>
            <w:vAlign w:val="bottom"/>
          </w:tcPr>
          <w:p>
            <w:pPr>
              <w:spacing w:after="0"/>
              <w:rPr>
                <w:sz w:val="11"/>
                <w:szCs w:val="1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82,975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82,533</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 53,942,151 shares issued and 53,918,222 shares outstanding at December 31, 2023</w:t>
            </w:r>
          </w:p>
        </w:tc>
        <w:tc>
          <w:tcPr>
            <w:tcW w:w="3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2,192,676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2,189,517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(1,008,427)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(966,484)</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147,029 ordinary shares at March 31, 2024; 23,929 ordinary shares at December 31, 2023</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1,221,537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1,277,628</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2,459,602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6"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7300" w:type="dxa"/>
            <w:vAlign w:val="bottom"/>
          </w:tcPr>
          <w:p>
            <w:pPr>
              <w:jc w:val="center"/>
              <w:ind w:left="4056"/>
              <w:spacing w:after="0"/>
              <w:rPr>
                <w:sz w:val="20"/>
                <w:szCs w:val="20"/>
                <w:color w:val="auto"/>
              </w:rPr>
            </w:pPr>
            <w:r>
              <w:rPr>
                <w:rFonts w:ascii="Times New Roman" w:cs="Times New Roman" w:eastAsia="Times New Roman" w:hAnsi="Times New Roman"/>
                <w:sz w:val="14"/>
                <w:szCs w:val="14"/>
                <w:b w:val="1"/>
                <w:bCs w:val="1"/>
                <w:color w:val="auto"/>
                <w:w w:val="99"/>
              </w:rPr>
              <w:t>LIVANOVA PLC AND SUBSIDIARIES</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80" w:type="dxa"/>
            <w:vAlign w:val="bottom"/>
            <w:gridSpan w:val="2"/>
          </w:tcPr>
          <w:p>
            <w:pPr>
              <w:jc w:val="center"/>
              <w:ind w:left="2776"/>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300" w:type="dxa"/>
            <w:vAlign w:val="bottom"/>
          </w:tcPr>
          <w:p>
            <w:pPr>
              <w:jc w:val="center"/>
              <w:ind w:left="405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jc w:val="center"/>
              <w:ind w:left="40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33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income</w:t>
            </w:r>
          </w:p>
        </w:tc>
        <w:tc>
          <w:tcPr>
            <w:tcW w:w="128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7,370</w:t>
            </w: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 activities:</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25,482</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Remeasurement of derivative instruments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10,579</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5,019</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contingent consideration to fair value</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4,827</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current and non-current liabilities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21,378</w:t>
            </w:r>
          </w:p>
        </w:tc>
        <w:tc>
          <w:tcPr>
            <w:tcW w:w="0" w:type="dxa"/>
            <w:vAlign w:val="bottom"/>
          </w:tcPr>
          <w:p>
            <w:pPr>
              <w:spacing w:after="0"/>
              <w:rPr>
                <w:sz w:val="1"/>
                <w:szCs w:val="1"/>
                <w:color w:val="auto"/>
              </w:rPr>
            </w:pPr>
          </w:p>
        </w:tc>
      </w:tr>
      <w:tr>
        <w:trPr>
          <w:trHeight w:val="168"/>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 payable</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6,887</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Litigation provision liability</w:t>
            </w:r>
          </w:p>
        </w:tc>
        <w:tc>
          <w:tcPr>
            <w:tcW w:w="1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(10,254)</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9,981</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20,757</w:t>
            </w:r>
          </w:p>
        </w:tc>
        <w:tc>
          <w:tcPr>
            <w:tcW w:w="0" w:type="dxa"/>
            <w:vAlign w:val="bottom"/>
          </w:tcPr>
          <w:p>
            <w:pPr>
              <w:spacing w:after="0"/>
              <w:rPr>
                <w:sz w:val="1"/>
                <w:szCs w:val="1"/>
                <w:color w:val="auto"/>
              </w:rPr>
            </w:pPr>
          </w:p>
        </w:tc>
      </w:tr>
      <w:tr>
        <w:trPr>
          <w:trHeight w:val="15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investments</w:t>
            </w:r>
          </w:p>
        </w:tc>
        <w:tc>
          <w:tcPr>
            <w:tcW w:w="1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(5,136)</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(11,484)</w:t>
            </w:r>
          </w:p>
        </w:tc>
        <w:tc>
          <w:tcPr>
            <w:tcW w:w="0" w:type="dxa"/>
            <w:vAlign w:val="bottom"/>
          </w:tcPr>
          <w:p>
            <w:pPr>
              <w:spacing w:after="0"/>
              <w:rPr>
                <w:sz w:val="1"/>
                <w:szCs w:val="1"/>
                <w:color w:val="auto"/>
              </w:rPr>
            </w:pPr>
          </w:p>
        </w:tc>
      </w:tr>
      <w:tr>
        <w:trPr>
          <w:trHeight w:val="149"/>
        </w:trPr>
        <w:tc>
          <w:tcPr>
            <w:tcW w:w="73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long-term debt obligations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335,513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 of long-term debt obligations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(234,375)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debt extinguishment costs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capped calls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(31,637)</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unwind of capped calls</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Shares repurchased from employees for minimum tax withholding</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0" w:type="dxa"/>
            <w:vAlign w:val="bottom"/>
          </w:tcPr>
          <w:p>
            <w:pPr>
              <w:spacing w:after="0"/>
              <w:rPr>
                <w:sz w:val="1"/>
                <w:szCs w:val="1"/>
                <w:color w:val="auto"/>
              </w:rPr>
            </w:pPr>
          </w:p>
        </w:tc>
      </w:tr>
      <w:tr>
        <w:trPr>
          <w:trHeight w:val="168"/>
        </w:trPr>
        <w:tc>
          <w:tcPr>
            <w:tcW w:w="7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Repayments of short-term borrowings (maturities greater than 90 days)</w:t>
            </w:r>
          </w:p>
        </w:tc>
        <w:tc>
          <w:tcPr>
            <w:tcW w:w="1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37,147</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577,872</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515,618</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28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615,683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522,958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10" w:name="page11"/>
    <w:bookmarkEnd w:id="10"/>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Unaudited Condensed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Presentation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LivaNova as of, and for the three months ended March 31, 2024 and 2023, have been prepared in accordance with U.S. GAAP for interim financial information and the instructions to Form 10-Q and Article 10 of Regulation S-X. The accompanying condensed consolidated balance sheet of LivaNova at December 31, 2023 has been derived from audited financial statements contained in LivaNova’s 2023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months ended March 31, 2024, and are not necessarily indicative of the results that may be expected for the year ending December 31, 2024. The financial information presented herein should be read in conjunction with the audited consolidated financial statements and notes thereto accompanying LivaNova’s 2023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Macroeconomic Environment</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logistical, capacity, and labor constraints, though,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continues to assess the nature and scope of the affected data and analyze its legal notification obligations, and the Company is notifying affected individuals and regulators as required by applicable law. The Company believes it contained the cybersecurity threat, though its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March 31, 2024, LivaNova had incurred direct costs totaling $5.4 million in connection with this cybersecurity incident, including $2.8 million during the three months ended March 31, 2024. These costs primarily include external cybersecurity experts, legal counsel, and system restoration costs, and do not include business interruption or other non-direct costs.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a claim is submitted.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significant accounting policies are detailed below and in “Note 2. Basis of Presentation, Use of Accounting Estimates and Significant Accounting Policies” and “Note 3. Revenue Recognition” of LivaNova’s 2023 Form 10-K.</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Note 2. Restructuring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From time to time, LivaNova initiates restructuring plans to leverage economies of scale, streamline distribution and logistics, and strengthen operational and administrative effectiveness in order to reduce overall costs.</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this plan was to wind down the ACS segment, which the Company anticipates will be substantially complete by the end of 2024. LivaNova recognized restructuring expense under the 2024 Restructuring Plan of $9.2 million in other operating expenses on its condensed consolidated statements of (loss) income for the three months ended March 31, 2024.</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2024 Restructuring Plan, LivaNova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LivaNova expects the majority of the severance expenses to be incurred in the first half of 2024. Retention bonuses will be earned over the period of service, which is expected to be over the full year of 2024. All future cash payments related to these restructuring charges are expected to be substantially paid out during 2024. These estimates are subject to change.</w:t>
      </w:r>
    </w:p>
    <w:p>
      <w:pPr>
        <w:spacing w:after="0" w:line="6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LivaNova’s restructuring plans included in accounts payable, accrued liabilities and other, and accrued employee compensation and related benefits on the condensed consolidated balance sheets (in thousands):</w:t>
      </w: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21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Employee Severance and Other</w:t>
            </w:r>
          </w:p>
        </w:tc>
        <w:tc>
          <w:tcPr>
            <w:tcW w:w="14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Balance at December 31, 2023 </w:t>
            </w:r>
            <w:r>
              <w:rPr>
                <w:rFonts w:ascii="Times New Roman" w:cs="Times New Roman" w:eastAsia="Times New Roman" w:hAnsi="Times New Roman"/>
                <w:sz w:val="18"/>
                <w:szCs w:val="18"/>
                <w:color w:val="auto"/>
                <w:vertAlign w:val="superscript"/>
              </w:rPr>
              <w:t>(1)</w:t>
            </w: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6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(1)  Represents restructuring plans initiated prior to 2024.</w:t>
            </w: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(in thousands):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6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(2)</w:t>
            </w:r>
          </w:p>
        </w:tc>
        <w:tc>
          <w:tcPr>
            <w:tcW w:w="16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primarily includes restructuring expense not allocated to segments.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expense is included in other operating expenses on the condensed consolidated statements of (loss) income.</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Note 3. Fair Value Measurements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during the three months ended March 31, 2024 and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information by level for assets and liabilities that are measured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as of March 31,</w:t>
            </w:r>
          </w:p>
        </w:tc>
        <w:tc>
          <w:tcPr>
            <w:tcW w:w="2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 Inputs Considered as:</w:t>
            </w:r>
          </w:p>
        </w:tc>
        <w:tc>
          <w:tcPr>
            <w:tcW w:w="0" w:type="dxa"/>
            <w:vAlign w:val="bottom"/>
          </w:tcPr>
          <w:p>
            <w:pPr>
              <w:spacing w:after="0"/>
              <w:rPr>
                <w:sz w:val="1"/>
                <w:szCs w:val="1"/>
                <w:color w:val="auto"/>
              </w:rPr>
            </w:pPr>
          </w:p>
        </w:tc>
      </w:tr>
      <w:tr>
        <w:trPr>
          <w:trHeight w:val="181"/>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Pr>
          <w:p>
            <w:pPr>
              <w:spacing w:after="0"/>
              <w:rPr>
                <w:sz w:val="15"/>
                <w:szCs w:val="15"/>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(2025 Notes)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(2029 Notes)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 (2025 Notes)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10,632</w:t>
            </w: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conversion feature (2029 Notes)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94,288</w:t>
            </w:r>
          </w:p>
        </w:tc>
        <w:tc>
          <w:tcPr>
            <w:tcW w:w="0" w:type="dxa"/>
            <w:vAlign w:val="bottom"/>
          </w:tcPr>
          <w:p>
            <w:pPr>
              <w:spacing w:after="0"/>
              <w:rPr>
                <w:sz w:val="1"/>
                <w:szCs w:val="1"/>
                <w:color w:val="auto"/>
              </w:rPr>
            </w:pPr>
          </w:p>
        </w:tc>
      </w:tr>
      <w:tr>
        <w:trPr>
          <w:trHeight w:val="180"/>
        </w:trPr>
        <w:tc>
          <w:tcPr>
            <w:tcW w:w="5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1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9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47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 (2025 Notes)</w:t>
            </w:r>
          </w:p>
        </w:tc>
        <w:tc>
          <w:tcPr>
            <w:tcW w:w="1300" w:type="dxa"/>
            <w:vAlign w:val="bottom"/>
            <w:gridSpan w:val="2"/>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0" w:type="dxa"/>
            <w:vAlign w:val="bottom"/>
          </w:tcPr>
          <w:p>
            <w:pPr>
              <w:spacing w:after="0"/>
              <w:rPr>
                <w:sz w:val="1"/>
                <w:szCs w:val="1"/>
                <w:color w:val="auto"/>
              </w:rPr>
            </w:pPr>
          </w:p>
        </w:tc>
      </w:tr>
      <w:tr>
        <w:trPr>
          <w:trHeight w:val="180"/>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130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 (2025 Notes)</w:t>
            </w: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0" w:type="dxa"/>
            <w:vAlign w:val="bottom"/>
          </w:tcPr>
          <w:p>
            <w:pPr>
              <w:spacing w:after="0"/>
              <w:rPr>
                <w:sz w:val="1"/>
                <w:szCs w:val="1"/>
                <w:color w:val="auto"/>
              </w:rPr>
            </w:pPr>
          </w:p>
        </w:tc>
      </w:tr>
      <w:tr>
        <w:trPr>
          <w:trHeight w:val="180"/>
        </w:trPr>
        <w:tc>
          <w:tcPr>
            <w:tcW w:w="4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700" w:type="dxa"/>
            <w:vAlign w:val="bottom"/>
          </w:tcPr>
          <w:p>
            <w:pPr>
              <w:spacing w:after="0"/>
              <w:rPr>
                <w:sz w:val="24"/>
                <w:szCs w:val="24"/>
                <w:color w:val="auto"/>
              </w:rPr>
            </w:pPr>
          </w:p>
        </w:tc>
        <w:tc>
          <w:tcPr>
            <w:tcW w:w="130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9"/>
              </w:rPr>
              <w:t>13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of LivaNova’s recurring fair value measurements, using significant unobservable inputs (Level 3)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Embedded Exchange</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Embedded Conversion</w:t>
            </w:r>
          </w:p>
        </w:tc>
        <w:tc>
          <w:tcPr>
            <w:tcW w:w="200" w:type="dxa"/>
            <w:vAlign w:val="bottom"/>
          </w:tcPr>
          <w:p>
            <w:pPr>
              <w:spacing w:after="0"/>
              <w:rPr>
                <w:sz w:val="13"/>
                <w:szCs w:val="13"/>
                <w:color w:val="auto"/>
              </w:rPr>
            </w:pPr>
          </w:p>
        </w:tc>
        <w:tc>
          <w:tcPr>
            <w:tcW w:w="132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w w:val="99"/>
              </w:rPr>
              <w:t>Feature Derivative</w:t>
            </w:r>
          </w:p>
        </w:tc>
        <w:tc>
          <w:tcPr>
            <w:tcW w:w="120" w:type="dxa"/>
            <w:vAlign w:val="bottom"/>
          </w:tcPr>
          <w:p>
            <w:pPr>
              <w:spacing w:after="0"/>
              <w:rPr>
                <w:sz w:val="11"/>
                <w:szCs w:val="11"/>
                <w:color w:val="auto"/>
              </w:rPr>
            </w:pPr>
          </w:p>
        </w:tc>
        <w:tc>
          <w:tcPr>
            <w:tcW w:w="13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Feature Derivative</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00" w:type="dxa"/>
            <w:vAlign w:val="bottom"/>
          </w:tcPr>
          <w:p>
            <w:pPr>
              <w:spacing w:after="0"/>
              <w:rPr>
                <w:sz w:val="16"/>
                <w:szCs w:val="16"/>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receipt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w:t>
            </w:r>
          </w:p>
        </w:tc>
        <w:tc>
          <w:tcPr>
            <w:tcW w:w="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March 31, 2024 - long-term</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94,288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Features and Capped Call Derivatives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June 2020, the Company issued $287.5 million in notes due in 2025 and entered into related capped call transactions. In March 2024, the Company issued $345.0 million in notes due in 2029 and entered into related capped call transactions. The 2025 Notes include an embedded exchange feature that is bifurcated from the 2025 Notes and the 2029 Notes include an embedded conversion feature that is bifurcated from the 2029 Notes (we refer to such embedded features collectively as the “embedded derivative features”). In connection with the issuance of the 2029 Notes, the Company repurchased an aggregate principal amount of $230.0 million of the 2025 Notes and unwound a corresponding portion of the 2025 Capped Calls. Please refer to “Note 4. Financing Arrangements” for further details. The embedded derivative features are measured at fair value using a binomial lattice model and estimated discounted cash flows that utilize observable and unobservable market data. The Capped Call Transactions are measured at fair value using the Black-Scholes model utilizing observable and unobservable market data, including stock price, remaining contractual term, expected volatility, risk-free interest rate and expected dividend yield, as applicable.</w:t>
      </w:r>
    </w:p>
    <w:p>
      <w:pPr>
        <w:spacing w:after="0" w:line="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embedded derivative features and Capped Call Transactions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derivative features and Capped Call Transactions which would result in an increase in net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 Changes in the fair value of the embedded derivative features and capped call derivatives are recognized in foreign exchange and other income/(expense) in the condensed consolidated statements of (loss) income.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stock price volatility utilized in determining the fair value of LivaNova’s capped call derivative assets and embedded derivative liabilities as of March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Embedded Exchange Feature</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Embedded Conversion Feature</w:t>
            </w:r>
          </w:p>
        </w:tc>
        <w:tc>
          <w:tcPr>
            <w:tcW w:w="0" w:type="dxa"/>
            <w:vAlign w:val="bottom"/>
          </w:tcPr>
          <w:p>
            <w:pPr>
              <w:spacing w:after="0"/>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 Liability (2025 Notes)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Liability (2029 Notes)</w:t>
            </w: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price volatility</w:t>
            </w:r>
          </w:p>
        </w:tc>
        <w:tc>
          <w:tcPr>
            <w:tcW w:w="1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668"/>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the fair value of Level 3 contingent consideration arrangements by acquisition (in thousands):</w:t>
            </w: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14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96"/>
        </w:trPr>
        <w:tc>
          <w:tcPr>
            <w:tcW w:w="726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March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27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8.2%</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 Carlo simulation</w:t>
            </w: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14.0% - 14.4%</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8.3% - 8.7%</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28.4%</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2026 - 2029</w:t>
            </w:r>
          </w:p>
        </w:tc>
      </w:tr>
      <w:tr>
        <w:trPr>
          <w:trHeight w:val="343"/>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4. Financing Arrangements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61"/>
        </w:trPr>
        <w:tc>
          <w:tcPr>
            <w:tcW w:w="92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outstanding principal amount of long-term debt as of March 31, 2024 and December 31, 2023 was as follows (in thousands, except interest rates):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02"/>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7"/>
                <w:szCs w:val="17"/>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171"/>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1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324,571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328,459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color w:val="auto"/>
              </w:rPr>
              <w:t>July 2027</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8.93%</w:t>
            </w:r>
          </w:p>
        </w:tc>
      </w:tr>
      <w:tr>
        <w:trPr>
          <w:trHeight w:val="18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246,256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March 2029</w:t>
            </w:r>
          </w:p>
        </w:tc>
        <w:tc>
          <w:tcPr>
            <w:tcW w:w="200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w w:val="99"/>
              </w:rPr>
              <w:t>2.50%</w:t>
            </w: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Notes</w:t>
            </w: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December 2025</w:t>
            </w:r>
          </w:p>
        </w:tc>
        <w:tc>
          <w:tcPr>
            <w:tcW w:w="2000" w:type="dxa"/>
            <w:vAlign w:val="bottom"/>
            <w:gridSpan w:val="3"/>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3.00%</w:t>
            </w:r>
          </w:p>
        </w:tc>
      </w:tr>
      <w:tr>
        <w:trPr>
          <w:trHeight w:val="18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January 2025</w:t>
            </w:r>
          </w:p>
        </w:tc>
        <w:tc>
          <w:tcPr>
            <w:tcW w:w="200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w w:val="99"/>
              </w:rPr>
              <w:t>8.09%</w:t>
            </w: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71"/>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623,820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71"/>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13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604,753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 &amp; Term Facilities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$0.6 million as of each of March 31, 2024 and December 31, 2023 with an average interest rate of 4.94% and loan terms ranging from overnight to 364 days as of March 31, 2024.</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 million. The $225 million revolving facility is subject to the terms and conditions of the 2021 First Lien Credit Agreement, as amended thereof, and will replace entirely the existing $125 million revolving facility under the 2021 First Lien Credit Agreement. The new $225 million revolving facility is available for working capital and other general corporate purposes and, if drawn, can be repaid at any time without premium or penalty. The new $225 million revolving facility matures on March 8, 2029. There were no outstanding borrowings under the revolving facilities under the 2021 First Lien Credit Agreement as of March 31, 2024 and December 31, 2023.</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5" w:name="page16"/>
    <w:bookmarkEnd w:id="15"/>
    <w:p>
      <w:pPr>
        <w:jc w:val="both"/>
        <w:spacing w:after="0" w:line="303" w:lineRule="auto"/>
        <w:rPr>
          <w:sz w:val="20"/>
          <w:szCs w:val="20"/>
          <w:color w:val="auto"/>
        </w:rPr>
      </w:pPr>
      <w:r>
        <w:rPr>
          <w:rFonts w:ascii="Times New Roman" w:cs="Times New Roman" w:eastAsia="Times New Roman" w:hAnsi="Times New Roman"/>
          <w:sz w:val="14"/>
          <w:szCs w:val="14"/>
          <w:color w:val="auto"/>
        </w:rPr>
        <w:t>The 2021 First Lien Credit Agreement, as amended, also contemplates the payment of certain commitment fees on the unused portion of the commitments, at a variable percentage based on the LivaNova’s Total Net Leverage Ratio. As of March 31, 2024 and December 31, 2023, the applicable commitment fee percentage was 0.5% per annum.</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March 31, 2024, the Company was in compliance with the financial covenants contained in the 2021 First Lien Credit Agreement.</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Debt discounts and issuance costs related to the Initial Term Facility were $9.6 million. Amortization of debt discount and issuance costs for the Initial Term Facility was $0.5 million for the three months ended March 31, 2024 and is included in interest expense on the condensed consolidated statements of (loss) income. The unamortized discount and issuance costs related to the Initial Term Facility as of March 31, 2024 and December 31, 2023 were $6.3 million and $6.8 million, respectively. Issuance costs related to the Delayed Draw Term Facility were $1.6 million and were fully amortized as of December 31, 2023. Amortization of issuance costs for the Delayed Draw Term Facility was $0.5 million for the three months ended March 31, 2023 and is included in interest expense on the condensed consolidated statements of (loss)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 Issuance and 2025 Notes Repurchase Transactions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2025 Notes Repurchase Transaction was treated as a debt extinguishment. The carrying value of the 2025 Notes which includes the unamortized debt issuance cost and discounts and the fair value of the embedded exchange feature were derecognized and the 2029 Notes issued were recognized at fair value. The difference between the consideration used to extinguish the 2025 Notes and the carrying value of the 2025 Notes (including unamortized debt discount and issuance cost) and fair value of the embedded exchange feature is recognized as an extinguishment loss of $25.5 million recorded through loss on debt extinguishment on LivaNova’s condensed consolidated statements of (loss) income. Any third-party costs incurred directly related to the 2025 Notes Repurchase Transaction were deferred and capitalized as additional debt issuance cost to be amortized on the 2029 Notes.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The terms of the remaining 2025 Capped Calls remain unchanged and continue to be classified as long-term derivative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w:t>
      </w:r>
    </w:p>
    <w:p>
      <w:pPr>
        <w:spacing w:after="0" w:line="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4"/>
          <w:szCs w:val="14"/>
          <w:color w:val="auto"/>
        </w:rPr>
        <w:t>The sale of the 2029 Notes resulted in $332.1 million in net proceeds to the Company after deducting issuance costs. Interest is payable semiannually in arrears on March 15 and September 15. The effective interest rate of the 2029 Notes at March 31, 2024 was 9.78%</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The 2029 Notes mature on March 15, 2029, unless earlier repurchased, redeemed or converted.</w:t>
      </w:r>
    </w:p>
    <w:p>
      <w:pPr>
        <w:spacing w:after="0" w:line="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Debt discounts and issuance costs related to the 2029 Notes were $99.6 million, including $87.5 million of discount related to the embedded conversion feature (discussed below), and $12.1 million new debt issuance costs to the 2029 Notes. Amortization of debt discount and issuance cost for the 2029 Notes was $0.9 million for the three months ended March 31, 2024, and is included in interest expense on the condensed consolidated statements of (loss) income. The unamortized debt issuance cost and discount related to the 2029 Notes as of March 31, 2024 was $98.7 million.</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Commencing after the calendar quarter ending on June 30, 2024 and prior to the close of business on the business day immediately preceding December 15, 2028, the 2029 Notes will be convertible only under the following circumstances:</w:t>
      </w:r>
    </w:p>
    <w:p>
      <w:pPr>
        <w:spacing w:after="0" w:line="29" w:lineRule="exact"/>
        <w:rPr>
          <w:sz w:val="20"/>
          <w:szCs w:val="20"/>
          <w:color w:val="auto"/>
        </w:rPr>
      </w:pPr>
    </w:p>
    <w:p>
      <w:pPr>
        <w:ind w:left="520" w:hanging="260"/>
        <w:spacing w:after="0" w:line="302" w:lineRule="auto"/>
        <w:tabs>
          <w:tab w:leader="none" w:pos="516" w:val="left"/>
        </w:tabs>
        <w:numPr>
          <w:ilvl w:val="0"/>
          <w:numId w:val="5"/>
        </w:numPr>
        <w:rPr>
          <w:rFonts w:ascii="Arial" w:cs="Arial" w:eastAsia="Arial" w:hAnsi="Arial"/>
          <w:sz w:val="14"/>
          <w:szCs w:val="14"/>
          <w:color w:val="auto"/>
        </w:rPr>
      </w:pPr>
      <w:r>
        <w:rPr>
          <w:rFonts w:ascii="Times New Roman" w:cs="Times New Roman" w:eastAsia="Times New Roman" w:hAnsi="Times New Roman"/>
          <w:sz w:val="14"/>
          <w:szCs w:val="14"/>
          <w:color w:val="auto"/>
        </w:rPr>
        <w:t>During any calendar quarter commencing after the calendar quarter ending on June 30, 2024 (and only during such calendar quarter), if the last reported sale price of ordinary shares of the Company for at least 20 trading days (whether or not consecutive) during a period of 30 consecutive trading days ending on, and including, the last trading</w:t>
      </w:r>
    </w:p>
    <w:p>
      <w:pPr>
        <w:spacing w:after="0" w:line="2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color w:val="auto"/>
        </w:rPr>
        <w:t>day of the immediately preceding calendar quarter is greater than or equal to 130% of the conversion price on each applicable trading day;</w:t>
      </w:r>
    </w:p>
    <w:p>
      <w:pPr>
        <w:spacing w:after="0" w:line="23" w:lineRule="exact"/>
        <w:rPr>
          <w:sz w:val="20"/>
          <w:szCs w:val="20"/>
          <w:color w:val="auto"/>
        </w:rPr>
      </w:pPr>
    </w:p>
    <w:p>
      <w:pPr>
        <w:jc w:val="both"/>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five day business period immediately after any ten consecutive trading day period, if the trading price per $1,000 principal amount of the 2029 Notes for each trading day of the Convertible Notes Measurement Period was less than 98% of the product of the last reported sale price of the ordinary shares on each such trading day and the conversion rate on each such trading day;</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calls any or all of the 2029 Notes for redemption, at any time prior to the close of business on the scheduled trading day immediately preceding December 15, 2028; or</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specified corporate events (as set forth in the indenture governing the 2029 Notes).</w:t>
      </w:r>
    </w:p>
    <w:p>
      <w:pPr>
        <w:spacing w:after="0" w:line="9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or after December 15, 2028, holders of the 2029 Notes may convert their 2029 Notes at their option at any time until the close of business on the second Scheduled Trading Day (as defined in the indenture governing the 2029 Notes) immediately preceding the maturity date.</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There have been no changes to the initial conversion price of the 2029 Notes since issuance. During the three months ended March 31, 2024, the conditions for conversion were not met and, therefore, the 2029 Notes were not convertible during that period.</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may redeem the 2029 Notes in whole or in part at its option on or after March 22, 2027, for cash if the last reported sale price per ordinary share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in whole but not in part, in connection with certain tax-related events.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Holders of the 2029 Notes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Conversion Feature</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embedded conversion feature of the 2029 Notes requires bifurcation from the 2029 Notes and is accounted for as a derivative liability. The fair value of the 2029 Notes embedded conversion feature at the time of issuance was $87.5 million and was recorded as debt discount on the 2029 Notes. This discount is amortized as interest expense using the effective interest method over the term of the 2029 Notes together with other debt issuance cost and discounts. The 2029 Notes embedded conversion feature derivative is carried on the condensed consolidated balance sheets at its estimated fair value and is adjusted at the end of each reporting period, with the unrealized gain or loss reflected in foreign exchange and other income/(expense) in the condensed consolidated statements of (loss) income. The fair value of the embedded conversion feature derivative liability was $94.3 million as of March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Capped Calls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pricing the 2029 Notes, the Company entered into privately negotiated capped call transactions with certain financial institutions. The 2029 Capped Calls have an initial strike price of $69.40, subject to certain adjustments, which corresponds to the initial conversion price of the 2029 Notes. The 2029 Capped Calls are subject to anti-dilution adjustments substantially similar to the 2029 Notes and cover the number of LivaNova’s ordinary shares underlying the 2029 Notes. The 2029 Capped Calls generally offset cash payments or the cash equivalent value of ordinary shares upon conversion if the market value per ordinary share is greater than the strike price, with such offset being subject to an initial cap price of $94.2840 per share. If the Company’s share price exceeds the cap price at the time of valuation in respect of a conversion, the proceeds under the 2029 Capped Calls would not fully offset the excess principal amount due to the holders of the 2029 Notes. The 2029 Capped Calls expire on March 15, 2029 and must be settled in cash. If the 2029 Capped Calls are early terminated, settlement occurs at their termination value, which is equal to their fair value at the time of the early termination. The 2029 Capped Calls are carried on the condensed consolidated balance sheets as a derivative asset at their estimated fair value and are adjusted at the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303" w:lineRule="auto"/>
        <w:rPr>
          <w:sz w:val="20"/>
          <w:szCs w:val="20"/>
          <w:color w:val="auto"/>
        </w:rPr>
      </w:pPr>
      <w:r>
        <w:rPr>
          <w:rFonts w:ascii="Times New Roman" w:cs="Times New Roman" w:eastAsia="Times New Roman" w:hAnsi="Times New Roman"/>
          <w:sz w:val="14"/>
          <w:szCs w:val="14"/>
          <w:color w:val="auto"/>
        </w:rPr>
        <w:t>end of each reporting period, with unrealized gain or loss reflected in foreign exchange and other income/(expense) in the condensed consolidated statements of (loss) income. The fair value of the 2029 Capped Calls was $33.6 million as of March 31, 2024. As of March 31, 2024, the 2029 Capped Calls were classified as long-term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Notes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June 17, 2020, LivaNova USA issued $287.5 million aggregate principal amount of 3.00% notes due 2025 by private placement to qualified institutional buyers pursuant to Rule 144A under the Securities Act. The 2025 Notes are senior unsecured obligations of the Company. The sale of the 2025 Notes resulted in $278.0 million in net proceeds to the Company after deducting issuance costs. Interest is payable semiannually in arrears on June 15 and December 15 of each year. On March 8, 2024, in connection with the issuance of the 2029 Notes, the Company used part of the net proceeds to repurchase $230.0 million aggregate principal amount of the 2025 Notes in privately negotiated transactions. Refer to the above section “2029 Notes Issuance and 2025 Notes Repurchase Transactions” for further information. The effective interest rate of the 2025 Notes at March 31, 2024 was 9.16%. The 2025 Notes mature on December 15, 2025 unless earlier exchanged, repurchased, or redeemed.</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Debt discounts and issuance costs related to the 2025 Notes were $82.0 million and included $75.0 million of discount attributable to the embedded exchange feature, discussed below, and $7.0 million of allocated issuance costs to the 2025 Notes related to legal, bank and accounting fees. Upon the closing of the 2025 Notes Repurchase Transaction in March 2024, the remaining unamortized debt discounts and issuance costs related to the 2025 Notes were $5.8 million. Amortization of debt discount and issuance costs for the 2025 Notes was $3.4 million and $3.8 million for the three months ended March 31, 2024 and 2023, respectively, and is included in interest expense on the condensed consolidated statements of (loss) income. The unamortized discount related to the 2025 Notes as of March 31, 2024 and December 31, 2023 was $6.5 million and $32.0 million, respectively.</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Holders of the 2025 Notes are entitled to exchange the 2025 Notes at any time during specified periods, at their option. This includes the right to exchange the 2025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March 31, 2024. As a result, the Company has included its obligations from the 2025 Notes and the associated embedded exchange feature derivative as a long-term liability on the condensed consolidated balance sheet as of March 31, 2024. The 2025 Notes are exchangeable solely into cash and are not exchangeable into ordinary shares of LivaNova or any other security under any circumstances. The initial exchange rate for the 2025 Notes is 16.3980 ordinary shares per $1,000 principal amount of 2025 Notes (equivalent to an initial exchange price of $60.98 per share). The exchange rate is subject to adjustment in certain circumstances, as set forth in the indenture governing the 2025 Notes.</w:t>
      </w:r>
    </w:p>
    <w:p>
      <w:pPr>
        <w:spacing w:after="0" w:line="5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There have been no changes to the initial exchange price of the 2025 Notes since issuance. During the three months ended March 31, 2024, the conditions allowing holders of the 2025 Notes to exchange were not met. The 2025 Notes were therefore not exchangeable during the three months ended March 31, 2024.</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may redeem the 2025 Notes at its option on or after June 20, 2023 and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2025 Notes to be redeemed, plus accrued and unpaid interest to, but excluding, the redemption date. Additionally, the Company may redeem the 2025 Notes at its option, prior to their stated maturity, in whole but not in part, in connection with certain tax-related events.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embedded exchange feature of the 2025 Notes requires bifurcation from the 2025 Notes and is accounted for as a derivative liability. The fair value of the 2025 Notes’ embedded exchange feature derivative at the time of issuance was $75.0 million and was recorded as debt discount on the 2025 Notes. This discount is amortized as interest expense using the effective interest method over the term of the 2025 Notes. The 2025 Notes’ embedded exchange feature derivative is carried on the condensed consolidated balance sheets at its estimated fair value and is adjusted at the end of each reporting period, with the unrealized gain or loss reflected in foreign exchange and other income/(expense) in the condensed consolidated statements of (loss) income. The fair value of the embedded exchange feature derivative liability was $10.6 million and $45.6 million as of March 31, 2024 and December 31, 2023, respectively.</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2025 Capped Calls</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connection with the pricing of the 2025 Notes, the Company entered into privately negotiated capped call transactions with certain financial institutions. The 2025 Capped Calls cover, subject to anti-dilution adjustments substantially similar to those applicable to the 2025 Notes, the number of LivaNova’s ordinary shares underlying the 2025 Notes and are expected generally to offset any cash payments the Company is required to make upon exchange of the 2025 Notes in excess of the principal amount thereof in the event that the market value per ordinary share, as measured under the 2025 Capped Calls, is greater than the strike price of the 2025 Capped Calls, with such offset being subject to an initial cap price of $100.00 per share. If the Company’s share price exceeds the cap price at the time of valuation in respect of an exchange, the proceeds under the 2025 Capped Calls would not fully offset the excess principal amount due to the holders of the 2025 Notes. The 2025 Capped Calls expire on December 15, 2025 and must be settled in cash. If the 2025 Capped Calls are early terminated, settlement occurs at their termination value, which is equal to their fair value at the time of the early termination. The 2025 Capped Calls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(loss) income. In connection with the issuance of the 2029 Notes, the Company repurchased an aggregate principal amount of $230.0 million of the 2025 Notes and unwound a corresponding portion of the 2025 Capped Calls at the fair value of such portion of the 2025 Capped Calls. The fair value of the 2025 Capped Calls then in existence was $8.0 million and $38.5 million as of March 31, 2024 and December 31, 2023, respectively. As of March 31, 2024, the 2025 Capped Calls were classified as long-term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Derivatives and Risk Management</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Historically, LivaNova has entered into FX derivative contracts and interest rate swap contracts to reduce the impact of FX and interest rate fluctuations, respectively, on earnings and cash flow.</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condensed consolidated statements of cash flows.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 Interest rate swap gains and losses in AOCI are reclassified to interest expense on LivaNova’s condensed consolidated statements of (loss) income. LivaNova evaluates hedge effectiveness at inception. LivaNova had no designated hedging instruments as of March 31, 2024 and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1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such an Option Counterparty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Freestanding FX Derivative Contracts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gross notional amount of FX derivative contracts not designated as hedging instruments outstanding as of March 31, 2024 and December 31, 2023 was $160.0 million and $223.4 million, respectively. These derivative contracts are designed to offset the FX effects in earnings of various intercompany loans and trade receivables. LivaNova recorded net gains for these freestanding derivatives of $3.2 million for the three months ended March 31, 2024 and net losses of $1.3 million for three months ended March 31, 2023. These gains and losses are included in foreign exchange and other income/(expense) on LivaNova’s condensed consolidated statements of (loss) income.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pre-tax gains (losses) for derivative contracts designated as cash flow hedges recognized in OCI and the amount reclassified to earnings from AOCI were as follows (in thousands):</w:t>
      </w:r>
    </w:p>
    <w:p>
      <w:pPr>
        <w:spacing w:after="0" w:line="49"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15875</wp:posOffset>
            </wp:positionV>
            <wp:extent cx="316674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66745" cy="6985"/>
                    </a:xfrm>
                    <a:prstGeom prst="rect">
                      <a:avLst/>
                    </a:prstGeom>
                    <a:noFill/>
                  </pic:spPr>
                </pic:pic>
              </a:graphicData>
            </a:graphic>
          </wp:anchor>
        </w:drawing>
      </w:r>
    </w:p>
    <w:p>
      <w:pPr>
        <w:spacing w:after="0" w:line="10"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6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16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8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Sheet Presentation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condensed consolidated balance sheets as of March 31, 2024 and December 31, 2023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5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3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Capped call derivatives (2029 Notes)</w:t>
            </w: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exchange feature (2025 Notes)</w:t>
            </w:r>
          </w:p>
        </w:tc>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10,632</w:t>
            </w: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exchange feature (2029 Notes)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94,288</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r>
      <w:tr>
        <w:trPr>
          <w:trHeight w:val="129"/>
        </w:trPr>
        <w:tc>
          <w:tcPr>
            <w:tcW w:w="30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derivatives not designated as hedging</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42,912</w:t>
            </w:r>
          </w:p>
        </w:tc>
        <w:tc>
          <w:tcPr>
            <w:tcW w:w="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104,920</w:t>
            </w:r>
          </w:p>
        </w:tc>
      </w:tr>
      <w:tr>
        <w:trPr>
          <w:trHeight w:val="18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9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42,912</w:t>
            </w:r>
          </w:p>
        </w:tc>
        <w:tc>
          <w:tcPr>
            <w:tcW w:w="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104,920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3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3020" w:type="dxa"/>
            <w:vAlign w:val="bottom"/>
            <w:tcBorders>
              <w:bottom w:val="single" w:sz="8" w:color="9A9A9A"/>
            </w:tcBorders>
          </w:tcPr>
          <w:p>
            <w:pPr>
              <w:spacing w:after="0"/>
              <w:rPr>
                <w:sz w:val="15"/>
                <w:szCs w:val="15"/>
                <w:color w:val="auto"/>
              </w:rPr>
            </w:pPr>
          </w:p>
        </w:tc>
        <w:tc>
          <w:tcPr>
            <w:tcW w:w="2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7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7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exchange feature (2025 Notes)</w:t>
            </w:r>
          </w:p>
        </w:tc>
        <w:tc>
          <w:tcPr>
            <w:tcW w:w="2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r>
      <w:tr>
        <w:trPr>
          <w:trHeight w:val="118"/>
        </w:trPr>
        <w:tc>
          <w:tcPr>
            <w:tcW w:w="30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not designated as hedging</w:t>
            </w:r>
          </w:p>
        </w:tc>
        <w:tc>
          <w:tcPr>
            <w:tcW w:w="2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9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49,452</w:t>
            </w:r>
          </w:p>
        </w:tc>
      </w:tr>
      <w:tr>
        <w:trPr>
          <w:trHeight w:val="196"/>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2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the classification of inputs used to evaluate the fair value of derivatives, refer to “Note 3. Fair Value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March 31, 2024 was €35.7 million ($38.6 million), which represented the low end of the estimated range of loss of €35.7 million ($38.6 million) to €45.5 million ($49.2 million). The estimated liability as of December 31, 2023 was €35.8 million ($39.7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Liability</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$3.7 billion for remediation costs relating to the environmental damage at chemical sites previously operated by SNIA’s other subsidiaries.</w:t>
      </w:r>
    </w:p>
    <w:p>
      <w:pPr>
        <w:spacing w:after="0" w:line="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($315,403 as of March 31, 2024) for legal fees. The Public Administrations appealed the 2016 Decision to the Court of Appeal. On March 5, 2019, the Court of</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1" w:name="page22"/>
    <w:bookmarkEnd w:id="21"/>
    <w:p>
      <w:pPr>
        <w:jc w:val="both"/>
        <w:spacing w:after="0" w:line="290" w:lineRule="auto"/>
        <w:rPr>
          <w:sz w:val="20"/>
          <w:szCs w:val="20"/>
          <w:color w:val="auto"/>
        </w:rPr>
      </w:pPr>
      <w:r>
        <w:rPr>
          <w:rFonts w:ascii="Times New Roman" w:cs="Times New Roman" w:eastAsia="Times New Roman" w:hAnsi="Times New Roman"/>
          <w:sz w:val="14"/>
          <w:szCs w:val="14"/>
          <w:color w:val="auto"/>
        </w:rPr>
        <w:t>Appeal issued a partial decision on the merits declaring Sorin/LivaNova jointly liable with SNIA for SNIA’s environmental liabilities in an amount up to the fair value of the net worth received by Sorin because of the Sorin spin-off, an estimated €572.1 million ($618.0 million as of March 31, 2024). LivaNova appealed the partial decision on liability to the Italian Supreme Court in August 2019.</w:t>
      </w:r>
    </w:p>
    <w:p>
      <w:pPr>
        <w:spacing w:after="0" w:line="2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2021, the Court of Appeal delivered the remainder of its decision, ordering LivaNova to pay damages of €453.6 million ($489.9 million as of March 31, 2024).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($291.6 million as of March 31, 2024) within 30 calendar days, and on March 21, 2022, LivaNova delivered the guarantee, thereby satisfying the condition. Refer to “Note 12. Supplemental Financial Information” for information on the financing of the guarantee.</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2022, in response to one of a number of appeals asserted by LivaNova, the Supreme Court issued an ordinance, a procedural document, whereby the Supreme Court referred a question on interpretation of a European directive on demergers 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which is expected in 2024, the Supreme Court is expected to incorporate and issue a decision in response to all of the appeals of LivaNova and counter-appeals submitted by the Public Administrations. While the timing of the decisions by the ECJ and, subsequently, the Supreme Court are uncertain, the Company does not expect that the final decision from the Supreme Court will be issued until at least 2025. LivaNova has not recognized a liability in connection with this matter because any potential loss is not currently probable.</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a separate, but related matter, 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administrative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The receipt of the Order appears to be based on the aforementioned Court of Appeal decision regarding LivaNova’s alleged joint liability with SNIA for SNIA’s environmental liabilities. In February 2021, LivaNova disputed the grounds upon which the Order was based and appealed the Order in the Administrative Court in Brescia. On April 30, 2024, the Company learned that the Administrative Court in Brescia had dismissed the case. As a result, the Company considers this matter closed.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continues to be involved in litigation involving LivaNova’s 3T device. The litigation includes the cases remaining in the MDL, various U.S. state court cases, and in jurisdictions outside the U.S. As of May 3, 2024,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three months ended March 31, 2024, LivaNova recorded an additional liability of $6.4 million, due to new information received about the nature of certain claims. At March 31, 2024 and December 31, 2023, the provision for these matters was $20.0 million and $13.9 million, respectively. While the amount accrued represents LivaNova’s best estimate for those filed and unfiled claims worldwide of which LivaNova is aware and believes are both probable and estimable at this time, the actual liability for resolution of these matters may vary from the Company’s provision. A provision for the remaining claims has not been recorded because a potential loss is not determined to be probable, or a potential loss or range of potential loss is not reasonably estimable at this time.</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the litigation provision liability for the three months ended March 31,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December 31, 2023</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8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FX and other</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March 31, 2024</w:t>
            </w:r>
          </w:p>
        </w:tc>
        <w:tc>
          <w:tcPr>
            <w:tcW w:w="10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20,015</w:t>
            </w:r>
          </w:p>
        </w:tc>
      </w:tr>
      <w:tr>
        <w:trPr>
          <w:trHeight w:val="180"/>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current portion of litigation provision liability at March 31, 2024</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16,980</w:t>
            </w:r>
          </w:p>
        </w:tc>
      </w:tr>
      <w:tr>
        <w:trPr>
          <w:trHeight w:val="196"/>
        </w:trPr>
        <w:tc>
          <w:tcPr>
            <w:tcW w:w="88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of litigation provision liability at March 31, 2024 </w:t>
            </w:r>
            <w:r>
              <w:rPr>
                <w:rFonts w:ascii="Times New Roman" w:cs="Times New Roman" w:eastAsia="Times New Roman" w:hAnsi="Times New Roman"/>
                <w:sz w:val="18"/>
                <w:szCs w:val="18"/>
                <w:color w:val="auto"/>
                <w:vertAlign w:val="superscript"/>
              </w:rPr>
              <w:t>(2)</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the litigation provision are included in other operating expenses on the condensed consolidated statements of (loss) income.</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other long-term liabilities on the condensed consolidated balance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MedTech Payback Guidelines. LivaNova also filed appeals against the regions requesting payments. In August 2023, the Administrative Court upheld LivaNova’s request to suspend the effect of the requests for payment by the regions, pending the decision by the court on the merits of the case. In November 2023, the Administrative Court, in a separate matter, asked the Constitutional Court whether the payback law is compliant with the Italian Constitution and pending the decision by the Constitutional Court, all cases brought by medical device companies in this matter are suspended. The Company has accrued for the “payback” law since 2015 based on market and product information. As of March 31, 2024 and December 31, 2023, the total amount reserved for this matter was $8.4 million and $8.2 million, respectively; however, the actual liability could vary.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Note 7. Stockholders' Equity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the condensed consolidated statements of stockholders’ equity as of and for the three months ended March 31, 2024 and 2023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00" w:type="dxa"/>
            <w:vAlign w:val="bottom"/>
          </w:tcPr>
          <w:p>
            <w:pPr>
              <w:spacing w:after="0"/>
              <w:rPr>
                <w:sz w:val="11"/>
                <w:szCs w:val="1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80" w:type="dxa"/>
            <w:vAlign w:val="bottom"/>
          </w:tcPr>
          <w:p>
            <w:pPr>
              <w:spacing w:after="0"/>
              <w:rPr>
                <w:sz w:val="11"/>
                <w:szCs w:val="11"/>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1"/>
                <w:szCs w:val="11"/>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3"/>
              <w:spacing w:after="0" w:line="159" w:lineRule="exact"/>
              <w:rPr>
                <w:sz w:val="20"/>
                <w:szCs w:val="20"/>
                <w:color w:val="auto"/>
              </w:rPr>
            </w:pPr>
            <w:r>
              <w:rPr>
                <w:rFonts w:ascii="Times New Roman" w:cs="Times New Roman" w:eastAsia="Times New Roman" w:hAnsi="Times New Roman"/>
                <w:sz w:val="11"/>
                <w:szCs w:val="11"/>
                <w:b w:val="1"/>
                <w:bCs w:val="1"/>
                <w:color w:val="auto"/>
                <w:w w:val="96"/>
              </w:rPr>
              <w:t xml:space="preserve">Equity </w:t>
            </w:r>
            <w:r>
              <w:rPr>
                <w:rFonts w:ascii="Times New Roman" w:cs="Times New Roman" w:eastAsia="Times New Roman" w:hAnsi="Times New Roman"/>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2,189,517</w:t>
            </w: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(966,484)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1,277,628</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54,296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82,975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2,192,676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(1,008,427)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1,221,537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23"/>
                <w:szCs w:val="2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23"/>
                <w:szCs w:val="23"/>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54"/>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 xml:space="preserve">Equity </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53,852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82,424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2,157,724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(48,119)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left="712"/>
              <w:spacing w:after="0"/>
              <w:rPr>
                <w:sz w:val="20"/>
                <w:szCs w:val="20"/>
                <w:color w:val="auto"/>
              </w:rPr>
            </w:pPr>
            <w:r>
              <w:rPr>
                <w:rFonts w:ascii="Times New Roman" w:cs="Times New Roman" w:eastAsia="Times New Roman" w:hAnsi="Times New Roman"/>
                <w:sz w:val="14"/>
                <w:szCs w:val="14"/>
                <w:color w:val="auto"/>
              </w:rPr>
              <w:t>7,087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53,854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82,424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2,162,928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(41,032)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1,227,341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change in each component of AOCI, net of tax, and the reclassifications out of AOCI into net income for the three months ended March 31, 2024 and 2023 (in thousands):</w:t>
      </w:r>
    </w:p>
    <w:tbl>
      <w:tblPr>
        <w:tblLayout w:type="fixed"/>
        <w:tblInd w:w="0" w:type="dxa"/>
        <w:tblCellMar>
          <w:top w:w="0" w:type="dxa"/>
          <w:left w:w="0" w:type="dxa"/>
          <w:bottom w:w="0" w:type="dxa"/>
          <w:right w:w="0" w:type="dxa"/>
        </w:tblCellMar>
      </w:tblPr>
      <w:tr>
        <w:trPr>
          <w:trHeight w:val="144"/>
        </w:trPr>
        <w:tc>
          <w:tcPr>
            <w:tcW w:w="5840" w:type="dxa"/>
            <w:vAlign w:val="bottom"/>
          </w:tcPr>
          <w:p>
            <w:pPr>
              <w:spacing w:after="0"/>
              <w:rPr>
                <w:sz w:val="12"/>
                <w:szCs w:val="12"/>
                <w:color w:val="auto"/>
              </w:rPr>
            </w:pPr>
          </w:p>
        </w:tc>
        <w:tc>
          <w:tcPr>
            <w:tcW w:w="1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 Unrealized Loss</w:t>
            </w:r>
          </w:p>
        </w:tc>
        <w:tc>
          <w:tcPr>
            <w:tcW w:w="120" w:type="dxa"/>
            <w:vAlign w:val="bottom"/>
          </w:tcPr>
          <w:p>
            <w:pPr>
              <w:spacing w:after="0"/>
              <w:rPr>
                <w:sz w:val="12"/>
                <w:szCs w:val="12"/>
                <w:color w:val="auto"/>
              </w:rPr>
            </w:pPr>
          </w:p>
        </w:tc>
        <w:tc>
          <w:tcPr>
            <w:tcW w:w="17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400" w:type="dxa"/>
            <w:vAlign w:val="bottom"/>
          </w:tcPr>
          <w:p>
            <w:pPr>
              <w:spacing w:after="0"/>
              <w:rPr>
                <w:sz w:val="11"/>
                <w:szCs w:val="11"/>
                <w:color w:val="auto"/>
              </w:rPr>
            </w:pPr>
          </w:p>
        </w:tc>
        <w:tc>
          <w:tcPr>
            <w:tcW w:w="134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16"/>
                <w:szCs w:val="16"/>
                <w:color w:val="auto"/>
              </w:rPr>
            </w:pPr>
          </w:p>
        </w:tc>
        <w:tc>
          <w:tcPr>
            <w:tcW w:w="17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(Loss) Gain </w:t>
            </w:r>
            <w:r>
              <w:rPr>
                <w:rFonts w:ascii="Times New Roman" w:cs="Times New Roman" w:eastAsia="Times New Roman" w:hAnsi="Times New Roman"/>
                <w:sz w:val="18"/>
                <w:szCs w:val="18"/>
                <w:b w:val="1"/>
                <w:bCs w:val="1"/>
                <w:color w:val="auto"/>
                <w:w w:val="96"/>
                <w:vertAlign w:val="superscript"/>
              </w:rPr>
              <w:t>(1)</w:t>
            </w: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2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(45,206)</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(49,085)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before tax</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2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net of tax</w:t>
            </w:r>
          </w:p>
        </w:tc>
        <w:tc>
          <w:tcPr>
            <w:tcW w:w="2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before tax</w:t>
            </w: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after tax</w:t>
            </w:r>
          </w:p>
        </w:tc>
        <w:tc>
          <w:tcPr>
            <w:tcW w:w="2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income, net of tax</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w:t>
            </w: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(41,032)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(41,032)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Taxes were not provided for foreign currency translation adjustments as translation adjustments are related to earnings that are intended to be reinvested in the countries where earned.</w:t>
      </w:r>
    </w:p>
    <w:p>
      <w:pPr>
        <w:spacing w:after="0" w:line="200" w:lineRule="exact"/>
        <w:rPr>
          <w:rFonts w:ascii="Times New Roman" w:cs="Times New Roman" w:eastAsia="Times New Roman" w:hAnsi="Times New Roman"/>
          <w:sz w:val="13"/>
          <w:szCs w:val="13"/>
          <w:color w:val="auto"/>
        </w:rPr>
      </w:pPr>
    </w:p>
    <w:p>
      <w:pPr>
        <w:spacing w:after="0" w:line="240" w:lineRule="exact"/>
        <w:rPr>
          <w:rFonts w:ascii="Times New Roman" w:cs="Times New Roman" w:eastAsia="Times New Roman" w:hAnsi="Times New Roman"/>
          <w:sz w:val="13"/>
          <w:szCs w:val="13"/>
          <w:color w:val="auto"/>
        </w:rPr>
      </w:pPr>
    </w:p>
    <w:p>
      <w:pPr>
        <w:ind w:left="5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Note 8. Stock-Based Incentive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Plans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During the three months ended March 31, 2024, LivaNova issued stock-based compensatory awards with terms approved by the Compensation and Human Capital Management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2026 relative to the total shareholder returns of the S&amp;P Healthcare Equipment Select Constituents index. The adjusted free cash flow and return on invested capital operating performance-based awards that were issued, cliff vest after three years subject to the achievement of certain thresholds of cumulative results for the three-year period ending December 31, 2026. Compensation expense related to awards granted during 2024 for the three months ended March 31, 2024 was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Stock-based incentive plan compensation expense is as follows (in thousands):</w:t>
            </w: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restricted stock units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restricted stock units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10,226</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10,579</w:t>
            </w:r>
          </w:p>
        </w:tc>
      </w:tr>
      <w:tr>
        <w:trPr>
          <w:trHeight w:val="20"/>
        </w:trPr>
        <w:tc>
          <w:tcPr>
            <w:tcW w:w="7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Stock-based compensation agreements issued during the three months ended March 31, 2024 representing potential shares and their weighted average grant date fair values by type is as follows (shares in thousands, fair value in dollars):</w:t>
      </w:r>
    </w:p>
    <w:p>
      <w:pPr>
        <w:ind w:left="80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0" w:type="dxa"/>
            <w:vAlign w:val="bottom"/>
          </w:tcPr>
          <w:p>
            <w:pPr>
              <w:spacing w:after="0"/>
              <w:rPr>
                <w:sz w:val="11"/>
                <w:szCs w:val="11"/>
                <w:color w:val="auto"/>
              </w:rPr>
            </w:pPr>
          </w:p>
        </w:tc>
        <w:tc>
          <w:tcPr>
            <w:tcW w:w="142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0" w:type="dxa"/>
            <w:vAlign w:val="bottom"/>
          </w:tcPr>
          <w:p>
            <w:pPr>
              <w:spacing w:after="0"/>
              <w:rPr>
                <w:sz w:val="1"/>
                <w:szCs w:val="1"/>
                <w:color w:val="auto"/>
              </w:rPr>
            </w:pPr>
          </w:p>
        </w:tc>
      </w:tr>
      <w:tr>
        <w:trPr>
          <w:trHeight w:val="18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0" w:type="dxa"/>
            <w:vAlign w:val="bottom"/>
          </w:tcPr>
          <w:p>
            <w:pPr>
              <w:spacing w:after="0"/>
              <w:rPr>
                <w:sz w:val="1"/>
                <w:szCs w:val="1"/>
                <w:color w:val="auto"/>
              </w:rPr>
            </w:pPr>
          </w:p>
        </w:tc>
      </w:tr>
      <w:tr>
        <w:trPr>
          <w:trHeight w:val="18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0" w:type="dxa"/>
            <w:vAlign w:val="bottom"/>
          </w:tcPr>
          <w:p>
            <w:pPr>
              <w:spacing w:after="0"/>
              <w:rPr>
                <w:sz w:val="1"/>
                <w:szCs w:val="1"/>
                <w:color w:val="auto"/>
              </w:rPr>
            </w:pPr>
          </w:p>
        </w:tc>
      </w:tr>
      <w:tr>
        <w:trPr>
          <w:trHeight w:val="18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Income Taxes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effective income tax rate for the three months ended March 31, 2024 was (22.6)% compared with 24.3% for the three months ended March 31, 2023. LivaNova’s effective income tax rate fluctuates based on, among other factors, changes in pretax income in countries with varying statutory tax rates, valuation allowances, tax credits and incentives.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continually assesses the realizability of its worldwide deferred tax asset and valuation allowance positions, and when the need arises, the Company establishes or releases valuation allowances accordingly.</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decrease in the effective tax rate for the three months ended March 31, 2024, compared to the prior year period, was primarily attributable to changes in valuation allowances, year-over-year changes in income before tax in countries with varying statutory tax rates, and certain discrete tax items.</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operates in multiple jurisdictions throughout the world, and its tax returns are periodically audited or subjected to review by tax authorities. As a result, there is an uncertainty in income taxes recognized in LivaNova’s financial statements.</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11, 2023, the UK Act implemented the Pillar Two framework, providing a minimum effective tax rate of 15%, including both a multinational top-up tax and a domestic top-up tax for accounting periods beginning on or after December 31, 2023. The UK Act also included a transitional safe harbor election for accounting periods beginning on or before December 31, 2026. Draft UK legislation has also been published for a UTPR to be introduced, although not before accounting periods beginning on or after December 31, 2024. The UTPR is intended to ensure that amounts of multinational top-up tax that are not</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5" w:name="page26"/>
    <w:bookmarkEnd w:id="25"/>
    <w:p>
      <w:pPr>
        <w:jc w:val="both"/>
        <w:spacing w:after="0" w:line="275" w:lineRule="auto"/>
        <w:rPr>
          <w:sz w:val="20"/>
          <w:szCs w:val="20"/>
          <w:color w:val="auto"/>
        </w:rPr>
      </w:pPr>
      <w:r>
        <w:rPr>
          <w:rFonts w:ascii="Times New Roman" w:cs="Times New Roman" w:eastAsia="Times New Roman" w:hAnsi="Times New Roman"/>
          <w:sz w:val="14"/>
          <w:szCs w:val="14"/>
          <w:color w:val="auto"/>
        </w:rPr>
        <w:t>collected under foreign global minimum tax rules can, in certain circumstances, be collected instead in the UK. This minimum tax is treated as a period cost beginning in 2024 and has not had a material impact on the Company's financial results of operations for the current period. LivaNova will continue to monitor related guidance in the UK and other jurisdictions that impact LivaNova’s operations. Any material change in tax laws, regulations or policies, or their interpretation and enforcement, including with respect to the Pillar Two framework, could result in a higher effective tax rate and have a material impact on our consolidated statements of (loss) income or financial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Earnings Per Share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basic and diluted earnings per share for the three months ended March 31, 2024 and 2023:</w:t>
      </w:r>
    </w:p>
    <w:p>
      <w:pPr>
        <w:spacing w:after="0" w:line="4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15875</wp:posOffset>
            </wp:positionV>
            <wp:extent cx="255333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3335" cy="6985"/>
                    </a:xfrm>
                    <a:prstGeom prst="rect">
                      <a:avLst/>
                    </a:prstGeom>
                    <a:noFill/>
                  </pic:spPr>
                </pic:pic>
              </a:graphicData>
            </a:graphic>
          </wp:anchor>
        </w:drawing>
      </w:r>
    </w:p>
    <w:p>
      <w:pPr>
        <w:spacing w:after="0" w:line="10" w:lineRule="exact"/>
        <w:rPr>
          <w:sz w:val="20"/>
          <w:szCs w:val="20"/>
          <w:color w:val="auto"/>
        </w:rPr>
      </w:pPr>
    </w:p>
    <w:p>
      <w:pPr>
        <w:ind w:left="8080"/>
        <w:spacing w:after="0"/>
        <w:tabs>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(loss) income per share</w:t>
            </w:r>
          </w:p>
        </w:tc>
        <w:tc>
          <w:tcPr>
            <w:tcW w:w="35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4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income per share</w:t>
            </w:r>
          </w:p>
        </w:tc>
        <w:tc>
          <w:tcPr>
            <w:tcW w:w="35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4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r>
    </w:tbl>
    <w:p>
      <w:pPr>
        <w:spacing w:after="0" w:line="13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reconciliations of net (loss) income and weighted average shares outstanding used in the calculations of basic and diluted earnings per share for the three months ended March 31, 2024 and 2023 (in thousands):</w:t>
      </w: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Numerator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2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 basic and diluted</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Denominator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53,617</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Dilutive effect of share-based compensation and convertible debt instruments </w:t>
            </w:r>
            <w:r>
              <w:rPr>
                <w:rFonts w:ascii="Times New Roman" w:cs="Times New Roman" w:eastAsia="Times New Roman" w:hAnsi="Times New Roman"/>
                <w:sz w:val="18"/>
                <w:szCs w:val="18"/>
                <w:color w:val="auto"/>
                <w:vertAlign w:val="superscript"/>
              </w:rPr>
              <w:t>(2)</w:t>
            </w:r>
          </w:p>
        </w:tc>
        <w:tc>
          <w:tcPr>
            <w:tcW w:w="1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3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54,008</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line="260" w:lineRule="auto"/>
        <w:tabs>
          <w:tab w:leader="none" w:pos="5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months ended March 31, 2024, the 2029 Notes were outstanding and potentially dilutive securities but were excluded from the computation of diluted earnings per share because their effect would have been anti-dilutive.</w:t>
      </w:r>
    </w:p>
    <w:p>
      <w:pPr>
        <w:ind w:left="520" w:hanging="260"/>
        <w:spacing w:after="0" w:line="271" w:lineRule="auto"/>
        <w:tabs>
          <w:tab w:leader="none" w:pos="5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Excluded from the computation of diluted earnings per share were stock options, SARs and restricted share units totaling 4.6 million and 3.2 million for the three months ended March 31, 2024 and 2023, respectively, because to include them would have been anti-dilutive under the treasury stock method.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Geographic and Segment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2. Restructuring.” This restructuring, along with changes in how the Company’s CODM regularly reviews information, allocates resources and assesses performance, resulted in modifications to LivaNova’s reportable segments. Specifically, the ACS segment is now included in “Other,” excluding the ACS standalone cannulae and accessories business, which is now included in the Cardiopulmonary reportable segment. As a result, LivaNova now has two reportable segments: Cardiopulmonary and Neuromodulation. Net revenue of the Company’s reportable segments includes revenues from the sale of products that each reportable segment develops and manufactures or distributes. The segment financial information presented herein reflects these changes for all periods presented.</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heart-lung machines, oxygenators, autotransfusion systems, perfusion tubing systems, cannulae and other related accessories.</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the Company’s former heart failure program, which the Company began winding down during the first quarter of 2023 and substantially completed winding down during the fourth quarter of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operates under three geographic regions: U.S., Europe, and Rest of World. The following table presents net revenue by operating segment and geographic region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2024 and 2023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72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39,609</w:t>
            </w: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36,385</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59,750</w:t>
            </w:r>
          </w:p>
        </w:tc>
        <w:tc>
          <w:tcPr>
            <w:tcW w:w="0" w:type="dxa"/>
            <w:vAlign w:val="bottom"/>
          </w:tcPr>
          <w:p>
            <w:pPr>
              <w:spacing w:after="0"/>
              <w:rPr>
                <w:sz w:val="1"/>
                <w:szCs w:val="1"/>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155,891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135,744</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105,929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94,489</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0" w:type="dxa"/>
            <w:vAlign w:val="bottom"/>
          </w:tcPr>
          <w:p>
            <w:pPr>
              <w:spacing w:after="0"/>
              <w:rPr>
                <w:sz w:val="1"/>
                <w:szCs w:val="1"/>
                <w:color w:val="auto"/>
              </w:rPr>
            </w:pPr>
          </w:p>
        </w:tc>
      </w:tr>
      <w:tr>
        <w:trPr>
          <w:trHeight w:val="171"/>
        </w:trPr>
        <w:tc>
          <w:tcPr>
            <w:tcW w:w="72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0" w:type="dxa"/>
            <w:vAlign w:val="bottom"/>
          </w:tcPr>
          <w:p>
            <w:pPr>
              <w:spacing w:after="0"/>
              <w:rPr>
                <w:sz w:val="1"/>
                <w:szCs w:val="1"/>
                <w:color w:val="auto"/>
              </w:rPr>
            </w:pPr>
          </w:p>
        </w:tc>
      </w:tr>
      <w:tr>
        <w:trPr>
          <w:trHeight w:val="171"/>
        </w:trPr>
        <w:tc>
          <w:tcPr>
            <w:tcW w:w="726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0" w:type="dxa"/>
            <w:vAlign w:val="bottom"/>
          </w:tcPr>
          <w:p>
            <w:pPr>
              <w:spacing w:after="0"/>
              <w:rPr>
                <w:sz w:val="1"/>
                <w:szCs w:val="1"/>
                <w:color w:val="auto"/>
              </w:rPr>
            </w:pPr>
          </w:p>
        </w:tc>
      </w:tr>
      <w:tr>
        <w:trPr>
          <w:trHeight w:val="16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140,267</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79,951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73,508</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36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(3)</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294,912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in Europe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revenue primarily includes revenue from the Company’s former ACS reportable segment, as discussed above, and rental income not allocated to segments.</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revenue except for the U.S.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p>
      <w:pPr>
        <w:jc w:val="both"/>
        <w:spacing w:after="0" w:line="278" w:lineRule="auto"/>
        <w:rPr>
          <w:sz w:val="20"/>
          <w:szCs w:val="20"/>
          <w:color w:val="auto"/>
        </w:rPr>
      </w:pPr>
      <w:r>
        <w:rPr>
          <w:rFonts w:ascii="Times New Roman" w:cs="Times New Roman" w:eastAsia="Times New Roman" w:hAnsi="Times New Roman"/>
          <w:sz w:val="14"/>
          <w:szCs w:val="14"/>
          <w:color w:val="auto"/>
        </w:rPr>
        <w:t>LivaNova defines segment income as operating income before merger and integration expense, restructuring expense, amortization of intangible assets, as well as other income and expense not allocated to segments. Other income and expense not allocated to segments primarily includes the results of LivaNova’s former ACS reportable segment, as discussed above, and corporate expenses. The following table presents a reconciliation of segment income to consolidated (loss) income before tax for the three months ended March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46,678</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27,006</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36,180</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income/(expense) </w:t>
            </w:r>
            <w:r>
              <w:rPr>
                <w:rFonts w:ascii="Times New Roman" w:cs="Times New Roman" w:eastAsia="Times New Roman" w:hAnsi="Times New Roman"/>
                <w:sz w:val="18"/>
                <w:szCs w:val="18"/>
                <w:color w:val="auto"/>
                <w:vertAlign w:val="superscript"/>
              </w:rPr>
              <w:t>(1)</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(45,143)</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(38,522)</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(13,437)</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25,547</w:t>
            </w: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tax</w:t>
            </w: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Other income/(expense) primarily includes non-allocated corporate expenses, amortization of intangible assets, rental income, and the results of LivaNova’s former ACS reportable segment, as discussed above.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as of March 31, 2024 and December 31, 2023 (in thousands):</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2"/>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7"/>
                <w:szCs w:val="17"/>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943,405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964,735</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647,391</w:t>
            </w: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864,334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817,437</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2,459,602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2,429,563</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Other assets primarily includes corporate assets not allocated to segments and the assets of LivaNova’s former ACS reportable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capital expenditures by reportable segment for the three months ended March 31, 2024 and 2023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capital expenditures </w:t>
            </w:r>
            <w:r>
              <w:rPr>
                <w:rFonts w:ascii="Times New Roman" w:cs="Times New Roman" w:eastAsia="Times New Roman" w:hAnsi="Times New Roman"/>
                <w:sz w:val="18"/>
                <w:szCs w:val="18"/>
                <w:color w:val="auto"/>
                <w:vertAlign w:val="superscript"/>
              </w:rPr>
              <w:t>(1)</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7,851</w:t>
            </w:r>
          </w:p>
        </w:tc>
      </w:tr>
      <w:tr>
        <w:trPr>
          <w:trHeight w:val="20"/>
        </w:trPr>
        <w:tc>
          <w:tcPr>
            <w:tcW w:w="7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Other capital expenditures primarily includes corporate capital expenditures not allocated to segments and capital expenditures of LivaNova’s former ACS reportable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changes in the carrying amount of goodwill by reportable segment for the three months ended March 31, 2024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6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60" w:type="dxa"/>
            <w:vAlign w:val="bottom"/>
          </w:tcPr>
          <w:p>
            <w:pPr>
              <w:spacing w:after="0"/>
              <w:rPr>
                <w:sz w:val="16"/>
                <w:szCs w:val="16"/>
                <w:color w:val="auto"/>
              </w:rPr>
            </w:pPr>
          </w:p>
        </w:tc>
        <w:tc>
          <w:tcPr>
            <w:tcW w:w="15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384,187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782,941</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tcPr>
          <w:p>
            <w:pPr>
              <w:spacing w:after="0"/>
              <w:rPr>
                <w:sz w:val="15"/>
                <w:szCs w:val="15"/>
                <w:color w:val="auto"/>
              </w:rPr>
            </w:pPr>
          </w:p>
        </w:tc>
        <w:tc>
          <w:tcPr>
            <w:tcW w:w="17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(11,124)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(11,124)</w:t>
            </w:r>
          </w:p>
        </w:tc>
      </w:tr>
      <w:tr>
        <w:trPr>
          <w:trHeight w:val="19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373,063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771,817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2"/>
        </w:trPr>
        <w:tc>
          <w:tcPr>
            <w:tcW w:w="52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presents property, plant and equipment, net by geographic region as of March 31, 2024 and December 31, 2023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85,606</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152,237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154,181</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Supplemental Financial Information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as of March 31, 2024 and December 31, 2023 (in thousands):</w:t>
            </w: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81,878</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3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53,108</w:t>
            </w:r>
          </w:p>
        </w:tc>
      </w:tr>
      <w:tr>
        <w:trPr>
          <w:trHeight w:val="171"/>
        </w:trPr>
        <w:tc>
          <w:tcPr>
            <w:tcW w:w="72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153,176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147,887</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2024 and December 31, 2023, inventories included adjustments totaling $25.0 million and $24.4 million, respectively, to record balances at lower of cost or net realizable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accrued liabilities and other as of March 31, 2024 and December 31, 2023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professional costs</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Italian medical device payback law</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10,725</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liability</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1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4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24,446</w:t>
            </w: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March 31, 2024 and December 31, 2023, contract liabilities totaling $14.1 million and $15.3 million, respectively, were included in accrued liabilities and other long-term liabilities on the condensed consolidated balance sheets.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29" w:name="page30"/>
    <w:bookmarkEnd w:id="29"/>
    <w:p>
      <w:pPr>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items included in foreign exchange and other income/(expense) on the condensed consolidated statements of (loss) income for the three months ended March 31, 2024 and 2023 (in thousands):</w:t>
      </w: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r>
      <w:tr>
        <w:trPr>
          <w:trHeight w:val="171"/>
        </w:trPr>
        <w:tc>
          <w:tcPr>
            <w:tcW w:w="72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2025 Notes fair value adjustment </w:t>
            </w:r>
            <w:r>
              <w:rPr>
                <w:rFonts w:ascii="Times New Roman" w:cs="Times New Roman" w:eastAsia="Times New Roman" w:hAnsi="Times New Roman"/>
                <w:sz w:val="18"/>
                <w:szCs w:val="18"/>
                <w:color w:val="auto"/>
                <w:vertAlign w:val="superscript"/>
              </w:rPr>
              <w:t>(1)</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44,390</w:t>
            </w:r>
          </w:p>
        </w:tc>
      </w:tr>
      <w:tr>
        <w:trPr>
          <w:trHeight w:val="180"/>
        </w:trPr>
        <w:tc>
          <w:tcPr>
            <w:tcW w:w="7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2029 Notes fair value adjustment </w:t>
            </w:r>
            <w:r>
              <w:rPr>
                <w:rFonts w:ascii="Times New Roman" w:cs="Times New Roman" w:eastAsia="Times New Roman" w:hAnsi="Times New Roman"/>
                <w:sz w:val="18"/>
                <w:szCs w:val="18"/>
                <w:color w:val="auto"/>
                <w:vertAlign w:val="superscript"/>
              </w:rPr>
              <w:t>(1)</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(2025 Notes) </w:t>
            </w:r>
            <w:r>
              <w:rPr>
                <w:rFonts w:ascii="Times New Roman" w:cs="Times New Roman" w:eastAsia="Times New Roman" w:hAnsi="Times New Roman"/>
                <w:sz w:val="18"/>
                <w:szCs w:val="18"/>
                <w:color w:val="auto"/>
                <w:vertAlign w:val="superscript"/>
              </w:rPr>
              <w:t>(1)</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(23,379)</w:t>
            </w:r>
          </w:p>
        </w:tc>
      </w:tr>
      <w:tr>
        <w:trPr>
          <w:trHeight w:val="180"/>
        </w:trPr>
        <w:tc>
          <w:tcPr>
            <w:tcW w:w="7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(2029 Notes) </w:t>
            </w:r>
            <w:r>
              <w:rPr>
                <w:rFonts w:ascii="Times New Roman" w:cs="Times New Roman" w:eastAsia="Times New Roman" w:hAnsi="Times New Roman"/>
                <w:sz w:val="18"/>
                <w:szCs w:val="18"/>
                <w:color w:val="auto"/>
                <w:vertAlign w:val="superscript"/>
              </w:rPr>
              <w:t>(1)</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71"/>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25,547</w:t>
            </w:r>
          </w:p>
        </w:tc>
      </w:tr>
      <w:tr>
        <w:trPr>
          <w:trHeight w:val="20"/>
        </w:trPr>
        <w:tc>
          <w:tcPr>
            <w:tcW w:w="7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Refer to “Note 3. Fair Value Measurements”</w:t>
      </w:r>
    </w:p>
    <w:p>
      <w:pPr>
        <w:spacing w:after="0" w:line="9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cash, cash equivalents and restricted cash reported on the condensed consolidated balance sheets that sum to the total of the amounts shown on the condensed consolidated statements of cash flows as of March 31, 2024 and December 31, 2023 (in thousands):</w:t>
      </w: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311,368</w:t>
            </w: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20" w:hanging="260"/>
        <w:spacing w:after="0" w:line="264" w:lineRule="auto"/>
        <w:tabs>
          <w:tab w:leader="none" w:pos="5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Cash collateral classified as restricted cash on the condensed consolidated balance sheet was $306.5 million and $311.4 million as of March 31, 2024 and December 31, 2023, respectively. Refer to “Note 6. Commitments and Contingencies.”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New Accounting Pronouncements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description of future adoptions of new accounting standards that may have an impact on LivaNova’s financial statements when adopted: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29"/>
        </w:trPr>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November 2023</w:t>
            </w:r>
          </w:p>
        </w:tc>
        <w:tc>
          <w:tcPr>
            <w:tcW w:w="100" w:type="dxa"/>
            <w:vAlign w:val="bottom"/>
            <w:tcBorders>
              <w:top w:val="single" w:sz="8" w:color="CCEEFF"/>
            </w:tcBorders>
            <w:shd w:val="clear" w:color="auto" w:fill="CCEEFF"/>
          </w:tcPr>
          <w:p>
            <w:pPr>
              <w:spacing w:after="0"/>
              <w:rPr>
                <w:sz w:val="11"/>
                <w:szCs w:val="11"/>
                <w:color w:val="auto"/>
              </w:rPr>
            </w:pPr>
          </w:p>
        </w:tc>
        <w:tc>
          <w:tcPr>
            <w:tcW w:w="4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expands public entities’ reportable segment disclosures by requiring</w:t>
            </w:r>
          </w:p>
        </w:tc>
        <w:tc>
          <w:tcPr>
            <w:tcW w:w="1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will be effective for annual</w:t>
            </w: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LivaNova is currently evaluating</w:t>
            </w:r>
          </w:p>
        </w:tc>
      </w:tr>
      <w:tr>
        <w:trPr>
          <w:trHeight w:val="144"/>
        </w:trPr>
        <w:tc>
          <w:tcPr>
            <w:tcW w:w="19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ASU No. 2023-07, Segment</w:t>
            </w:r>
          </w:p>
        </w:tc>
        <w:tc>
          <w:tcPr>
            <w:tcW w:w="4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disclosure of significant segment expenses that are regularly provided to the</w:t>
            </w:r>
          </w:p>
        </w:tc>
        <w:tc>
          <w:tcPr>
            <w:tcW w:w="26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periods beginning after December 15, 2023</w:t>
            </w:r>
          </w:p>
        </w:tc>
        <w:tc>
          <w:tcPr>
            <w:tcW w:w="2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the effect this standard will have on</w:t>
            </w:r>
          </w:p>
        </w:tc>
      </w:tr>
      <w:tr>
        <w:trPr>
          <w:trHeight w:val="142"/>
        </w:trPr>
        <w:tc>
          <w:tcPr>
            <w:tcW w:w="19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Reporting (Topic 280):</w:t>
            </w:r>
          </w:p>
        </w:tc>
        <w:tc>
          <w:tcPr>
            <w:tcW w:w="4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CODM and included in each reported measure of segment profit or loss, the</w:t>
            </w:r>
          </w:p>
        </w:tc>
        <w:tc>
          <w:tcPr>
            <w:tcW w:w="26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and subsequent interim periods, on a</w:t>
            </w:r>
          </w:p>
        </w:tc>
        <w:tc>
          <w:tcPr>
            <w:tcW w:w="2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its consolidated financial</w:t>
            </w:r>
          </w:p>
        </w:tc>
      </w:tr>
      <w:tr>
        <w:trPr>
          <w:trHeight w:val="138"/>
        </w:trPr>
        <w:tc>
          <w:tcPr>
            <w:tcW w:w="19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Improvements to Reportable</w:t>
            </w:r>
          </w:p>
        </w:tc>
        <w:tc>
          <w:tcPr>
            <w:tcW w:w="46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 and description of other segment items, and the title and position of the</w:t>
            </w:r>
          </w:p>
        </w:tc>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retrospective basis.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statements and related disclosures.</w:t>
            </w:r>
          </w:p>
        </w:tc>
      </w:tr>
      <w:tr>
        <w:trPr>
          <w:trHeight w:val="144"/>
        </w:trPr>
        <w:tc>
          <w:tcPr>
            <w:tcW w:w="19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Segment Disclosures</w:t>
            </w:r>
          </w:p>
        </w:tc>
        <w:tc>
          <w:tcPr>
            <w:tcW w:w="4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Company’s CODM, as well as an explanation of how the CODM uses the</w:t>
            </w: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r>
      <w:tr>
        <w:trPr>
          <w:trHeight w:val="142"/>
        </w:trPr>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Company’s reported measures of segment profit or loss in assessing segment</w:t>
            </w: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r>
      <w:tr>
        <w:trPr>
          <w:trHeight w:val="180"/>
        </w:trPr>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and deciding how to allocate resources.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80"/>
          </w:cols>
          <w:pgMar w:left="300" w:top="730" w:right="319" w:bottom="1440" w:gutter="0" w:footer="0" w:header="0"/>
        </w:sectPr>
      </w:pPr>
    </w:p>
    <w:p>
      <w:pPr>
        <w:ind w:left="20"/>
        <w:spacing w:after="0" w:line="223" w:lineRule="auto"/>
        <w:tabs>
          <w:tab w:leader="none" w:pos="1940" w:val="left"/>
        </w:tabs>
        <w:rPr>
          <w:sz w:val="20"/>
          <w:szCs w:val="20"/>
          <w:color w:val="auto"/>
        </w:rPr>
      </w:pPr>
      <w:r>
        <w:rPr>
          <w:rFonts w:ascii="Times New Roman" w:cs="Times New Roman" w:eastAsia="Times New Roman" w:hAnsi="Times New Roman"/>
          <w:sz w:val="14"/>
          <w:szCs w:val="14"/>
          <w:color w:val="auto"/>
        </w:rPr>
        <w:t>December 2023 ASU No.</w:t>
      </w:r>
      <w:r>
        <w:rPr>
          <w:sz w:val="20"/>
          <w:szCs w:val="20"/>
          <w:color w:val="auto"/>
        </w:rPr>
        <w:tab/>
      </w:r>
      <w:r>
        <w:rPr>
          <w:rFonts w:ascii="Times New Roman" w:cs="Times New Roman" w:eastAsia="Times New Roman" w:hAnsi="Times New Roman"/>
          <w:sz w:val="14"/>
          <w:szCs w:val="14"/>
          <w:color w:val="auto"/>
        </w:rPr>
        <w:t>This ASU expands annual income tax disclosures primarily related to the rate</w:t>
      </w:r>
    </w:p>
    <w:p>
      <w:pPr>
        <w:ind w:left="20"/>
        <w:spacing w:after="0" w:line="221" w:lineRule="auto"/>
        <w:tabs>
          <w:tab w:leader="none" w:pos="1940" w:val="left"/>
        </w:tabs>
        <w:rPr>
          <w:sz w:val="20"/>
          <w:szCs w:val="20"/>
          <w:color w:val="auto"/>
        </w:rPr>
      </w:pPr>
      <w:r>
        <w:rPr>
          <w:rFonts w:ascii="Times New Roman" w:cs="Times New Roman" w:eastAsia="Times New Roman" w:hAnsi="Times New Roman"/>
          <w:sz w:val="14"/>
          <w:szCs w:val="14"/>
          <w:color w:val="auto"/>
        </w:rPr>
        <w:t>2023-09, Income Taxes (Topic</w:t>
        <w:tab/>
        <w:t>reconciliation and income taxes paid.</w:t>
      </w:r>
    </w:p>
    <w:p>
      <w:pPr>
        <w:ind w:left="20"/>
        <w:spacing w:after="0" w:line="206" w:lineRule="auto"/>
        <w:rPr>
          <w:sz w:val="20"/>
          <w:szCs w:val="20"/>
          <w:color w:val="auto"/>
        </w:rPr>
      </w:pPr>
      <w:r>
        <w:rPr>
          <w:rFonts w:ascii="Times New Roman" w:cs="Times New Roman" w:eastAsia="Times New Roman" w:hAnsi="Times New Roman"/>
          <w:sz w:val="14"/>
          <w:szCs w:val="14"/>
          <w:color w:val="auto"/>
        </w:rPr>
        <w:t>740): Improvements to Income</w:t>
      </w:r>
    </w:p>
    <w:p>
      <w:pPr>
        <w:ind w:left="20"/>
        <w:spacing w:after="0"/>
        <w:rPr>
          <w:sz w:val="20"/>
          <w:szCs w:val="20"/>
          <w:color w:val="auto"/>
        </w:rPr>
      </w:pPr>
      <w:r>
        <w:rPr>
          <w:rFonts w:ascii="Times New Roman" w:cs="Times New Roman" w:eastAsia="Times New Roman" w:hAnsi="Times New Roman"/>
          <w:sz w:val="14"/>
          <w:szCs w:val="14"/>
          <w:color w:val="auto"/>
        </w:rPr>
        <w:t>Tax Disclosures</w:t>
      </w:r>
    </w:p>
    <w:p>
      <w:pPr>
        <w:spacing w:after="0" w:line="20" w:lineRule="exact"/>
        <w:rPr>
          <w:sz w:val="20"/>
          <w:szCs w:val="20"/>
          <w:color w:val="auto"/>
        </w:rPr>
      </w:pPr>
      <w:r>
        <w:rPr>
          <w:sz w:val="20"/>
          <w:szCs w:val="20"/>
          <w:color w:val="auto"/>
        </w:rPr>
        <w:br w:type="column"/>
      </w:r>
    </w:p>
    <w:p>
      <w:pPr>
        <w:spacing w:after="0" w:line="223" w:lineRule="auto"/>
        <w:tabs>
          <w:tab w:leader="none" w:pos="2640" w:val="left"/>
        </w:tabs>
        <w:rPr>
          <w:sz w:val="20"/>
          <w:szCs w:val="20"/>
          <w:color w:val="auto"/>
        </w:rPr>
      </w:pPr>
      <w:r>
        <w:rPr>
          <w:rFonts w:ascii="Times New Roman" w:cs="Times New Roman" w:eastAsia="Times New Roman" w:hAnsi="Times New Roman"/>
          <w:sz w:val="14"/>
          <w:szCs w:val="14"/>
          <w:color w:val="auto"/>
        </w:rPr>
        <w:t>This ASU will be effective for annual</w:t>
      </w:r>
      <w:r>
        <w:rPr>
          <w:sz w:val="20"/>
          <w:szCs w:val="20"/>
          <w:color w:val="auto"/>
        </w:rPr>
        <w:tab/>
      </w:r>
      <w:r>
        <w:rPr>
          <w:rFonts w:ascii="Times New Roman" w:cs="Times New Roman" w:eastAsia="Times New Roman" w:hAnsi="Times New Roman"/>
          <w:sz w:val="14"/>
          <w:szCs w:val="14"/>
          <w:color w:val="auto"/>
        </w:rPr>
        <w:t>LivaNova is currently evaluating</w:t>
      </w:r>
    </w:p>
    <w:p>
      <w:pPr>
        <w:ind w:right="20"/>
        <w:spacing w:after="0" w:line="213" w:lineRule="auto"/>
        <w:rPr>
          <w:sz w:val="20"/>
          <w:szCs w:val="20"/>
          <w:color w:val="auto"/>
        </w:rPr>
      </w:pPr>
      <w:r>
        <w:rPr>
          <w:rFonts w:ascii="Times New Roman" w:cs="Times New Roman" w:eastAsia="Times New Roman" w:hAnsi="Times New Roman"/>
          <w:sz w:val="14"/>
          <w:szCs w:val="14"/>
          <w:color w:val="auto"/>
        </w:rPr>
        <w:t>periods beginning after December 15, 2024, the effect this standard will have on on a prospective basis, with early adoption its consolidated financial</w:t>
      </w:r>
    </w:p>
    <w:p>
      <w:pPr>
        <w:spacing w:after="0" w:line="1"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and retrospective application permitted.</w:t>
      </w:r>
      <w:r>
        <w:rPr>
          <w:sz w:val="20"/>
          <w:szCs w:val="20"/>
          <w:color w:val="auto"/>
        </w:rPr>
        <w:tab/>
      </w:r>
      <w:r>
        <w:rPr>
          <w:rFonts w:ascii="Times New Roman" w:cs="Times New Roman" w:eastAsia="Times New Roman" w:hAnsi="Times New Roman"/>
          <w:sz w:val="14"/>
          <w:szCs w:val="14"/>
          <w:color w:val="auto"/>
        </w:rPr>
        <w:t>statements and related disclosures.</w:t>
      </w:r>
    </w:p>
    <w:p>
      <w:pPr>
        <w:spacing w:after="0" w:line="200" w:lineRule="exact"/>
        <w:rPr>
          <w:sz w:val="20"/>
          <w:szCs w:val="20"/>
          <w:color w:val="auto"/>
        </w:rPr>
      </w:pPr>
    </w:p>
    <w:p>
      <w:pPr>
        <w:sectPr>
          <w:pgSz w:w="11900" w:h="16838" w:orient="portrait"/>
          <w:cols w:equalWidth="0" w:num="2">
            <w:col w:w="6340" w:space="240"/>
            <w:col w:w="4700"/>
          </w:cols>
          <w:pgMar w:left="300" w:top="730" w:right="319" w:bottom="1440" w:gutter="0" w:footer="0" w:header="0"/>
          <w:type w:val="continuous"/>
        </w:sect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condensed consolidated financial statements and related notes, which appear elsewhere in this document, and with LivaNova’s 2023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2023 Form 10-K, as updated and supplemented by LivaNova’s Quarterly Reports on Form 10-Q, including in Part II, Item 1A. and elsewhere in this Report.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capitalized terms used below have been defined in the notes to LivaNova’s condensed consolidated financial statements and the “Definitions” section of this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logistical, capacity, and labor constraints, though,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continues to assess the nature and scope of the affected data and analyze its legal notification obligations, and the Company is notifying affected individuals and regulators as required by applicable law. The Company believes it contained the cybersecurity threat, though its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March 31, 2024, LivaNova had incurred direct costs totaling $5.4 million in connection with this cybersecurity incident, including $2.8 million during the three months ended March 31, 2024. These costs primarily include external cybersecurity experts, legal counsel, and system restoration costs, and do not include business interruption or other non-direct costs.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a claim is submitted.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2. Restructuring” in the condensed consolidated financial statements in this Report. This restructuring, along with changes in how the Company’s CODM regularly reviews information, allocates resources and assesses performance, resulted in modifications to LivaNova’s reportable segments. Specifically, the ACS segment is now included in “Other,” excluding the ACS standalone cannulae and accessories business, which is now included in the Cardiopulmonary reportable segment. As a result, LivaNova now has two reportable segments: Cardiopulmonary and Neuromodulation. For further information regarding LivaNova’s reportable segments, historical financial information and its methodology for the presentation of financial results, please refer to the condensed consolidated financial statements and accompanying notes of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 making during CPB procedures.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Cardiopulmonary that could potentially impact LivaNova’s condensed consolidated financial statements and related disclosures is incorporated by reference to Part I. Note 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Product Liability Litigation.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equipment and instruction manuals enabling a treating physician to set parameters for a patient’s pulse generator; and for epilepsy, magnets to manually suspend or induce nerve stimulation. The lead does not need to be removed to replace a generator with a depleted battery.</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 LivaNova’s OSPREY clinical trial seeks to confirm the safety and effectiveness of the aura6000 System.</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March 2024, the Company announced that the OSPREY clinical study had achieved a positive predictive outcome and would conclude enrollment sooner than expected. This development signified that there is a greater than 97.5% probability that the OSPREY trial will successfully meet its primary endpoint.</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Neuromodulation segment also includes costs associated with the Company’s former heart failure program, which the Company began winding down during the first quarter of 2023 and substantially completed winding down during the fourth quarter of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LivaNova’s critical accounting estimates, see “Management’s Discussion and Analysis of Financial Condition and Results of Operations” included in the 2023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LivaNova and its consolidated subsidiaries have been prepared in accordance with U.S. GAAP on an interim basis.</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LivaNova’s condensed consolidated results of operations (in thousands):</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6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294,912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87,522</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89,335</w:t>
            </w:r>
          </w:p>
        </w:tc>
        <w:tc>
          <w:tcPr>
            <w:tcW w:w="0" w:type="dxa"/>
            <w:vAlign w:val="bottom"/>
          </w:tcPr>
          <w:p>
            <w:pPr>
              <w:spacing w:after="0"/>
              <w:rPr>
                <w:sz w:val="1"/>
                <w:szCs w:val="1"/>
                <w:color w:val="auto"/>
              </w:rPr>
            </w:pPr>
          </w:p>
        </w:tc>
      </w:tr>
      <w:tr>
        <w:trPr>
          <w:trHeight w:val="171"/>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207,390</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174,083</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124,129</w:t>
            </w:r>
          </w:p>
        </w:tc>
        <w:tc>
          <w:tcPr>
            <w:tcW w:w="0" w:type="dxa"/>
            <w:vAlign w:val="bottom"/>
          </w:tcPr>
          <w:p>
            <w:pPr>
              <w:spacing w:after="0"/>
              <w:rPr>
                <w:sz w:val="1"/>
                <w:szCs w:val="1"/>
                <w:color w:val="auto"/>
              </w:rPr>
            </w:pPr>
          </w:p>
        </w:tc>
      </w:tr>
      <w:tr>
        <w:trPr>
          <w:trHeight w:val="180"/>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49,986</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15,617</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17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16,246</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25,547</w:t>
            </w:r>
          </w:p>
        </w:tc>
        <w:tc>
          <w:tcPr>
            <w:tcW w:w="0" w:type="dxa"/>
            <w:vAlign w:val="bottom"/>
          </w:tcPr>
          <w:p>
            <w:pPr>
              <w:spacing w:after="0"/>
              <w:rPr>
                <w:sz w:val="1"/>
                <w:szCs w:val="1"/>
                <w:color w:val="auto"/>
              </w:rPr>
            </w:pPr>
          </w:p>
        </w:tc>
      </w:tr>
      <w:tr>
        <w:trPr>
          <w:trHeight w:val="171"/>
        </w:trPr>
        <w:tc>
          <w:tcPr>
            <w:tcW w:w="7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income before tax</w:t>
            </w: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w:t>
            </w: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income</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5640"/>
              <w:spacing w:after="0"/>
              <w:rPr>
                <w:sz w:val="20"/>
                <w:szCs w:val="20"/>
                <w:color w:val="auto"/>
              </w:rPr>
            </w:pPr>
            <w:r>
              <w:rPr>
                <w:rFonts w:ascii="Times New Roman" w:cs="Times New Roman" w:eastAsia="Times New Roman" w:hAnsi="Times New Roman"/>
                <w:sz w:val="14"/>
                <w:szCs w:val="14"/>
                <w:color w:val="auto"/>
              </w:rPr>
              <w:t>33</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72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2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for the three months ended March 31, 2024 and 2023 (in thousands, except for percentages):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0"/>
        </w:trPr>
        <w:tc>
          <w:tcPr>
            <w:tcW w:w="5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39,609</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36,385</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59,750</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155,891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135,744</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94,489</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14,536</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6,951</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140,267</w:t>
            </w:r>
          </w:p>
        </w:tc>
        <w:tc>
          <w:tcPr>
            <w:tcW w:w="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49,643</w:t>
            </w:r>
          </w:p>
        </w:tc>
        <w:tc>
          <w:tcPr>
            <w:tcW w:w="8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79,951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73,508</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294,912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263,418</w:t>
            </w:r>
          </w:p>
        </w:tc>
        <w:tc>
          <w:tcPr>
            <w:tcW w:w="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in Europe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revenue primarily includes revenue from the Company’s former ACS reportable segment, as discussed above, and rental income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The following table presents segment income for the three months ended March 31, 2024 and 2023 (in thousands, except for percentages):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60" w:type="dxa"/>
            <w:vAlign w:val="bottom"/>
            <w:tcBorders>
              <w:bottom w:val="single" w:sz="8" w:color="auto"/>
            </w:tcBorders>
          </w:tcPr>
          <w:p>
            <w:pPr>
              <w:spacing w:after="0"/>
              <w:rPr>
                <w:sz w:val="16"/>
                <w:szCs w:val="16"/>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60.4 %</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46,678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27,006</w:t>
            </w:r>
          </w:p>
        </w:tc>
        <w:tc>
          <w:tcPr>
            <w:tcW w:w="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72.8 %</w:t>
            </w:r>
          </w:p>
        </w:tc>
      </w:tr>
      <w:tr>
        <w:trPr>
          <w:trHeight w:val="196"/>
        </w:trPr>
        <w:tc>
          <w:tcPr>
            <w:tcW w:w="518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Segment income </w:t>
            </w:r>
            <w:r>
              <w:rPr>
                <w:rFonts w:ascii="Times New Roman" w:cs="Times New Roman" w:eastAsia="Times New Roman" w:hAnsi="Times New Roman"/>
                <w:sz w:val="18"/>
                <w:szCs w:val="18"/>
                <w:color w:val="auto"/>
                <w:vertAlign w:val="superscript"/>
              </w:rPr>
              <w:t>(1)</w:t>
            </w: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36,180</w:t>
            </w:r>
          </w:p>
        </w:tc>
        <w:tc>
          <w:tcPr>
            <w:tcW w:w="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a reconciliation of segment income to consolidated (loss) income before tax refer to “Note 11. Geographic and Segment Information” in the condensed consolidated financial statements in this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Cardiopulmonary net revenue for the three months ended March 31, 2024 increased 14.8% to $155.9 million compared to the three months ended March 31, 2023, with growth across all regions, driven by Essenz Perfusion System sales in the U.S. and Europe, and strong consumables demand worldwide.</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Cardiopulmonary segment income for the three months ended March 31, 2024 was $14.7 million, compared to $9.2 million for the three months ended March 31, 2023. The increase in segment income was primarily due to the increase in net revenue, as described above, partially offset by an increase in the litigation provision related to LivaNova’s 3T Heater-Cooler device of $5.1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Neuromodulation net revenue for the three months ended March 31, 2024 increased 10.9% to $133.9 million compared to the three months ended March 31, 2023, with double-digit growth in the U.S. and Rest of World regions.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Neuromodulation segment income for the three months ended March 31, 2024 was $46.7 million, compared to $27.0 million for the three months ended March 31, 2023. The increase in segment income was primarily due to the increase in net revenue, as described above, as well as $3.8 million from the net favorable change in fair value of the sales-based and milestone-based contingent consideration arrangement associated with the acquisition of ImThera.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 for the three months ended March 31, 2024 and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20" w:type="dxa"/>
            <w:vAlign w:val="bottom"/>
            <w:tcBorders>
              <w:bottom w:val="single" w:sz="8" w:color="auto"/>
            </w:tcBorders>
          </w:tcPr>
          <w:p>
            <w:pPr>
              <w:spacing w:after="0"/>
              <w:rPr>
                <w:sz w:val="16"/>
                <w:szCs w:val="16"/>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the acquisition of raw materials, and components.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Cost of sales as a percentage of net revenue was 29.7% for the three months ended March 31, 2024, a decrease of 4.2 percentage points compared to the three months ended March 31, 2023. The decrease was primarily due to favorable product mix from the wind down of the ACS segment resulting from the 2024 Restructuring Plan, as well as the net impact of the change in fair value of sales-based contingent consideration arrangements totaling $3.2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SG&amp;A expense as a percentage of net revenue was 44.0% for the three months ended March 31, 2024, a decrease of 3.1 percentage points compared to the three months ended March 31, 2023. The decrease was primarily due to a decrease in sales and marketing expenses driven by the wind down of the ACS segment, partially offset by $2.8 million in costs associated with the November 2023 cybersecurity incident, as described above.</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R&amp;D expense as a percentage of net revenue was 15.5% for the three months ended March 31, 2024, a decrease of 3.5 percentage points compared to the three months ended March 31, 2023. The decrease was primarily due to an $8.7 million decrease in costs associated with winding down the Company’s heart failure program, which was substantially completed during the fourth quarter of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expenses primarily consists of the provision for litigation involving LivaNova’s 3T Heater-Cooler device, and restructuring expense.</w:t>
      </w:r>
    </w:p>
    <w:p>
      <w:pPr>
        <w:spacing w:after="0" w:line="1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Other operating expenses as a percentage of net revenue was 5.3% for the three months ended March 31, 2024, an increase of 4.4 percentage points compared to the three months ended March 31, 2023. The increase was primarily due to an $8.5 million increase in restructuring costs resulting from the 2024 Restructuring Plan, as well as a $5.1 million increase in the amount recorded for the litigation provision related to LivaNova’s 3T Heater-Cooler device. For additional information, please refer to “Note 2. Restructuring,” and “Note 6. Commitments and Contingencies,” respectively, in the condensed consolidated financial statements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Interest expense for the three months ended March 31, 2024 increased to $15.9 million, compared to $13.4 million for the three months ended March 31, 2023, primarily due to increases in interest rates, average borrowings, and amortization of debt issuance costs. For further details, refer to “Note 4. Financing Arrangements” in the condensed consolidated financial statements in this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Debt Extinguishment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2025 Notes Repurchase Transaction, during the three months ended March 31, 2024, LivaNova incurred a loss on debt extinguishment of $25.5 million. For additional information, please refer to “Note 4. Financing Arrangements” in the condensed consolidated financial statements in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consists primarily of gains and losses arising from transactions denominated in a currency different from an entity’s functional currency, FX derivative gains and losses, and changes in the fair value of embedded and capped call derivatives.</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was expense of $9.1 million for the three months ended March 31, 2024, compared to income of $25.5 million for the three months ended March 31, 2023. For further details, refer to “Note 12. Supplemental Financial Information” in the condensed consolidated financial statements in this Report.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resident in the UK for tax purposes. LivaNova’s subsidiaries conduct operations and earn income in numerous countries and are subject to the laws of, and varying income tax rates imposed by, the taxing jurisdictions in those countries.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effective income tax rate for the three months ended March 31, 2024 was (22.6)%, compared with 24.3% for the three months ended March 31, 2023. The decrease in the effective tax rate for the three months ended March 31, 2024, compared to the prior year period, was primarily attributable to changes in valuation allowances, year-over-year changes in income before tax in countries with varying statutory tax rates, and certain discrete tax items.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July 11, 2023, the UK Act implemented the Pillar Two framework, providing a minimum effective tax rate of 15%, including both a multinational top-up tax and a domestic top-up tax for accounting periods beginning on or after December 31, 2023. The UK Act also included a transitional safe harbor election for accounting periods beginning on or before December 31, 2026. Draft UK legislation has also been published for a UTPR to be introduced, although not before accounting periods beginning on or after December 31, 2024. The UTPR is intended to ensure that amounts of multinational top-up tax that are not collected under foreign global minimum tax rules can, in certain circumstances, be collected instead in the UK. This minimum tax is treated as a period cost beginning in 2024 and has not had a material impact on the Company's financial results of</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6" w:name="page37"/>
    <w:bookmarkEnd w:id="36"/>
    <w:p>
      <w:pPr>
        <w:jc w:val="both"/>
        <w:spacing w:after="0" w:line="278" w:lineRule="auto"/>
        <w:rPr>
          <w:sz w:val="20"/>
          <w:szCs w:val="20"/>
          <w:color w:val="auto"/>
        </w:rPr>
      </w:pPr>
      <w:r>
        <w:rPr>
          <w:rFonts w:ascii="Times New Roman" w:cs="Times New Roman" w:eastAsia="Times New Roman" w:hAnsi="Times New Roman"/>
          <w:sz w:val="14"/>
          <w:szCs w:val="14"/>
          <w:color w:val="auto"/>
        </w:rPr>
        <w:t>operations for the current period. LivaNova will continue to monitor related guidance in the UK and other jurisdictions that impact LivaNova’s operations. Any material change in tax laws, regulations or policies, or their interpretation and enforcement, including with respect to the Pillar Two framework, could result in a higher effective tax rate and have a material impact on our consolidated statements of (loss) income or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2023 Form 10-K as well as “Note 6. Commitments and Contingencies” in the condensed consolidated financial statements in this Report.</w:t>
      </w:r>
    </w:p>
    <w:p>
      <w:pPr>
        <w:spacing w:after="0" w:line="2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as of March 31, 2024 and December 31, 2023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300" w:type="dxa"/>
            <w:vAlign w:val="bottom"/>
          </w:tcPr>
          <w:p>
            <w:pPr>
              <w:spacing w:after="0"/>
              <w:rPr>
                <w:sz w:val="16"/>
                <w:szCs w:val="16"/>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0"/>
        </w:trPr>
        <w:tc>
          <w:tcPr>
            <w:tcW w:w="72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Availability under the 2021 First Lien Credit Agreement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534,191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391,504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988,158</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327,771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334,983</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712,246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604,753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debt obligations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586,654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82"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March 8, 2024, LivaNova and LivaNova USA entered into Incremental Facility Amendment No. 3, which provides for LivaNova USA to obtain revolving commitments in an aggregate principal amount of $225 million. </w:t>
      </w:r>
      <w:r>
        <w:rPr>
          <w:rFonts w:ascii="Times New Roman" w:cs="Times New Roman" w:eastAsia="Times New Roman" w:hAnsi="Times New Roman"/>
          <w:sz w:val="14"/>
          <w:szCs w:val="14"/>
          <w:color w:val="auto"/>
        </w:rPr>
        <w:t>For additional information, refer to “Note 4. Financing Arrangements” in the condensed consolidated financial statements in this Report.</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The 2029 Notes are senior unsecured obligations of the Company. In connection with pricing the 2029 Notes, the Company entered into privately negotiated capped call transactions with certain financial institutions. The Company used part of the proceeds from the issuance of the 2029 Notes to repurchase $230.0 million aggregate principal amount of the 2025 Notes in privately-negotiated transactions for an aggregate cash repurchase consideration of $270.5 million. Contemporaneously with the 2025 Notes Repurchase Transaction, the Company and the financial institutions party to the 2025 Capped Calls agreed to terminate a portion of the 2025 Capped Calls in a notional amount corresponding to the amount of 2025 Notes repurchased. For additional information on LivaNova’s debt obligations and Capped Call Transactions, refer to “Note 4. Financing Arrangements” in the condensed consolidated financial statements in this Report.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net cash and cash equivalents provided by (used in) operating, investing and financing activities and the net increase in the balance of cash and cash equivalents and restricted cash for the three months ended March 31, 2024 and 2023 (in thousands):</w:t>
      </w: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71"/>
        </w:trPr>
        <w:tc>
          <w:tcPr>
            <w:tcW w:w="70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9,981</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20,757</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3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(6,363)</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(11,484)</w:t>
            </w: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380" w:type="dxa"/>
            <w:vAlign w:val="bottom"/>
            <w:shd w:val="clear" w:color="auto" w:fill="CCEEFF"/>
          </w:tcPr>
          <w:p>
            <w:pPr>
              <w:spacing w:after="0"/>
              <w:rPr>
                <w:sz w:val="15"/>
                <w:szCs w:val="15"/>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37,147</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w w:val="97"/>
              </w:rPr>
              <w:t>(2,954)</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37,811</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Cash provided by operating activities during the three months ended March 31, 2024 decreased by $10.8 million compared to the same prior year period primarily due to changes in operating assets and liabilities totaling $38.5 million, partially offset by an increase in net income adjusted for non-cash items of $11.3 million, a decrease in 3T Heater-Cooler litigation settlement payments of $11.4 million, and an increase in adjustments to the 3T Heater-Cooler litigation provision of $5.1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used in investing activities during the three months ended March 31, 2024 decreased $5.1 million compared to the same prior year period primarily due to a decrease in purchases of equity investments of $5.1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Cash provided by financing activities during the three months ended March 31, 2024 increased $42.4 million compared to the same prior year period, primarily due to net proceeds during the three months ended March 31, 2024 of $46.8 million from debt and derivative transactions associated with the 2029 Notes, 2025 Notes, 2029 Capped Calls and 2025 Capped Calls, as discussed in “Note 4. Financing Arrangements” in the condensed consolidated financial statements in this Report, partially offset by payment of the ALung contingent consideration arrangement of $13.8 million during the three months ended March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Note 5. Derivatives and Risk Management,” “Part I, Item 2. Management’s Discussion and Analysis of Financial Conditions and Results of Operations” and “Part II, Item 1A. Risk Factors” and in LivaNova’s 2023 Form 10-K in “Part II, Item 7. Management’s Discussion and Analysis of Financial Condition and Results of Operations” and “Part I, Item 1A. Risk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w:t>
      </w:r>
    </w:p>
    <w:p>
      <w:pPr>
        <w:spacing w:after="0" w:line="94" w:lineRule="exact"/>
        <w:rPr>
          <w:sz w:val="20"/>
          <w:szCs w:val="20"/>
          <w:color w:val="auto"/>
        </w:rPr>
      </w:pPr>
    </w:p>
    <w:p>
      <w:pPr>
        <w:ind w:left="200" w:hanging="195"/>
        <w:spacing w:after="0"/>
        <w:tabs>
          <w:tab w:leader="none" w:pos="20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Evaluation of Disclosure Controls and Procedures</w:t>
      </w:r>
    </w:p>
    <w:p>
      <w:pPr>
        <w:spacing w:after="0" w:line="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Rules 13a-15(e) and 15d-15(e) of the Exchange Act, that is designed to ensure that information required to be disclosed in the Company’s reports filed under the Exchange Act is recorded, processed, summarized and reported within the time periods specified in the SEC’s rules and forms. This information is also accumulated and communicated to management, including LivaNova’s CEO and CFO, as appropriate, to allow timely decisions regarding required disclosure.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March 31, 2024.</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8" w:name="page39"/>
    <w:bookmarkEnd w:id="38"/>
    <w:p>
      <w:pPr>
        <w:ind w:left="200" w:hanging="195"/>
        <w:spacing w:after="0"/>
        <w:tabs>
          <w:tab w:leader="none" w:pos="20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Changes in Internal Control Over Financial Reporting</w:t>
      </w:r>
    </w:p>
    <w:p>
      <w:pPr>
        <w:spacing w:after="0" w:line="1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changes in LivaNova’s internal control over financial reporting (as defined in Rules 13a-15(f) and 15d-5(f) under the Exchange Act) during the quarter ended March 31, 2024 that have materially affected, or are reasonably likely to materially affect, LivaNova’s internal control over financial reporting.</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a description of LivaNova’s material pending legal and regulatory proceedings and settlements, refer to “Note 6. Commitments and Contingencies” in the Company’s condensed consolidated financial statements included in this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as described below, there have been no material changes in our risk factors from those disclosed in in Part I, Item 1A of the Company’s 2023 Annual Report on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LivaNova’s Indebtedness</w:t>
      </w:r>
    </w:p>
    <w:p>
      <w:pPr>
        <w:spacing w:after="0" w:line="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Paying amounts due with respect to LivaNova’s outstanding 2025 Notes and 2029 Notes on interest payment dates, at maturity and upon exchange or conversion thereof, as applicable, will require a cash payment. LivaNova may not have sufficient cash flow from its business operations to pay when due or be able to raise the funds necessary to pay when due, amounts owed with respect to the 2025 Notes and 2029 Notes and/or any amounts owed under the Company’s revolving credit facility and term facilities, which could adversely affect LivaNova’s business and results of operations.</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June 17, 2020, LivaNova’s wholly-owned subsidiary, LivaNova USA, issued the 2025 Notes, and on March 8, 2024, LivaNova issued the 2029 Notes. The ability to make scheduled payments of interest on, and principal of, to satisfy exchanges for cash or conversions, as applicable,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For further information on LivaNova’s term facilities, please refer to “Part I, Item 2. Management’s Discussion and Analysis of Financial Condition and Results of Operations” of this Report under the section entitled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xml:space="preserve"> If LivaNova is unable to generate enough cash flow to make payments on the 2025 Notes, the 2029 Notes or other indebtedness when due, the Company may be required to adopt one or more alternatives, such as selling assets or obtaining additional debt financing or equity capital on terms that may be onerous or highly dilutive. LivaNova’s ability to refinance the 2025 Notes, the 2029 Notes or other indebtedness, which the Company may need to do in order to satisfy its obligations thereunder, will depend on the capital markets and LivaNova’s financial condition at such time. LivaNova may not be able to engage in these activities on desirable terms or at all, which could result in a default on the 2025 Notes and 2029 Notes and/or LivaNova’s revolving credit facility and term facilities.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holders of the 2025 Notes and 2029 Notes have the right to require LivaNova to repurchase the aforementioned notes upon the occurrence of a fundamental change (as defined in the indentures) at a repurchase price equal to 100% of the principal amount of the 2025 Notes and 2029 Notes to be repurchased, plus accrued and unpaid interest, if any. Upon repurchase of the 2025 Notes and 2029 Notes, LivaNova will be required to make cash payments as required by the indentures. LivaNova may not have enough available cash or be able to obtain financing at the time the Company is required to make repurchases of, or exchange or convert, as applicable, the 2025 Notes and 2029 Notes. LivaNova’s failure to repurchase the 2025 Notes and 2029 Notes or exchange or convert the 2025 Notes and 2029 Notes, as applicable, at a time when the repurchase or exchange or conversion is required by the applicable indentures would constitute a default under such indentures.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LivaNova’s indebtedness including under the 2025 Notes and 2029 Notes, combined with the Company’s other financial obligations and contractual commitments including those under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revolving credit facility or term facilities, could have other important consequences. For example, it could:</w:t>
      </w:r>
    </w:p>
    <w:p>
      <w:pPr>
        <w:spacing w:after="0" w:line="110"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Make LivaNova more vulnerable to adverse changes in government regulations and in the global economy, healthcare and competitive environment;</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Limit the Company’s flexibility in planning for, or reacting to, changes in LivaNova’s business and its markets;</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Place the Company at a disadvantage compared to LivaNova’s competitors who have less debt;</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Limit LivaNova’s ability to borrow additional amounts for working capital, to fund acquisitions and for other general corporate purposes; and</w:t>
      </w:r>
    </w:p>
    <w:p>
      <w:pPr>
        <w:spacing w:after="0" w:line="16" w:lineRule="exact"/>
        <w:rPr>
          <w:rFonts w:ascii="Arial" w:cs="Arial" w:eastAsia="Arial" w:hAnsi="Arial"/>
          <w:sz w:val="17"/>
          <w:szCs w:val="17"/>
          <w:color w:val="auto"/>
        </w:rPr>
      </w:pPr>
    </w:p>
    <w:p>
      <w:pPr>
        <w:ind w:left="500" w:hanging="240"/>
        <w:spacing w:after="0"/>
        <w:tabs>
          <w:tab w:leader="none" w:pos="50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Make a sale of the Company less attractive to buyers or more difficult to complete.</w:t>
      </w:r>
    </w:p>
    <w:p>
      <w:pPr>
        <w:spacing w:after="0" w:line="8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including under the 2025 Notes and 2029 Notes, would increase.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For additional information, please refer to “Note 4. Financing Arrangements” in LivaNova’s condensed consolidated financial statements included in this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exchange or conversion features of the 2025 Notes and 2029 Notes, as applicable, if triggered, may adversely affect LivaNova’s liquidity and operating results.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If the conditional exchange feature of the 2025 Notes is triggered, holders of the 2025 Notes are entitled to exchange the 2025 Notes at any time during specified periods, at their option. Holders of the 2025 Notes for example, are entitled to exchange the 2025 Notes during the current calendar quarter if the closing price of LivaNova’s ordinary shares for at least 20 trading days (whether or not consecutive) during the last 30 consecutive trading days of the immediately preceding calendar quarter is greater than or equal to 130% of the exchange price – the exchange price being $60.98 per share and the “conversion trigger” (subject to other conditions per the indenture governing the 2025 Notes) being $79.27 per share – on each applicable trading day. The exchange condition was not satisfied on December 31, 2023, and therefore, exchangeability was not an option from January 1, 2024, through March 31, 2024. If holders elect to exchange their 2025 Notes during future periods following the satisfaction of an exchange condition as laid out in the indenture governing the 2025 Notes, LivaNova would be required to settle its exchange obligation through the payment of cash, which could adversely affect the Company’s liquidity.</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Holders of the 2029 Notes may convert their 2029 Notes at their option at any time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LivaNova’s ordinary shares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the trading price per $1,000 principal amount of notes for each trading day of the Convertible Notes Measurement Period was less than 98% of the product of the last reported sale price of LivaNova’s ordinary shares and the conversion rate on each such trading day; (3) if LivaNova calls such 2029 Notes for redemption, at any time prior to the close of business on the second scheduled trading day immediately preceding the redemption date, but only with respect to the 2029 Notes called (or deemed called) for redemption; or (4) upon the occurrence of specified corporate events. On or after December 15, 2028 until the close of business on the second scheduled trading day immediately preceding the maturity date, holders may convert their 2029 Notes at any time, regardless of the foregoing circumstances. 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Such settlement of a conversion for cash could adversely affect the Company’s liquidity.</w:t>
      </w:r>
    </w:p>
    <w:p>
      <w:pPr>
        <w:spacing w:after="0" w:line="6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effective interest rate and related interest expense reported in LivaNova’s consolidated financial statement of operations is significantly greater than the stated interest rate of the 2025 Notes and 2029 Notes and may result in volatility to the Company’s reported financial results, which could adversely affect the price at which LivaNova’s ordinary shares trade.</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will settle exchanges of the 2025 Notes entirely in cash. Additionally, 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Accordingly, the exchange or conversion feature, as applicable, that is part of the 2025 Notes and 2029 Notes is accounted for as a derivative pursuant to accounting standards relating to derivative instruments. This resulted in an initial accounting valuation of the exchange or conversion feature, as applicable, which was bifurcated from the debt component of the 2025 Notes and 2029 Notes, resulting in an original issue discount. The original issue discount is amortized and recognized as a component of interest expense over the term of the 2025 Notes and 2029 Notes, which results in an effective interest rate reported in LivaNova’s consolidated statements of operations in excess of the stated interest rate of the 2025 Notes and 2029 Notes. Although this accounting treatment does not affect the amount of cash interest paid to holders of the 2025 Notes and 2029 Notes or LivaNova’s cash flows, it reduces the Company’s earnings and could adversely affect the price at which its ordinary shares trade.</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Additionally, for each financial statement period after issuance of the 2025 Notes and 2029 Notes, a derivative gain or loss is and will be reported in LivaNova’s consolidated statements of (loss) income to the extent the valuations of the exchange feature and conversion feature, as applicable, changes from the previous period. The 2025 Capped Calls and 2029 Capped Calls described below and elsewhere in this Report are also accounted for as derivative instruments. The valuation of the exchange feature of the 2025 Notes and 2025 Capped Calls utilizes significant observable and unobservable market inputs, including</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jc w:val="both"/>
        <w:spacing w:after="0" w:line="273" w:lineRule="auto"/>
        <w:rPr>
          <w:sz w:val="20"/>
          <w:szCs w:val="20"/>
          <w:color w:val="auto"/>
        </w:rPr>
      </w:pPr>
      <w:r>
        <w:rPr>
          <w:rFonts w:ascii="Times New Roman" w:cs="Times New Roman" w:eastAsia="Times New Roman" w:hAnsi="Times New Roman"/>
          <w:sz w:val="14"/>
          <w:szCs w:val="14"/>
          <w:color w:val="auto"/>
        </w:rPr>
        <w:t>stock price, stock price volatility, risk-free interest rate, and time to expiration of the 2025 Notes. The valuation of the conversion feature of the 2029 Notes and 2029 Capped Calls similarly utilizes significant observable and unobservable market inputs, including stock price, expected volatility, risk-free interest rate, expected dividend yield, and time to expiration of the 2029 Notes. The change in input values at the current period end compared to the previous period end may result in a material change in the respective valuations and the gain or loss resulting from the exchange feature of the 2025 Notes and 2025 Capped Calls and the conversion feature of the 2029 Notes and 2029 Capped Calls, as applicable, and may not completely offset each other. As such, there may be a material net impact on LivaNova’s consolidated statements of operations, which could adversely affect the price at which its ordinary shares trade.</w:t>
      </w:r>
    </w:p>
    <w:p>
      <w:pPr>
        <w:spacing w:after="0" w:line="4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arbitrage or hedging strategy by purchasers of the 2025 Notes and 2029 Notes and Option Counterparties in connection with LivaNova’s 2025 Capped Calls and 2029 Capped Calls may affect the value of LivaNova’s ordinary shares.</w:t>
      </w:r>
    </w:p>
    <w:p>
      <w:pPr>
        <w:spacing w:after="0" w:line="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expects that many investors in, and potential purchasers of, the 2025 Notes and 2029 Notes will employ, or seek to employ, an arbitrage strategy with respect to the 2025 Notes and 2029 Notes. Investors would typically implement such a strategy by selling short LivaNova’s ordinary shares underlying the 2025 Notes and 2029 Notes and dynamically adjusting their short position while continuing to hold the 2025 Notes and 2029 Notes. Investors may also implement this type of strategy by entering into swaps or options on LivaNova’s ordinary shares in lieu of or in addition to selling short the Company’s ordinary shares. This activity could decrease, or reduce the size of any increase in, the market price of LivaNova’s ordinary shares at that time.</w:t>
      </w:r>
    </w:p>
    <w:p>
      <w:pPr>
        <w:spacing w:after="0" w:line="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connection with the pricing of the 2025 Notes and 2029 Notes, LivaNova entered into the 2025 Capped Calls and 2029 Capped Calls, respectively. The 2025 Capped Calls and 2029 Capped Calls are expected generally to offset cash payments due upon exchange of the 2025 Notes and to compensate (through the payment of cash to LivaNova) for potential dilution to the Company’s ordinary shares, or to offset cash payments due, upon conversion of the 2029 Notes in excess of the principal amount thereof in the event that the market price per ordinary share of the Company at the time of exchange of the 2025 Notes or conversion of the 2029 Notes, respectively, is greater than the strike price under the 2025 Capped Calls or 2029 Capped Calls, respectively, with such offset subject to a cap based on the respective cap prices. It is LivaNova’s understanding that the Option Counterparties, or their respective affiliates, in connection with establishing their initial hedges of the 2025 Capped Calls and 2029 Capped Calls, purchased LivaNova’s ordinary shares and/or entered into various derivative transactions with respect to the Company’s ordinary shares concurrently with or shortly after the pricing of the 2025 Notes and 2029 Notes. The Option Counterparties or their respective affiliates may modify these initial hedge positions by entering into or unwinding various derivatives with respect to LivaNova’s ordinary shares and/or purchasing or selling its ordinary shares or other of LivaNova securities in secondary market transactions prior to the maturity of the 2025 Notes and 2029 Notes (and are likely to do so during any observation period related to an exchange of the 2025 Notes or upon a repurchase or redemption of the 2025 Notes or related to a conversion of the 2029 Notes or upon a repurchase of the 2029 Notes by LivaNova, if LivaNova unwinds a corresponding portion of the 2025 Capped Calls or 2029 Capped Calls). This activity could cause or avoid an increase or decrease in the market price of LivaNova’s ordinary shares at that time.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counterparty risk with respect to the 2025 Capped Calls and 2029 Capped Calls.</w:t>
      </w:r>
    </w:p>
    <w:p>
      <w:pPr>
        <w:spacing w:after="0" w:line="10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Option Counterparties are financial institutions, and LivaNova is subject to the risk that they might default under the 2025 Capped Calls and 2029 Capped Calls. LivaNova’s exposure to the credit risk of the Option Counterparties is not secured by any collateral.</w:t>
      </w:r>
    </w:p>
    <w:p>
      <w:pPr>
        <w:spacing w:after="0" w:line="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LivaNova will become an unsecured creditor in those proceedings, with a claim equal to the Company’s exposure at that time under the 2025 Capped Calls and/or 2029 Capped Calls with that Option Counterparty.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than the Company currently anticipates to settle exchanges or conversions of the 2025 Notes, and to pay more cash or suffer more dilution than the Company currently anticipates with respect to the ordinary shares upon conversions of the 2029 Notes, and the effect of which would not be compensated for by the Company. LivaNova can provide no assurances as to the financial stability or viability of the Option Counterparties.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quarterly reports, among other things, certain types of dealings with Iran and other entities, including transactions or dealings with government-owned entities, even when those activities are lawful and do not involve U.S. persons. Two of LivaNova’s non-U.S. subsidiaries currently sells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gross revenue and net profits attributable to the above-mentioned Iranian activities were $3.7 million and $1.9 million, respectively, for the three months ended March 31, 2024.</w:t>
      </w:r>
    </w:p>
    <w:p>
      <w:pPr>
        <w:spacing w:after="0" w:line="10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believes its activities are consistent with applicable law, including U.S., UK, EU, and other applicable sanctions laws, though such laws are complex and continue to evolve rapidly. The Company intends to continue its business in Iran.</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10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Report. Exhibits marked with the cross symbol (†), if any, are management contracts or compensatory plans or arrangements filed pursuant to Item 601(b)(10)(iii) of Regulation S-K.</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520" w:type="dxa"/>
            <w:vAlign w:val="bottom"/>
            <w:vMerge w:val="restart"/>
          </w:tcPr>
          <w:p>
            <w:pPr>
              <w:ind w:left="47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0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Borders>
              <w:right w:val="single" w:sz="8" w:color="CCEEFF"/>
            </w:tcBorders>
            <w:gridSpan w:val="2"/>
            <w:shd w:val="clear" w:color="auto" w:fill="CCEEFF"/>
          </w:tcPr>
          <w:p>
            <w:pPr>
              <w:ind w:left="20"/>
              <w:spacing w:after="0" w:line="153"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80" w:type="dxa"/>
            <w:vAlign w:val="bottom"/>
            <w:shd w:val="clear" w:color="auto" w:fill="CCEEFF"/>
          </w:tcPr>
          <w:p>
            <w:pPr>
              <w:spacing w:after="0"/>
              <w:rPr>
                <w:sz w:val="13"/>
                <w:szCs w:val="13"/>
                <w:color w:val="auto"/>
              </w:rPr>
            </w:pP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Indenture, dated as of March 8, 2024 between LivaNova PLC and Citibank, N.A., as trustee, incorporated by reference to Exhibit 4.1 of the Company’s current Report on Form 8-K,</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left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filed on March 8, 2024</w:t>
            </w:r>
          </w:p>
        </w:tc>
        <w:tc>
          <w:tcPr>
            <w:tcW w:w="0" w:type="dxa"/>
            <w:vAlign w:val="bottom"/>
          </w:tcPr>
          <w:p>
            <w:pPr>
              <w:spacing w:after="0"/>
              <w:rPr>
                <w:sz w:val="1"/>
                <w:szCs w:val="1"/>
                <w:color w:val="auto"/>
              </w:rPr>
            </w:pPr>
          </w:p>
        </w:tc>
      </w:tr>
      <w:tr>
        <w:trPr>
          <w:trHeight w:val="149"/>
        </w:trPr>
        <w:tc>
          <w:tcPr>
            <w:tcW w:w="260" w:type="dxa"/>
            <w:vAlign w:val="bottom"/>
            <w:gridSpan w:val="2"/>
          </w:tcPr>
          <w:p>
            <w:pPr>
              <w:ind w:left="20"/>
              <w:spacing w:after="0" w:line="149" w:lineRule="exact"/>
              <w:rPr>
                <w:rFonts w:ascii="Times New Roman" w:cs="Times New Roman" w:eastAsia="Times New Roman" w:hAnsi="Times New Roman"/>
                <w:sz w:val="14"/>
                <w:szCs w:val="14"/>
                <w:color w:val="0000FF"/>
              </w:rPr>
            </w:pPr>
            <w:hyperlink r:id="rId6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Global Note, representing LivaNova’s 2.50% convertible senior notes due 2029 (included in Exhibit 4.1 of the Company’s current Report on Form 8-K, filed on March 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Vladimir Makatsaria Employment Agreement, dated February 1, 2024</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3"/>
          </w:tcPr>
          <w:p>
            <w:pPr>
              <w:ind w:left="20"/>
              <w:spacing w:after="0" w:line="149" w:lineRule="exact"/>
              <w:rPr>
                <w:rFonts w:ascii="Times New Roman" w:cs="Times New Roman" w:eastAsia="Times New Roman" w:hAnsi="Times New Roman"/>
                <w:sz w:val="14"/>
                <w:szCs w:val="14"/>
                <w:color w:val="0000FF"/>
              </w:rPr>
            </w:pPr>
            <w:hyperlink r:id="rId6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Confirmation for Capped Call Transactions, incorporated by reference to Exhibit 10.1 of the Company’s current Report on Form 8-K, filed on March 8, 2024.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3"/>
            <w:shd w:val="clear" w:color="auto" w:fill="CCEEFF"/>
          </w:tcPr>
          <w:p>
            <w:pPr>
              <w:ind w:left="20"/>
              <w:spacing w:after="0" w:line="155"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Incremental Facility Amendment No. 3 to Credit Agreement, dated as of March 8, 2024, by and among LivaNova Plc, LivaNova USA, Inc., the Third Incremental Amendment</w:t>
            </w:r>
          </w:p>
        </w:tc>
        <w:tc>
          <w:tcPr>
            <w:tcW w:w="0" w:type="dxa"/>
            <w:vAlign w:val="bottom"/>
          </w:tcPr>
          <w:p>
            <w:pPr>
              <w:spacing w:after="0"/>
              <w:rPr>
                <w:sz w:val="1"/>
                <w:szCs w:val="1"/>
                <w:color w:val="auto"/>
              </w:rPr>
            </w:pPr>
          </w:p>
        </w:tc>
      </w:tr>
      <w:tr>
        <w:trPr>
          <w:trHeight w:val="114"/>
        </w:trPr>
        <w:tc>
          <w:tcPr>
            <w:tcW w:w="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0000FF"/>
              <w:right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left w:val="single" w:sz="8" w:color="CCEEFF"/>
            </w:tcBorders>
            <w:shd w:val="clear" w:color="auto" w:fill="CCEEFF"/>
          </w:tcPr>
          <w:p>
            <w:pPr>
              <w:spacing w:after="0"/>
              <w:rPr>
                <w:sz w:val="9"/>
                <w:szCs w:val="9"/>
                <w:color w:val="auto"/>
              </w:rPr>
            </w:pPr>
          </w:p>
        </w:tc>
        <w:tc>
          <w:tcPr>
            <w:tcW w:w="10520" w:type="dxa"/>
            <w:vAlign w:val="bottom"/>
            <w:tcBorders>
              <w:top w:val="single" w:sz="8" w:color="CCEEFF"/>
            </w:tcBorders>
            <w:shd w:val="clear" w:color="auto" w:fill="CCEEFF"/>
          </w:tcPr>
          <w:p>
            <w:pPr>
              <w:ind w:left="120"/>
              <w:spacing w:after="0" w:line="114" w:lineRule="exact"/>
              <w:rPr>
                <w:sz w:val="20"/>
                <w:szCs w:val="20"/>
                <w:color w:val="auto"/>
              </w:rPr>
            </w:pPr>
            <w:r>
              <w:rPr>
                <w:rFonts w:ascii="Times New Roman" w:cs="Times New Roman" w:eastAsia="Times New Roman" w:hAnsi="Times New Roman"/>
                <w:sz w:val="13"/>
                <w:szCs w:val="13"/>
                <w:color w:val="auto"/>
              </w:rPr>
              <w:t>Revolving Lenders, Goldman Sachs Bank USA, the Term Lenders parties hereto, the Issuing Banks, the Swingline Lenders and, for purposes of Sections 7 and 9 only, the other Loan</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left w:val="single" w:sz="8" w:color="CCEEFF"/>
            </w:tcBorders>
            <w:shd w:val="clear" w:color="auto" w:fill="CCEEFF"/>
          </w:tcPr>
          <w:p>
            <w:pPr>
              <w:spacing w:after="0"/>
              <w:rPr>
                <w:sz w:val="16"/>
                <w:szCs w:val="16"/>
                <w:color w:val="auto"/>
              </w:rPr>
            </w:pPr>
          </w:p>
        </w:tc>
        <w:tc>
          <w:tcPr>
            <w:tcW w:w="10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Parties as of the date hereof., incorporated by reference to Exhibit 10.2 of the Company’s current Report on Form 8-K filed on March 8, 2024.</w:t>
            </w:r>
          </w:p>
        </w:tc>
        <w:tc>
          <w:tcPr>
            <w:tcW w:w="0" w:type="dxa"/>
            <w:vAlign w:val="bottom"/>
          </w:tcPr>
          <w:p>
            <w:pPr>
              <w:spacing w:after="0"/>
              <w:rPr>
                <w:sz w:val="1"/>
                <w:szCs w:val="1"/>
                <w:color w:val="auto"/>
              </w:rPr>
            </w:pPr>
          </w:p>
        </w:tc>
      </w:tr>
      <w:tr>
        <w:trPr>
          <w:trHeight w:val="149"/>
        </w:trPr>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420" w:type="dxa"/>
            <w:vAlign w:val="bottom"/>
            <w:tcBorders>
              <w:left w:val="single" w:sz="8" w:color="CCEEFF"/>
            </w:tcBorders>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Borders>
              <w:left w:val="single" w:sz="8" w:color="CCEEFF"/>
            </w:tcBorders>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4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9"/>
              </w:rPr>
              <w:t>101*</w:t>
            </w: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Condensed Consolidated Statements of (Loss) Income for the three months ended</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March 31, 2024 and 2023, (ii) the Condensed Consolidated Statements of Comprehensive (Loss) Income for the three months ended March 31, 2024 and 2023, (iii) the Condensed</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left w:val="single" w:sz="8" w:color="CCEEFF"/>
            </w:tcBorders>
            <w:shd w:val="clear" w:color="auto" w:fill="CCEEFF"/>
          </w:tcPr>
          <w:p>
            <w:pPr>
              <w:spacing w:after="0"/>
              <w:rPr>
                <w:sz w:val="12"/>
                <w:szCs w:val="12"/>
                <w:color w:val="auto"/>
              </w:rPr>
            </w:pPr>
          </w:p>
        </w:tc>
        <w:tc>
          <w:tcPr>
            <w:tcW w:w="1052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Consolidated Balance Sheet as of March 31, 2024 and December 31, 2023, (iv) the Condensed Consolidated Statements of Cash Flows for the three months ended March 31, 2024 and</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left w:val="single" w:sz="8" w:color="CCEEFF"/>
            </w:tcBorders>
            <w:shd w:val="clear" w:color="auto" w:fill="CCEEFF"/>
          </w:tcPr>
          <w:p>
            <w:pPr>
              <w:spacing w:after="0"/>
              <w:rPr>
                <w:sz w:val="15"/>
                <w:szCs w:val="15"/>
                <w:color w:val="auto"/>
              </w:rPr>
            </w:pPr>
          </w:p>
        </w:tc>
        <w:tc>
          <w:tcPr>
            <w:tcW w:w="10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2023, and (vi) the Notes to the Condensed Consolidated Financial Statements</w:t>
            </w:r>
          </w:p>
        </w:tc>
        <w:tc>
          <w:tcPr>
            <w:tcW w:w="0" w:type="dxa"/>
            <w:vAlign w:val="bottom"/>
          </w:tcPr>
          <w:p>
            <w:pPr>
              <w:spacing w:after="0"/>
              <w:rPr>
                <w:sz w:val="1"/>
                <w:szCs w:val="1"/>
                <w:color w:val="auto"/>
              </w:rPr>
            </w:pPr>
          </w:p>
        </w:tc>
      </w:tr>
      <w:tr>
        <w:trPr>
          <w:trHeight w:val="184"/>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99"/>
              </w:rPr>
              <w:t>104*</w:t>
            </w:r>
          </w:p>
        </w:tc>
        <w:tc>
          <w:tcPr>
            <w:tcW w:w="420" w:type="dxa"/>
            <w:vAlign w:val="bottom"/>
          </w:tcPr>
          <w:p>
            <w:pPr>
              <w:spacing w:after="0"/>
              <w:rPr>
                <w:sz w:val="16"/>
                <w:szCs w:val="16"/>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2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5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4" w:name="page45"/>
    <w:bookmarkEnd w:id="44"/>
    <w:p>
      <w:pPr>
        <w:ind w:left="53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560" w:val="left"/>
          <w:tab w:leader="none" w:pos="2140" w:val="left"/>
        </w:tabs>
        <w:rPr>
          <w:sz w:val="20"/>
          <w:szCs w:val="20"/>
          <w:color w:val="auto"/>
        </w:rPr>
      </w:pPr>
      <w:r>
        <w:rPr>
          <w:rFonts w:ascii="Times New Roman" w:cs="Times New Roman" w:eastAsia="Times New Roman" w:hAnsi="Times New Roman"/>
          <w:sz w:val="14"/>
          <w:szCs w:val="14"/>
          <w:color w:val="auto"/>
        </w:rPr>
        <w:t>Date: May 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28575</wp:posOffset>
            </wp:positionV>
            <wp:extent cx="332803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LIVANOVA PLC</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1560" w:val="left"/>
          <w:tab w:leader="none" w:pos="2140" w:val="left"/>
        </w:tabs>
        <w:rPr>
          <w:sz w:val="20"/>
          <w:szCs w:val="20"/>
          <w:color w:val="auto"/>
        </w:rPr>
      </w:pPr>
      <w:r>
        <w:rPr>
          <w:rFonts w:ascii="Times New Roman" w:cs="Times New Roman" w:eastAsia="Times New Roman" w:hAnsi="Times New Roman"/>
          <w:sz w:val="14"/>
          <w:szCs w:val="14"/>
          <w:color w:val="auto"/>
        </w:rPr>
        <w:t>Date: May 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28575</wp:posOffset>
            </wp:positionV>
            <wp:extent cx="332803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3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320"/>
          </w:cols>
          <w:pgMar w:left="300" w:top="728" w:right="1279" w:bottom="1440"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Vladimir Makatsaria, certify that:</w:t>
      </w:r>
    </w:p>
    <w:p>
      <w:pPr>
        <w:spacing w:after="0" w:line="94" w:lineRule="exact"/>
        <w:rPr>
          <w:sz w:val="20"/>
          <w:szCs w:val="20"/>
          <w:color w:val="auto"/>
        </w:rPr>
      </w:pPr>
    </w:p>
    <w:p>
      <w:pPr>
        <w:ind w:left="440" w:hanging="180"/>
        <w:spacing w:after="0"/>
        <w:tabs>
          <w:tab w:leader="none" w:pos="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March 31,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May 3, 2024</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March 31,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May 3, 2024</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Vladimir Makatsaria,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419"/>
        <w:spacing w:after="0" w:line="413" w:lineRule="auto"/>
        <w:tabs>
          <w:tab w:leader="none" w:pos="64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and its consolidated subsidiaries for the quarterly period ended March 31, 2024,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May 3, 2024</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2" w:lineRule="exact"/>
        <w:rPr>
          <w:sz w:val="20"/>
          <w:szCs w:val="20"/>
          <w:color w:val="auto"/>
        </w:rPr>
      </w:pPr>
    </w:p>
    <w:p>
      <w:pPr>
        <w:ind w:firstLine="255"/>
        <w:spacing w:after="0" w:line="30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2"/>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61" Type="http://schemas.openxmlformats.org/officeDocument/2006/relationships/hyperlink" Target="https://www.sec.gov/Archives/edgar/data/1639691/000163969124000034/exhbit41-97987069v14xmon.htm" TargetMode="External"/><Relationship Id="rId62" Type="http://schemas.openxmlformats.org/officeDocument/2006/relationships/hyperlink" Target="https://www.sec.gov/Archives/edgar/data/1639691/000163969124000034/exhibt101-monetaxformofc.htm" TargetMode="External"/><Relationship Id="rId63" Type="http://schemas.openxmlformats.org/officeDocument/2006/relationships/hyperlink" Target="https://www.sec.gov/Archives/edgar/data/1639691/000163969124000034/exhibit102-parts1and2x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2024-05-03T11:05:05Z</dcterms:created>
  <dcterms:modified xsi:type="dcterms:W3CDTF">2024-05-03T11:05:05Z</dcterms:modified>
</cp:coreProperties>
</file>