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March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37"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80" w:firstLine="648"/>
        <w:spacing w:after="0" w:line="264" w:lineRule="auto"/>
        <w:rPr>
          <w:sz w:val="20"/>
          <w:szCs w:val="20"/>
          <w:color w:val="auto"/>
        </w:rPr>
      </w:pPr>
      <w:r>
        <w:rPr>
          <w:rFonts w:ascii="Times New Roman" w:cs="Times New Roman" w:eastAsia="Times New Roman" w:hAnsi="Times New Roman"/>
          <w:sz w:val="17"/>
          <w:szCs w:val="17"/>
          <w:color w:val="auto"/>
        </w:rPr>
        <w:t>On March 22, 2023, LivaNova PLC (the “Company”) learned that the independent Statistical Analysis Committee advised that trial enrollment in the Company’s RECOVER difficult-to-treat depression trial should continue on from 475 to 500 unipolar patients, in line with the protocol. As has been previously discussed, the study was designed with frequent interim analyses, which occur every 25 patients. The interim analysis assesses if predictive probability of success has been reached for the unipolar cohort of the study, at which point the randomized controlled trial enrollment will cease.</w:t>
      </w:r>
    </w:p>
    <w:p>
      <w:pPr>
        <w:spacing w:after="0" w:line="190" w:lineRule="exact"/>
        <w:rPr>
          <w:sz w:val="20"/>
          <w:szCs w:val="20"/>
          <w:color w:val="auto"/>
        </w:rPr>
      </w:pPr>
    </w:p>
    <w:p>
      <w:pPr>
        <w:ind w:right="560" w:firstLine="648"/>
        <w:spacing w:after="0" w:line="223" w:lineRule="auto"/>
        <w:rPr>
          <w:sz w:val="20"/>
          <w:szCs w:val="20"/>
          <w:color w:val="auto"/>
        </w:rPr>
      </w:pPr>
      <w:r>
        <w:rPr>
          <w:rFonts w:ascii="Times New Roman" w:cs="Times New Roman" w:eastAsia="Times New Roman" w:hAnsi="Times New Roman"/>
          <w:sz w:val="18"/>
          <w:szCs w:val="18"/>
          <w:color w:val="auto"/>
        </w:rPr>
        <w:t>On March 23, 2023, LivaNova randomized the 500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unipolar patient into the trial. Upon receipt of the 12-month follow-up data for all 500 patients, the Company will conduct a final analysis for the unipolar cohort, culminating in a publication on the study results for that cohort.</w:t>
      </w:r>
    </w:p>
    <w:p>
      <w:pPr>
        <w:spacing w:after="0" w:line="21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The information furnished pursuant to this Current Report on Form 8-K shall not be considered “filed” for purposes of Section 18 of the Securities Exchange Act of 1934, as amended, or otherwise subject to the liabilities of that section, nor shall it be incorporated by reference into any filing by the Company under the Securities Act of 1933, as amended, or under the Securities Exchange Act of 1934, as amended, unless the Company expressly sets forth by specific reference in such filing that such information is to be considered “filed” or incorporated by reference therein.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280"/>
        <w:spacing w:after="0"/>
        <w:tabs>
          <w:tab w:leader="none" w:pos="5260" w:val="left"/>
        </w:tabs>
        <w:rPr>
          <w:sz w:val="20"/>
          <w:szCs w:val="20"/>
          <w:color w:val="auto"/>
        </w:rPr>
      </w:pPr>
      <w:r>
        <w:rPr>
          <w:rFonts w:ascii="Times New Roman" w:cs="Times New Roman" w:eastAsia="Times New Roman" w:hAnsi="Times New Roman"/>
          <w:sz w:val="18"/>
          <w:szCs w:val="18"/>
          <w:color w:val="auto"/>
        </w:rPr>
        <w:t>Date: March 23, 2023</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jc w:val="right"/>
        <w:ind w:right="328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Senior Vice President &amp; Chief Legal Officer</w:t>
      </w:r>
    </w:p>
    <w:sectPr>
      <w:pgSz w:w="11900" w:h="16838" w:orient="portrait"/>
      <w:cols w:equalWidth="0" w:num="1">
        <w:col w:w="10940"/>
      </w:cols>
      <w:pgMar w:left="320" w:top="100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2023-03-24T08:16:16Z</dcterms:created>
  <dcterms:modified xsi:type="dcterms:W3CDTF">2023-03-24T08:16:16Z</dcterms:modified>
</cp:coreProperties>
</file>