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325120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2773045</wp:posOffset>
            </wp:positionH>
            <wp:positionV relativeFrom="paragraph">
              <wp:posOffset>62865</wp:posOffset>
            </wp:positionV>
            <wp:extent cx="18135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5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90805</wp:posOffset>
            </wp:positionV>
            <wp:extent cx="18307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33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Date of Report (Date of earliest event reported): August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64135</wp:posOffset>
            </wp:positionV>
            <wp:extent cx="18307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215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263525</wp:posOffset>
            </wp:positionV>
            <wp:extent cx="147510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62865</wp:posOffset>
            </wp:positionV>
            <wp:extent cx="183070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England and Wales</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27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140" w:type="dxa"/>
            <w:vAlign w:val="bottom"/>
          </w:tcPr>
          <w:p>
            <w:pPr>
              <w:jc w:val="center"/>
              <w:ind w:right="1110"/>
              <w:spacing w:after="0" w:line="202" w:lineRule="exact"/>
              <w:rPr>
                <w:sz w:val="20"/>
                <w:szCs w:val="20"/>
                <w:color w:val="auto"/>
              </w:rPr>
            </w:pPr>
            <w:r>
              <w:rPr>
                <w:rFonts w:ascii="Arial" w:cs="Arial" w:eastAsia="Arial" w:hAnsi="Arial"/>
                <w:sz w:val="18"/>
                <w:szCs w:val="18"/>
                <w:color w:val="auto"/>
                <w:w w:val="90"/>
              </w:rPr>
              <w:t>(State or Other Jurisdiction</w:t>
            </w:r>
          </w:p>
        </w:tc>
        <w:tc>
          <w:tcPr>
            <w:tcW w:w="35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right="1050"/>
              <w:spacing w:after="0"/>
              <w:rPr>
                <w:sz w:val="20"/>
                <w:szCs w:val="20"/>
                <w:color w:val="auto"/>
              </w:rPr>
            </w:pPr>
            <w:r>
              <w:rPr>
                <w:rFonts w:ascii="Arial" w:cs="Arial" w:eastAsia="Arial" w:hAnsi="Arial"/>
                <w:sz w:val="18"/>
                <w:szCs w:val="18"/>
                <w:color w:val="auto"/>
                <w:w w:val="94"/>
              </w:rPr>
              <w:t>of Incorporation)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186690</wp:posOffset>
            </wp:positionV>
            <wp:extent cx="183070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363"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5 Merchant Square</w:t>
      </w:r>
    </w:p>
    <w:p>
      <w:pPr>
        <w:jc w:val="center"/>
        <w:ind w:right="-659"/>
        <w:spacing w:after="0" w:line="234" w:lineRule="auto"/>
        <w:rPr>
          <w:sz w:val="20"/>
          <w:szCs w:val="20"/>
          <w:color w:val="auto"/>
        </w:rPr>
      </w:pPr>
      <w:r>
        <w:rPr>
          <w:rFonts w:ascii="Arial" w:cs="Arial" w:eastAsia="Arial" w:hAnsi="Arial"/>
          <w:sz w:val="18"/>
          <w:szCs w:val="18"/>
          <w:b w:val="1"/>
          <w:bCs w:val="1"/>
          <w:color w:val="auto"/>
        </w:rPr>
        <w:t>North Wharf Road</w:t>
      </w:r>
    </w:p>
    <w:p>
      <w:pPr>
        <w:jc w:val="center"/>
        <w:ind w:right="-659"/>
        <w:spacing w:after="0" w:line="235" w:lineRule="auto"/>
        <w:rPr>
          <w:sz w:val="20"/>
          <w:szCs w:val="20"/>
          <w:color w:val="auto"/>
        </w:rPr>
      </w:pPr>
      <w:r>
        <w:rPr>
          <w:rFonts w:ascii="Arial" w:cs="Arial" w:eastAsia="Arial" w:hAnsi="Arial"/>
          <w:sz w:val="18"/>
          <w:szCs w:val="18"/>
          <w:b w:val="1"/>
          <w:bCs w:val="1"/>
          <w:color w:val="auto"/>
        </w:rPr>
        <w:t>London, W2 1AY</w:t>
      </w:r>
    </w:p>
    <w:p>
      <w:pPr>
        <w:jc w:val="center"/>
        <w:ind w:right="-659"/>
        <w:spacing w:after="0" w:line="235"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17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203 786 5275</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62865</wp:posOffset>
            </wp:positionV>
            <wp:extent cx="183070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spacing w:after="0"/>
        <w:tabs>
          <w:tab w:leader="none" w:pos="2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August 1, 2016, the Board of Directors of LivaNova Plc ("LivaNova" or the "Company") approved the authorization of a share repurchase program of up to $150 million (the "Share Repurchase Program".) The Share Repurchase Program authorizes the Company to repurchase up to $30 million of the Company's ordinary shares from September 1, 2016 through December 31, 2016 and up to a total of $150 million (inclusive of the foregoing $30 million) between September 1, 2016 and December 31, 2018. The Share Repurchase Program is in accordance with an authority approved by the Company's shareholders at its annual general meeting on June 15, 2016. Purchases of the ordinary shares under the Share Repurchase Program will be carried out on NASDAQ and will be notified to the market through a UK Regulatory Information Service on the business day following the calendar day on which the repurchase occurred. Ordinary shares repurchased by the Company will be cancelled. Until further notice, the Share Repurchase Program will be conducted pursuant to Rule 10b5-1 under the US Securities Exchange Act and may therefore continue during closed periods in accordance with applicable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41"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August 2,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-10160</wp:posOffset>
            </wp:positionV>
            <wp:extent cx="1857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Catherine Moroz</w:t>
      </w:r>
    </w:p>
    <w:p>
      <w:pPr>
        <w:spacing w:after="0" w:line="23"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2019-12-09T02:05:48Z</dcterms:created>
  <dcterms:modified xsi:type="dcterms:W3CDTF">2019-12-09T02:05:48Z</dcterms:modified>
</cp:coreProperties>
</file>