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31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89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892540"/>
                    </a:xfrm>
                    <a:prstGeom prst="rect">
                      <a:avLst/>
                    </a:prstGeom>
                    <a:noFill/>
                  </pic:spPr>
                </pic:pic>
              </a:graphicData>
            </a:graphic>
          </wp:anchor>
        </w:drawing>
      </w:r>
    </w:p>
    <w:p>
      <w:pPr>
        <w:spacing w:after="0" w:line="96" w:lineRule="exact"/>
        <w:rPr>
          <w:sz w:val="24"/>
          <w:szCs w:val="24"/>
          <w:color w:val="auto"/>
        </w:rPr>
      </w:pPr>
    </w:p>
    <w:p>
      <w:pPr>
        <w:sectPr>
          <w:pgSz w:w="11900" w:h="16883" w:orient="portrait"/>
          <w:cols w:equalWidth="0" w:num="2">
            <w:col w:w="2340" w:space="28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EQUINOX TWO S.C.A.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RIVA ALBERTOLLI, 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73" w:lineRule="exact"/>
        <w:rPr>
          <w:sz w:val="24"/>
          <w:szCs w:val="24"/>
          <w:color w:val="auto"/>
        </w:rPr>
      </w:pPr>
    </w:p>
    <w:p>
      <w:pPr>
        <w:sectPr>
          <w:pgSz w:w="11900" w:h="16883" w:orient="portrait"/>
          <w:cols w:equalWidth="0" w:num="3">
            <w:col w:w="3360" w:space="720"/>
            <w:col w:w="3257" w:space="720"/>
            <w:col w:w="3363"/>
          </w:cols>
          <w:pgMar w:left="240" w:top="226" w:right="239" w:bottom="0" w:gutter="0" w:footer="0" w:header="0"/>
          <w:type w:val="continuous"/>
        </w:sectPr>
      </w:pPr>
    </w:p>
    <w:p>
      <w:pPr>
        <w:spacing w:after="0" w:line="18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LUGANO</w:t>
            </w:r>
          </w:p>
        </w:tc>
        <w:tc>
          <w:tcPr>
            <w:tcW w:w="1100" w:type="dxa"/>
            <w:vAlign w:val="bottom"/>
          </w:tcPr>
          <w:p>
            <w:pPr>
              <w:ind w:left="260"/>
              <w:spacing w:after="0"/>
              <w:rPr>
                <w:sz w:val="20"/>
                <w:szCs w:val="20"/>
                <w:color w:val="auto"/>
              </w:rPr>
            </w:pPr>
            <w:r>
              <w:rPr>
                <w:rFonts w:ascii="Arial" w:cs="Arial" w:eastAsia="Arial" w:hAnsi="Arial"/>
                <w:sz w:val="18"/>
                <w:szCs w:val="18"/>
                <w:color w:val="0000FF"/>
              </w:rPr>
              <w:t>V8</w:t>
            </w:r>
          </w:p>
        </w:tc>
        <w:tc>
          <w:tcPr>
            <w:tcW w:w="1680" w:type="dxa"/>
            <w:vAlign w:val="bottom"/>
          </w:tcPr>
          <w:p>
            <w:pPr>
              <w:ind w:left="420"/>
              <w:spacing w:after="0"/>
              <w:rPr>
                <w:sz w:val="20"/>
                <w:szCs w:val="20"/>
                <w:color w:val="auto"/>
              </w:rPr>
            </w:pPr>
            <w:r>
              <w:rPr>
                <w:rFonts w:ascii="Arial" w:cs="Arial" w:eastAsia="Arial" w:hAnsi="Arial"/>
                <w:sz w:val="18"/>
                <w:szCs w:val="18"/>
                <w:color w:val="0000FF"/>
              </w:rPr>
              <w:t>6900</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4"/>
          <w:szCs w:val="24"/>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00" w:lineRule="exact"/>
        <w:rPr>
          <w:sz w:val="24"/>
          <w:szCs w:val="24"/>
          <w:color w:val="auto"/>
        </w:rPr>
      </w:pPr>
    </w:p>
    <w:p>
      <w:pPr>
        <w:sectPr>
          <w:pgSz w:w="11900" w:h="16883"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40" w:type="dxa"/>
            <w:vAlign w:val="bottom"/>
            <w:gridSpan w:val="5"/>
          </w:tcPr>
          <w:p>
            <w:pPr>
              <w:ind w:left="22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4"/>
                <w:szCs w:val="14"/>
                <w:color w:val="auto"/>
              </w:rPr>
            </w:pPr>
          </w:p>
        </w:tc>
        <w:tc>
          <w:tcPr>
            <w:tcW w:w="21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60" w:type="dxa"/>
            <w:vAlign w:val="bottom"/>
            <w:gridSpan w:val="6"/>
          </w:tcPr>
          <w:p>
            <w:pPr>
              <w:ind w:left="260"/>
              <w:spacing w:after="0" w:line="135" w:lineRule="exact"/>
              <w:rPr>
                <w:sz w:val="20"/>
                <w:szCs w:val="20"/>
                <w:color w:val="auto"/>
              </w:rPr>
            </w:pPr>
            <w:r>
              <w:rPr>
                <w:rFonts w:ascii="Arial" w:cs="Arial" w:eastAsia="Arial" w:hAnsi="Arial"/>
                <w:sz w:val="12"/>
                <w:szCs w:val="12"/>
                <w:b w:val="1"/>
                <w:bCs w:val="1"/>
                <w:color w:val="auto"/>
              </w:rPr>
              <w:t>(Month/Day/Year)  if any</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5"/>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8"/>
                <w:szCs w:val="18"/>
                <w:color w:val="0000FF"/>
              </w:rPr>
              <w:t>Ordinary Shares</w:t>
            </w: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80" w:type="dxa"/>
            <w:vAlign w:val="bottom"/>
            <w:gridSpan w:val="2"/>
            <w:vMerge w:val="restart"/>
          </w:tcPr>
          <w:p>
            <w:pPr>
              <w:ind w:left="360"/>
              <w:spacing w:after="0"/>
              <w:rPr>
                <w:sz w:val="20"/>
                <w:szCs w:val="20"/>
                <w:color w:val="auto"/>
              </w:rPr>
            </w:pPr>
            <w:r>
              <w:rPr>
                <w:rFonts w:ascii="Arial" w:cs="Arial" w:eastAsia="Arial" w:hAnsi="Arial"/>
                <w:sz w:val="18"/>
                <w:szCs w:val="18"/>
                <w:color w:val="0000FF"/>
                <w:w w:val="88"/>
              </w:rPr>
              <w:t>09/21/2016</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500" w:type="dxa"/>
            <w:vAlign w:val="bottom"/>
          </w:tcPr>
          <w:p>
            <w:pPr>
              <w:spacing w:after="0"/>
              <w:rPr>
                <w:sz w:val="22"/>
                <w:szCs w:val="22"/>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8"/>
                <w:szCs w:val="18"/>
                <w:color w:val="0000FF"/>
              </w:rPr>
              <w:t>85,000</w:t>
            </w:r>
          </w:p>
        </w:tc>
        <w:tc>
          <w:tcPr>
            <w:tcW w:w="220" w:type="dxa"/>
            <w:vAlign w:val="bottom"/>
          </w:tcPr>
          <w:p>
            <w:pPr>
              <w:spacing w:after="0"/>
              <w:rPr>
                <w:sz w:val="22"/>
                <w:szCs w:val="22"/>
                <w:color w:val="auto"/>
              </w:rPr>
            </w:pPr>
          </w:p>
        </w:tc>
        <w:tc>
          <w:tcPr>
            <w:tcW w:w="380" w:type="dxa"/>
            <w:vAlign w:val="bottom"/>
            <w:vMerge w:val="restart"/>
          </w:tcPr>
          <w:p>
            <w:pPr>
              <w:spacing w:after="0"/>
              <w:rPr>
                <w:sz w:val="20"/>
                <w:szCs w:val="20"/>
                <w:color w:val="auto"/>
              </w:rPr>
            </w:pPr>
            <w:r>
              <w:rPr>
                <w:rFonts w:ascii="Arial" w:cs="Arial" w:eastAsia="Arial" w:hAnsi="Arial"/>
                <w:sz w:val="18"/>
                <w:szCs w:val="18"/>
                <w:color w:val="0000FF"/>
              </w:rPr>
              <w:t>D</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61.387</w:t>
            </w:r>
            <w:r>
              <w:rPr>
                <w:rFonts w:ascii="Arial" w:cs="Arial" w:eastAsia="Arial" w:hAnsi="Arial"/>
                <w:sz w:val="22"/>
                <w:szCs w:val="22"/>
                <w:color w:val="008000"/>
                <w:w w:val="84"/>
                <w:vertAlign w:val="superscript"/>
              </w:rPr>
              <w:t>(1)</w:t>
            </w:r>
          </w:p>
        </w:tc>
        <w:tc>
          <w:tcPr>
            <w:tcW w:w="40" w:type="dxa"/>
            <w:vAlign w:val="bottom"/>
          </w:tcPr>
          <w:p>
            <w:pPr>
              <w:spacing w:after="0"/>
              <w:rPr>
                <w:sz w:val="22"/>
                <w:szCs w:val="22"/>
                <w:color w:val="auto"/>
              </w:rPr>
            </w:pPr>
          </w:p>
        </w:tc>
        <w:tc>
          <w:tcPr>
            <w:tcW w:w="1280" w:type="dxa"/>
            <w:vAlign w:val="bottom"/>
            <w:gridSpan w:val="3"/>
            <w:vMerge w:val="restart"/>
          </w:tcPr>
          <w:p>
            <w:pPr>
              <w:ind w:left="280"/>
              <w:spacing w:after="0"/>
              <w:rPr>
                <w:sz w:val="20"/>
                <w:szCs w:val="20"/>
                <w:color w:val="auto"/>
              </w:rPr>
            </w:pPr>
            <w:r>
              <w:rPr>
                <w:rFonts w:ascii="Arial" w:cs="Arial" w:eastAsia="Arial" w:hAnsi="Arial"/>
                <w:sz w:val="18"/>
                <w:szCs w:val="18"/>
                <w:color w:val="0000FF"/>
              </w:rPr>
              <w:t>4,963,369</w:t>
            </w:r>
          </w:p>
        </w:tc>
        <w:tc>
          <w:tcPr>
            <w:tcW w:w="340" w:type="dxa"/>
            <w:vAlign w:val="bottom"/>
          </w:tcPr>
          <w:p>
            <w:pPr>
              <w:spacing w:after="0"/>
              <w:rPr>
                <w:sz w:val="22"/>
                <w:szCs w:val="22"/>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320" w:type="dxa"/>
            <w:vAlign w:val="bottom"/>
          </w:tcPr>
          <w:p>
            <w:pPr>
              <w:ind w:left="60"/>
              <w:spacing w:after="0"/>
              <w:rPr>
                <w:sz w:val="20"/>
                <w:szCs w:val="20"/>
                <w:color w:val="auto"/>
              </w:rPr>
            </w:pPr>
            <w:r>
              <w:rPr>
                <w:rFonts w:ascii="Arial" w:cs="Arial" w:eastAsia="Arial" w:hAnsi="Arial"/>
                <w:sz w:val="18"/>
                <w:szCs w:val="18"/>
                <w:color w:val="0000FF"/>
                <w:w w:val="74"/>
              </w:rPr>
              <w:t>See</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(4)(5)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8"/>
                <w:szCs w:val="18"/>
                <w:color w:val="0000FF"/>
              </w:rPr>
              <w:t>Ordinary Shares</w:t>
            </w:r>
          </w:p>
        </w:tc>
        <w:tc>
          <w:tcPr>
            <w:tcW w:w="7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gridSpan w:val="2"/>
            <w:vMerge w:val="restart"/>
          </w:tcPr>
          <w:p>
            <w:pPr>
              <w:ind w:left="360"/>
              <w:spacing w:after="0"/>
              <w:rPr>
                <w:sz w:val="20"/>
                <w:szCs w:val="20"/>
                <w:color w:val="auto"/>
              </w:rPr>
            </w:pPr>
            <w:r>
              <w:rPr>
                <w:rFonts w:ascii="Arial" w:cs="Arial" w:eastAsia="Arial" w:hAnsi="Arial"/>
                <w:sz w:val="18"/>
                <w:szCs w:val="18"/>
                <w:color w:val="0000FF"/>
                <w:w w:val="88"/>
              </w:rPr>
              <w:t>09/22/2016</w:t>
            </w:r>
          </w:p>
        </w:tc>
        <w:tc>
          <w:tcPr>
            <w:tcW w:w="5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4"/>
                <w:szCs w:val="14"/>
                <w:color w:val="0000FF"/>
              </w:rPr>
              <w:t>S</w:t>
            </w:r>
          </w:p>
        </w:tc>
        <w:tc>
          <w:tcPr>
            <w:tcW w:w="5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vMerge w:val="restart"/>
          </w:tcPr>
          <w:p>
            <w:pPr>
              <w:jc w:val="right"/>
              <w:ind w:right="48"/>
              <w:spacing w:after="0"/>
              <w:rPr>
                <w:sz w:val="20"/>
                <w:szCs w:val="20"/>
                <w:color w:val="auto"/>
              </w:rPr>
            </w:pPr>
            <w:r>
              <w:rPr>
                <w:rFonts w:ascii="Arial" w:cs="Arial" w:eastAsia="Arial" w:hAnsi="Arial"/>
                <w:sz w:val="18"/>
                <w:szCs w:val="18"/>
                <w:color w:val="0000FF"/>
              </w:rPr>
              <w:t>16,463</w:t>
            </w:r>
          </w:p>
        </w:tc>
        <w:tc>
          <w:tcPr>
            <w:tcW w:w="2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spacing w:after="0"/>
              <w:rPr>
                <w:sz w:val="20"/>
                <w:szCs w:val="20"/>
                <w:color w:val="auto"/>
              </w:rPr>
            </w:pPr>
            <w:r>
              <w:rPr>
                <w:rFonts w:ascii="Arial" w:cs="Arial" w:eastAsia="Arial" w:hAnsi="Arial"/>
                <w:sz w:val="18"/>
                <w:szCs w:val="18"/>
                <w:color w:val="0000FF"/>
              </w:rPr>
              <w:t>D</w:t>
            </w:r>
          </w:p>
        </w:tc>
        <w:tc>
          <w:tcPr>
            <w:tcW w:w="8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61.4291</w:t>
            </w:r>
            <w:r>
              <w:rPr>
                <w:rFonts w:ascii="Arial" w:cs="Arial" w:eastAsia="Arial" w:hAnsi="Arial"/>
                <w:sz w:val="22"/>
                <w:szCs w:val="22"/>
                <w:color w:val="008000"/>
                <w:w w:val="85"/>
                <w:vertAlign w:val="superscript"/>
              </w:rPr>
              <w:t>(2)</w:t>
            </w:r>
          </w:p>
        </w:tc>
        <w:tc>
          <w:tcPr>
            <w:tcW w:w="1280" w:type="dxa"/>
            <w:vAlign w:val="bottom"/>
            <w:tcBorders>
              <w:top w:val="single" w:sz="8" w:color="2C2C2C"/>
            </w:tcBorders>
            <w:gridSpan w:val="3"/>
            <w:vMerge w:val="restart"/>
          </w:tcPr>
          <w:p>
            <w:pPr>
              <w:ind w:left="280"/>
              <w:spacing w:after="0"/>
              <w:rPr>
                <w:sz w:val="20"/>
                <w:szCs w:val="20"/>
                <w:color w:val="auto"/>
              </w:rPr>
            </w:pPr>
            <w:r>
              <w:rPr>
                <w:rFonts w:ascii="Arial" w:cs="Arial" w:eastAsia="Arial" w:hAnsi="Arial"/>
                <w:sz w:val="18"/>
                <w:szCs w:val="18"/>
                <w:color w:val="0000FF"/>
              </w:rPr>
              <w:t>4,946,906</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w w:val="74"/>
              </w:rPr>
              <w:t>See</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(4)(5)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8"/>
                <w:szCs w:val="18"/>
                <w:color w:val="0000FF"/>
              </w:rPr>
              <w:t>Ordinary Shares</w:t>
            </w:r>
          </w:p>
        </w:tc>
        <w:tc>
          <w:tcPr>
            <w:tcW w:w="7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gridSpan w:val="2"/>
            <w:vMerge w:val="restart"/>
          </w:tcPr>
          <w:p>
            <w:pPr>
              <w:ind w:left="360"/>
              <w:spacing w:after="0"/>
              <w:rPr>
                <w:sz w:val="20"/>
                <w:szCs w:val="20"/>
                <w:color w:val="auto"/>
              </w:rPr>
            </w:pPr>
            <w:r>
              <w:rPr>
                <w:rFonts w:ascii="Arial" w:cs="Arial" w:eastAsia="Arial" w:hAnsi="Arial"/>
                <w:sz w:val="18"/>
                <w:szCs w:val="18"/>
                <w:color w:val="0000FF"/>
                <w:w w:val="88"/>
              </w:rPr>
              <w:t>09/22/2016</w:t>
            </w:r>
          </w:p>
        </w:tc>
        <w:tc>
          <w:tcPr>
            <w:tcW w:w="5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4"/>
                <w:szCs w:val="14"/>
                <w:color w:val="0000FF"/>
              </w:rPr>
              <w:t>S</w:t>
            </w:r>
          </w:p>
        </w:tc>
        <w:tc>
          <w:tcPr>
            <w:tcW w:w="5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vMerge w:val="restart"/>
          </w:tcPr>
          <w:p>
            <w:pPr>
              <w:jc w:val="right"/>
              <w:ind w:right="48"/>
              <w:spacing w:after="0"/>
              <w:rPr>
                <w:sz w:val="20"/>
                <w:szCs w:val="20"/>
                <w:color w:val="auto"/>
              </w:rPr>
            </w:pPr>
            <w:r>
              <w:rPr>
                <w:rFonts w:ascii="Arial" w:cs="Arial" w:eastAsia="Arial" w:hAnsi="Arial"/>
                <w:sz w:val="18"/>
                <w:szCs w:val="18"/>
                <w:color w:val="0000FF"/>
              </w:rPr>
              <w:t>83,537</w:t>
            </w:r>
          </w:p>
        </w:tc>
        <w:tc>
          <w:tcPr>
            <w:tcW w:w="2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spacing w:after="0"/>
              <w:rPr>
                <w:sz w:val="20"/>
                <w:szCs w:val="20"/>
                <w:color w:val="auto"/>
              </w:rPr>
            </w:pPr>
            <w:r>
              <w:rPr>
                <w:rFonts w:ascii="Arial" w:cs="Arial" w:eastAsia="Arial" w:hAnsi="Arial"/>
                <w:sz w:val="18"/>
                <w:szCs w:val="18"/>
                <w:color w:val="0000FF"/>
              </w:rPr>
              <w:t>D</w:t>
            </w:r>
          </w:p>
        </w:tc>
        <w:tc>
          <w:tcPr>
            <w:tcW w:w="8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61.7187</w:t>
            </w:r>
            <w:r>
              <w:rPr>
                <w:rFonts w:ascii="Arial" w:cs="Arial" w:eastAsia="Arial" w:hAnsi="Arial"/>
                <w:sz w:val="22"/>
                <w:szCs w:val="22"/>
                <w:color w:val="008000"/>
                <w:w w:val="85"/>
                <w:vertAlign w:val="superscript"/>
              </w:rPr>
              <w:t>(3)</w:t>
            </w:r>
          </w:p>
        </w:tc>
        <w:tc>
          <w:tcPr>
            <w:tcW w:w="1280" w:type="dxa"/>
            <w:vAlign w:val="bottom"/>
            <w:tcBorders>
              <w:top w:val="single" w:sz="8" w:color="2C2C2C"/>
            </w:tcBorders>
            <w:gridSpan w:val="3"/>
            <w:vMerge w:val="restart"/>
          </w:tcPr>
          <w:p>
            <w:pPr>
              <w:ind w:left="280"/>
              <w:spacing w:after="0"/>
              <w:rPr>
                <w:sz w:val="20"/>
                <w:szCs w:val="20"/>
                <w:color w:val="auto"/>
              </w:rPr>
            </w:pPr>
            <w:r>
              <w:rPr>
                <w:rFonts w:ascii="Arial" w:cs="Arial" w:eastAsia="Arial" w:hAnsi="Arial"/>
                <w:sz w:val="18"/>
                <w:szCs w:val="18"/>
                <w:color w:val="0000FF"/>
              </w:rPr>
              <w:t>4,863,369</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w w:val="74"/>
              </w:rPr>
              <w:t>See</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(4)(5)</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620" w:type="dxa"/>
            <w:vAlign w:val="bottom"/>
            <w:tcBorders>
              <w:top w:val="single" w:sz="8" w:color="2C2C2C"/>
            </w:tcBorders>
            <w:gridSpan w:val="18"/>
          </w:tcPr>
          <w:p>
            <w:pPr>
              <w:ind w:left="26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60" w:type="dxa"/>
            <w:vAlign w:val="bottom"/>
            <w:gridSpan w:val="15"/>
          </w:tcPr>
          <w:p>
            <w:pPr>
              <w:ind w:left="56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22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gridSpan w:val="2"/>
          </w:tcPr>
          <w:p>
            <w:pPr>
              <w:ind w:left="20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36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8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22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82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gridSpan w:val="2"/>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EQUINOX TWO S.C.A.</w:t>
              </w:r>
            </w:hyperlink>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8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spacing w:after="0"/>
              <w:rPr>
                <w:sz w:val="20"/>
                <w:szCs w:val="20"/>
                <w:color w:val="auto"/>
              </w:rPr>
            </w:pPr>
            <w:r>
              <w:rPr>
                <w:rFonts w:ascii="Arial" w:cs="Arial" w:eastAsia="Arial" w:hAnsi="Arial"/>
                <w:sz w:val="18"/>
                <w:szCs w:val="18"/>
                <w:color w:val="0000FF"/>
              </w:rPr>
              <w:t>RIVA ALBERTOLLI, 1</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LUGANO</w:t>
            </w: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V8</w:t>
            </w:r>
          </w:p>
        </w:tc>
        <w:tc>
          <w:tcPr>
            <w:tcW w:w="1120" w:type="dxa"/>
            <w:vAlign w:val="bottom"/>
          </w:tcPr>
          <w:p>
            <w:pPr>
              <w:ind w:left="300"/>
              <w:spacing w:after="0"/>
              <w:rPr>
                <w:sz w:val="20"/>
                <w:szCs w:val="20"/>
                <w:color w:val="auto"/>
              </w:rPr>
            </w:pPr>
            <w:r>
              <w:rPr>
                <w:rFonts w:ascii="Arial" w:cs="Arial" w:eastAsia="Arial" w:hAnsi="Arial"/>
                <w:sz w:val="18"/>
                <w:szCs w:val="18"/>
                <w:color w:val="0000FF"/>
              </w:rPr>
              <w:t>6900</w:t>
            </w: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gridSpan w:val="2"/>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180" w:type="dxa"/>
            <w:vAlign w:val="bottom"/>
            <w:gridSpan w:val="2"/>
          </w:tcPr>
          <w:p>
            <w:pPr>
              <w:ind w:left="300"/>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spacing w:after="0" w:line="224" w:lineRule="exact"/>
              <w:rPr>
                <w:rFonts w:ascii="Arial" w:cs="Arial" w:eastAsia="Arial" w:hAnsi="Arial"/>
                <w:sz w:val="22"/>
                <w:szCs w:val="22"/>
                <w:color w:val="0000EE"/>
                <w:w w:val="91"/>
              </w:rPr>
            </w:pPr>
            <w:hyperlink r:id="rId14">
              <w:r>
                <w:rPr>
                  <w:rFonts w:ascii="Arial" w:cs="Arial" w:eastAsia="Arial" w:hAnsi="Arial"/>
                  <w:sz w:val="22"/>
                  <w:szCs w:val="22"/>
                  <w:color w:val="0000EE"/>
                  <w:w w:val="91"/>
                </w:rPr>
                <w:t>Tower 6 S. a r.l.</w:t>
              </w:r>
            </w:hyperlink>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8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spacing w:after="0"/>
              <w:rPr>
                <w:sz w:val="20"/>
                <w:szCs w:val="20"/>
                <w:color w:val="auto"/>
              </w:rPr>
            </w:pPr>
            <w:r>
              <w:rPr>
                <w:rFonts w:ascii="Arial" w:cs="Arial" w:eastAsia="Arial" w:hAnsi="Arial"/>
                <w:sz w:val="18"/>
                <w:szCs w:val="18"/>
                <w:color w:val="0000FF"/>
              </w:rPr>
              <w:t>5, PLACE DU THEATRE</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LUXEMBOURG</w:t>
            </w: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N4</w:t>
            </w:r>
          </w:p>
        </w:tc>
        <w:tc>
          <w:tcPr>
            <w:tcW w:w="1120" w:type="dxa"/>
            <w:vAlign w:val="bottom"/>
          </w:tcPr>
          <w:p>
            <w:pPr>
              <w:ind w:left="300"/>
              <w:spacing w:after="0"/>
              <w:rPr>
                <w:sz w:val="20"/>
                <w:szCs w:val="20"/>
                <w:color w:val="auto"/>
              </w:rPr>
            </w:pPr>
            <w:r>
              <w:rPr>
                <w:rFonts w:ascii="Arial" w:cs="Arial" w:eastAsia="Arial" w:hAnsi="Arial"/>
                <w:sz w:val="18"/>
                <w:szCs w:val="18"/>
                <w:color w:val="0000FF"/>
              </w:rPr>
              <w:t>2613</w:t>
            </w: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gridSpan w:val="2"/>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180" w:type="dxa"/>
            <w:vAlign w:val="bottom"/>
            <w:gridSpan w:val="2"/>
          </w:tcPr>
          <w:p>
            <w:pPr>
              <w:ind w:left="300"/>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20" w:firstLine="9"/>
        <w:spacing w:after="0" w:line="233" w:lineRule="auto"/>
        <w:tabs>
          <w:tab w:leader="none" w:pos="17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Ordinary Shares of the Issuer were sold by Tower 6 Bis S. a r.l. in multiple transactions at prices ranging from $61.07 to $61.60, inclusive. Upon request, the Reporting Persons (defined below) undertake to provide the Issuer, any security holder of the Issuer, or the Securities and Exchange Commission (the "SEC") full information regarding the Ordinary Shares sold at each separate price within the range set forth in this footnote.</w:t>
      </w:r>
    </w:p>
    <w:p>
      <w:pPr>
        <w:sectPr>
          <w:pgSz w:w="11900" w:h="16883" w:orient="portrait"/>
          <w:cols w:equalWidth="0" w:num="1">
            <w:col w:w="11420"/>
          </w:cols>
          <w:pgMar w:left="240" w:top="226" w:right="239" w:bottom="0" w:gutter="0" w:footer="0" w:header="0"/>
          <w:type w:val="continuous"/>
        </w:sectPr>
      </w:pPr>
    </w:p>
    <w:bookmarkStart w:id="1" w:name="page2"/>
    <w:bookmarkEnd w:id="1"/>
    <w:p>
      <w:pPr>
        <w:ind w:right="40" w:firstLine="9"/>
        <w:spacing w:after="0" w:line="233" w:lineRule="auto"/>
        <w:tabs>
          <w:tab w:leader="none" w:pos="13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Ordinary Shares of the Issuer were sold by Tower 6 Bis S. a r.l. in multiple transactions at prices ranging from $60.53 to $61.52, inclusive. Upon request, the Reporting Persons (defined below) undertake to provide the Issuer, any security holder of the Issuer, or the SEC full information regarding the Ordinary Shares sold at each separate price within the range set forth in this footnote.</w:t>
      </w:r>
    </w:p>
    <w:p>
      <w:pPr>
        <w:spacing w:after="0" w:line="30" w:lineRule="exact"/>
        <w:rPr>
          <w:rFonts w:ascii="Arial" w:cs="Arial" w:eastAsia="Arial" w:hAnsi="Arial"/>
          <w:sz w:val="14"/>
          <w:szCs w:val="14"/>
          <w:color w:val="008000"/>
        </w:rPr>
      </w:pPr>
    </w:p>
    <w:p>
      <w:pPr>
        <w:ind w:right="40" w:firstLine="9"/>
        <w:spacing w:after="0" w:line="233" w:lineRule="auto"/>
        <w:tabs>
          <w:tab w:leader="none" w:pos="13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Ordinary Shares of the Issuer were sold by Tower 6 Bis S. a r.l. in multiple transactions at prices ranging from $61.53 to $62.02, inclusive. Upon request, the Reporting Persons (defined below) undertake to provide the Issuer, any security holder of the Issuer, or the SEC full information regarding the Ordinary Shares sold at each separate price within the range set forth in this footnote.</w:t>
      </w:r>
    </w:p>
    <w:p>
      <w:pPr>
        <w:spacing w:after="0" w:line="30" w:lineRule="exact"/>
        <w:rPr>
          <w:rFonts w:ascii="Arial" w:cs="Arial" w:eastAsia="Arial" w:hAnsi="Arial"/>
          <w:sz w:val="14"/>
          <w:szCs w:val="14"/>
          <w:color w:val="008000"/>
        </w:rPr>
      </w:pPr>
    </w:p>
    <w:p>
      <w:pPr>
        <w:jc w:val="both"/>
        <w:ind w:firstLine="9"/>
        <w:spacing w:after="0" w:line="278" w:lineRule="auto"/>
        <w:tabs>
          <w:tab w:leader="none" w:pos="13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Ordinary Shares sold in connection with the transactions reported on this Form 4 were held by Tower 6 Bis S. a r.l. Following the transactions reported on this Form 4, Bios S.p.A. and Tower 6 Bis S. a r.l. are the record holders of 3,562,285 and 1,301,084 Ordinary Shares, respectively. Mittel S.p.A. ("Mittel") and Equinox Two S.c.a. ("Equinox") are the 50:50 beneficial owners of the special purpose vehicle Bios S.p.A, in which each of Mittel and Equinox owns 50% of the outstanding voting shares and holds two board of director seats. Equinox is the owner of 100% of the membership interests in Tower 6 S. a r.l. ("Tower 6" and, together with Equinox, the "Reporting Persons"). Tower 6 (and Equinox indirectly through Tower 6) owns 51%, and Mittel owns 49%, of the membership interests in Tower 6 Bis S. a r.l.</w:t>
      </w:r>
    </w:p>
    <w:p>
      <w:pPr>
        <w:spacing w:after="0" w:line="8" w:lineRule="exact"/>
        <w:rPr>
          <w:rFonts w:ascii="Arial" w:cs="Arial" w:eastAsia="Arial" w:hAnsi="Arial"/>
          <w:sz w:val="12"/>
          <w:szCs w:val="12"/>
          <w:color w:val="008000"/>
        </w:rPr>
      </w:pPr>
    </w:p>
    <w:p>
      <w:pPr>
        <w:ind w:firstLine="9"/>
        <w:spacing w:after="0" w:line="273" w:lineRule="auto"/>
        <w:tabs>
          <w:tab w:leader="none" w:pos="13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This report on Form 4 is filed jointly by Equinox and Tower 6. Each of the Reporting Persons disclaims beneficial ownership of the securities reported herein for purposes of Rule 16a-1(a) under the Securities Exchange Act of 1934, as amended (the "Exchange Act"), except to the extent of its pecuniary interest therein. This report on Form 4 shall not be deemed an admission that either of the Reporting Persons is a beneficial owner of such securities for the purpose of Section 16 of the Exchange Act, or for any other purpose. After giving effect to the transactions reported on this Form 4, each of the Reporting Persons beneficially owns less than 10% of the outstanding Ordinary Shares of the Issuer, based on information set forth in the Issuer's Quarterly Report on Form 10-Q filed with the SEC on August 5, 2016 and supplemental information provided to the Reporting Persons by the Issuer.</w:t>
      </w:r>
    </w:p>
    <w:p>
      <w:pPr>
        <w:sectPr>
          <w:pgSz w:w="11900" w:h="16838" w:orient="portrait"/>
          <w:cols w:equalWidth="0" w:num="1">
            <w:col w:w="11300"/>
          </w:cols>
          <w:pgMar w:left="280" w:top="142" w:right="319" w:bottom="1440" w:gutter="0" w:footer="0" w:header="0"/>
        </w:sectPr>
      </w:pPr>
    </w:p>
    <w:p>
      <w:pPr>
        <w:spacing w:after="0" w:line="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Equinox Two S.c.a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379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13792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Massimiliano Seliziato,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52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0528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attorney-in-fact for Giorgio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236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2236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Mancuso,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356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83566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Equinox Two S.c.a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379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13792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Massimiliano Seliziato,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52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0528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attorney-in-fact for Salvatore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998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2998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Mancuso,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356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83566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Tower 6 S. 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988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9988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Massimiliano Seliziato,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528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0528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attorney-in-fact for 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328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13284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Baravini,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356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83566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Tower 6 S. 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988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9988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Massimiliano Seliziato,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528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10528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attorney-in-fact for Giorgio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236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12236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Mercogliano,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217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10217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Arial" w:cs="Arial" w:eastAsia="Arial" w:hAnsi="Arial"/>
          <w:sz w:val="15"/>
          <w:szCs w:val="15"/>
          <w:color w:val="0000FF"/>
        </w:rPr>
        <w:t>09/23/2016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09/23/2016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09/23/2016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09/23/2016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428" w:lineRule="exact"/>
        <w:rPr>
          <w:sz w:val="20"/>
          <w:szCs w:val="20"/>
          <w:color w:val="auto"/>
        </w:rPr>
      </w:pPr>
    </w:p>
    <w:p>
      <w:pPr>
        <w:sectPr>
          <w:pgSz w:w="11900" w:h="16838" w:orient="portrait"/>
          <w:cols w:equalWidth="0" w:num="2">
            <w:col w:w="8880" w:space="240"/>
            <w:col w:w="2180"/>
          </w:cols>
          <w:pgMar w:left="280" w:top="142" w:right="319" w:bottom="1440"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00" w:firstLine="9"/>
        <w:spacing w:after="0" w:line="350" w:lineRule="auto"/>
        <w:tabs>
          <w:tab w:leader="none" w:pos="14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80" w:top="142"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12" Type="http://schemas.openxmlformats.org/officeDocument/2006/relationships/hyperlink" Target="http://www.sec.govhttp//www.sec.gov/cgi-bin/browse-edgar?action=getcompany&amp;CIK=0001667696" TargetMode="External"/><Relationship Id="rId13" Type="http://schemas.openxmlformats.org/officeDocument/2006/relationships/hyperlink" Target="http://www.sec.gov/cgi-bin/browse-edgar?action=getcompany&amp;CIK=0001639691" TargetMode="External"/><Relationship Id="rId14" Type="http://schemas.openxmlformats.org/officeDocument/2006/relationships/hyperlink" Target="http://www.sec.gov/cgi-bin/browse-edgar?action=getcompany&amp;CIK=00016731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2019-12-09T02:27:01Z</dcterms:created>
  <dcterms:modified xsi:type="dcterms:W3CDTF">2019-12-09T02:27:01Z</dcterms:modified>
</cp:coreProperties>
</file>