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ind w:left="2380"/>
        <w:spacing w:after="0"/>
        <w:rPr>
          <w:sz w:val="20"/>
          <w:szCs w:val="20"/>
          <w:color w:val="auto"/>
        </w:rPr>
      </w:pPr>
      <w:r>
        <w:rPr>
          <w:rFonts w:ascii="Arial" w:cs="Arial" w:eastAsia="Arial" w:hAnsi="Arial"/>
          <w:sz w:val="19"/>
          <w:szCs w:val="19"/>
          <w:b w:val="1"/>
          <w:bCs w:val="1"/>
          <w:color w:val="auto"/>
        </w:rPr>
        <w:t>As filed with the Securities and Exchange Commission on June 1, 2020</w:t>
      </w:r>
    </w:p>
    <w:p>
      <w:pPr>
        <w:spacing w:after="0" w:line="119"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SD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150495</wp:posOffset>
            </wp:positionV>
            <wp:extent cx="111442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4425" cy="196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LivaNova PLC</w:t>
      </w: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840"/>
        <w:spacing w:after="0"/>
        <w:rPr>
          <w:sz w:val="20"/>
          <w:szCs w:val="20"/>
          <w:color w:val="auto"/>
        </w:rPr>
      </w:pPr>
      <w:r>
        <w:rPr>
          <w:rFonts w:ascii="Arial" w:cs="Arial" w:eastAsia="Arial" w:hAnsi="Arial"/>
          <w:sz w:val="19"/>
          <w:szCs w:val="19"/>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98-1268150</w:t>
      </w:r>
    </w:p>
    <w:p>
      <w:pPr>
        <w:spacing w:after="0" w:line="62" w:lineRule="exact"/>
        <w:rPr>
          <w:sz w:val="24"/>
          <w:szCs w:val="24"/>
          <w:color w:val="auto"/>
        </w:rPr>
      </w:pPr>
    </w:p>
    <w:p>
      <w:pPr>
        <w:sectPr>
          <w:pgSz w:w="11900" w:h="16838" w:orient="portrait"/>
          <w:cols w:equalWidth="0" w:num="3">
            <w:col w:w="4360" w:space="720"/>
            <w:col w:w="2980" w:space="720"/>
            <w:col w:w="1960"/>
          </w:cols>
          <w:pgMar w:left="320" w:top="1440" w:right="8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1" w:lineRule="exact"/>
        <w:rPr>
          <w:sz w:val="24"/>
          <w:szCs w:val="24"/>
          <w:color w:val="auto"/>
        </w:rPr>
      </w:pPr>
    </w:p>
    <w:p>
      <w:pPr>
        <w:sectPr>
          <w:pgSz w:w="11900" w:h="16838" w:orient="portrait"/>
          <w:cols w:equalWidth="0" w:num="3">
            <w:col w:w="3820" w:space="720"/>
            <w:col w:w="2740" w:space="720"/>
            <w:col w:w="2740"/>
          </w:cols>
          <w:pgMar w:left="320" w:top="1440" w:right="839"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organization)</w:t>
      </w:r>
    </w:p>
    <w:p>
      <w:pPr>
        <w:spacing w:after="0" w:line="347"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20 Eastbourne Terrace</w:t>
      </w:r>
    </w:p>
    <w:p>
      <w:pPr>
        <w:jc w:val="center"/>
        <w:ind w:right="-519"/>
        <w:spacing w:after="0" w:line="204" w:lineRule="auto"/>
        <w:rPr>
          <w:sz w:val="20"/>
          <w:szCs w:val="20"/>
          <w:color w:val="auto"/>
        </w:rPr>
      </w:pPr>
      <w:r>
        <w:rPr>
          <w:rFonts w:ascii="Arial" w:cs="Arial" w:eastAsia="Arial" w:hAnsi="Arial"/>
          <w:sz w:val="22"/>
          <w:szCs w:val="22"/>
          <w:b w:val="1"/>
          <w:bCs w:val="1"/>
          <w:color w:val="auto"/>
        </w:rPr>
        <w:t>London, United Kingdom</w:t>
      </w:r>
    </w:p>
    <w:p>
      <w:pPr>
        <w:jc w:val="center"/>
        <w:ind w:right="-519"/>
        <w:spacing w:after="0" w:line="210" w:lineRule="auto"/>
        <w:rPr>
          <w:sz w:val="20"/>
          <w:szCs w:val="20"/>
          <w:color w:val="auto"/>
        </w:rPr>
      </w:pPr>
      <w:r>
        <w:rPr>
          <w:rFonts w:ascii="Arial" w:cs="Arial" w:eastAsia="Arial" w:hAnsi="Arial"/>
          <w:sz w:val="22"/>
          <w:szCs w:val="22"/>
          <w:b w:val="1"/>
          <w:bCs w:val="1"/>
          <w:color w:val="auto"/>
        </w:rPr>
        <w:t>W2 6LG</w:t>
      </w:r>
    </w:p>
    <w:p>
      <w:pPr>
        <w:spacing w:after="0" w:line="1" w:lineRule="exact"/>
        <w:rPr>
          <w:sz w:val="24"/>
          <w:szCs w:val="24"/>
          <w:color w:val="auto"/>
        </w:rPr>
      </w:pPr>
    </w:p>
    <w:p>
      <w:pPr>
        <w:ind w:left="374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740"/>
          </w:cols>
          <w:pgMar w:left="320" w:top="1440" w:right="839" w:bottom="1440" w:gutter="0" w:footer="0" w:header="0"/>
          <w:type w:val="continuous"/>
        </w:sectPr>
      </w:pPr>
    </w:p>
    <w:p>
      <w:pPr>
        <w:spacing w:after="0" w:line="200" w:lineRule="exact"/>
        <w:rPr>
          <w:sz w:val="24"/>
          <w:szCs w:val="24"/>
          <w:color w:val="auto"/>
        </w:rPr>
      </w:pPr>
    </w:p>
    <w:p>
      <w:pPr>
        <w:spacing w:after="0" w:line="275" w:lineRule="exact"/>
        <w:rPr>
          <w:sz w:val="24"/>
          <w:szCs w:val="24"/>
          <w:color w:val="auto"/>
        </w:rPr>
      </w:pPr>
    </w:p>
    <w:p>
      <w:pPr>
        <w:ind w:left="4760"/>
        <w:spacing w:after="0"/>
        <w:rPr>
          <w:sz w:val="20"/>
          <w:szCs w:val="20"/>
          <w:color w:val="auto"/>
        </w:rPr>
      </w:pPr>
      <w:r>
        <w:rPr>
          <w:rFonts w:ascii="Arial" w:cs="Arial" w:eastAsia="Arial" w:hAnsi="Arial"/>
          <w:sz w:val="22"/>
          <w:szCs w:val="22"/>
          <w:b w:val="1"/>
          <w:bCs w:val="1"/>
          <w:color w:val="auto"/>
        </w:rPr>
        <w:t>Keyna Skeffington</w:t>
      </w:r>
    </w:p>
    <w:p>
      <w:pPr>
        <w:spacing w:after="0" w:line="2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Company Secretary</w:t>
      </w:r>
    </w:p>
    <w:p>
      <w:pPr>
        <w:ind w:left="4660"/>
        <w:spacing w:after="0" w:line="238" w:lineRule="auto"/>
        <w:rPr>
          <w:sz w:val="20"/>
          <w:szCs w:val="20"/>
          <w:color w:val="auto"/>
        </w:rPr>
      </w:pPr>
      <w:r>
        <w:rPr>
          <w:rFonts w:ascii="Arial" w:cs="Arial" w:eastAsia="Arial" w:hAnsi="Arial"/>
          <w:sz w:val="22"/>
          <w:szCs w:val="22"/>
          <w:b w:val="1"/>
          <w:bCs w:val="1"/>
          <w:color w:val="auto"/>
        </w:rPr>
        <w:t>+ 44 (0) 203 325 0665</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47" w:lineRule="exact"/>
        <w:rPr>
          <w:sz w:val="24"/>
          <w:szCs w:val="24"/>
          <w:color w:val="auto"/>
        </w:rPr>
      </w:pPr>
    </w:p>
    <w:p>
      <w:pPr>
        <w:ind w:left="540" w:hanging="51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Rule 13p-1 under the Securities Exchange Act (17 CFR 240.13p-1) for the reporting period from January 1 to December 31, 2019.</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INFORMATION TO BE INCLUDED IN THE REPORT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1—Conflict Minerals Disclosure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104" w:lineRule="exact"/>
        <w:rPr>
          <w:sz w:val="20"/>
          <w:szCs w:val="20"/>
          <w:color w:val="auto"/>
        </w:rPr>
      </w:pPr>
    </w:p>
    <w:p>
      <w:pPr>
        <w:ind w:right="140" w:firstLine="648"/>
        <w:spacing w:after="0" w:line="261" w:lineRule="auto"/>
        <w:rPr>
          <w:sz w:val="20"/>
          <w:szCs w:val="20"/>
          <w:color w:val="auto"/>
        </w:rPr>
      </w:pPr>
      <w:r>
        <w:rPr>
          <w:rFonts w:ascii="Arial" w:cs="Arial" w:eastAsia="Arial" w:hAnsi="Arial"/>
          <w:sz w:val="21"/>
          <w:szCs w:val="21"/>
          <w:color w:val="auto"/>
        </w:rPr>
        <w:t>LivaNova PLC, headquartered in London, (collectively with its subsidiaries, the “Company”, “LivaNova”, “we” or “our”), is a global medical device company focused on the development and delivery of important therapeutic solutions for the benefit of patients, healthcare professionals and healthcare systems throughout the world. Working closely with our global team of medical professionals in the fields of Cardiac Surgery and Neuromodulation, we design, develop, manufacture and sell innovative therapeutic solutions. At LivaNova, we unite to provide hope for patients and their families through innovative medical technologies, delivering life-changing improvements for both the Head and Heart.</w:t>
      </w:r>
    </w:p>
    <w:p>
      <w:pPr>
        <w:spacing w:after="0" w:line="5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LivaNova is filing this Specialized Disclosure report on Form SD (this “Form SD”) for LivaNova’s Neuromodulation and Cardiac Surgery supply chain operations for the year ended December 31, 2019. This Form SD is presented in compliance with Rule 13p-1 under the Securities Exchange Act of 1934, as amended, for the reporting period from January 1, 2019 to December 31, 2019.</w:t>
      </w:r>
    </w:p>
    <w:p>
      <w:pPr>
        <w:spacing w:after="0" w:line="53" w:lineRule="exact"/>
        <w:rPr>
          <w:sz w:val="20"/>
          <w:szCs w:val="20"/>
          <w:color w:val="auto"/>
        </w:rPr>
      </w:pPr>
    </w:p>
    <w:p>
      <w:pPr>
        <w:ind w:right="560" w:firstLine="648"/>
        <w:spacing w:after="0" w:line="343" w:lineRule="auto"/>
        <w:rPr>
          <w:sz w:val="20"/>
          <w:szCs w:val="20"/>
          <w:color w:val="auto"/>
        </w:rPr>
      </w:pPr>
      <w:r>
        <w:rPr>
          <w:rFonts w:ascii="Arial" w:cs="Arial" w:eastAsia="Arial" w:hAnsi="Arial"/>
          <w:sz w:val="19"/>
          <w:szCs w:val="19"/>
          <w:color w:val="auto"/>
        </w:rPr>
        <w:t xml:space="preserve">A copy of our Conflict Minerals Report is filed as a part of this Form SD. In accordance with Rule 12b-12 (17 CFR 240.12b-12), a copy of this Form SD may be found on our website at </w:t>
      </w:r>
      <w:r>
        <w:rPr>
          <w:rFonts w:ascii="Arial" w:cs="Arial" w:eastAsia="Arial" w:hAnsi="Arial"/>
          <w:sz w:val="19"/>
          <w:szCs w:val="19"/>
          <w:u w:val="single" w:color="auto"/>
          <w:color w:val="auto"/>
        </w:rPr>
        <w:t>https://investor.livanova.com/sec-filings</w:t>
      </w:r>
      <w:r>
        <w:rPr>
          <w:rFonts w:ascii="Arial" w:cs="Arial" w:eastAsia="Arial" w:hAnsi="Arial"/>
          <w:sz w:val="19"/>
          <w:szCs w:val="19"/>
          <w:color w:val="auto"/>
        </w:rPr>
        <w: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Exhibits</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LivaNova has filed as an exhibit to this Form SD, the Conflict Minerals Report required by Item 1.01.</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report.</w:t>
      </w:r>
    </w:p>
    <w:p>
      <w:pPr>
        <w:spacing w:after="0" w:line="12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22"/>
          <w:szCs w:val="22"/>
          <w:u w:val="single" w:color="auto"/>
          <w:color w:val="auto"/>
        </w:rPr>
        <w:t>Exhibit</w:t>
      </w:r>
      <w:r>
        <w:rPr>
          <w:sz w:val="20"/>
          <w:szCs w:val="20"/>
          <w:color w:val="auto"/>
        </w:rPr>
        <w:tab/>
      </w:r>
      <w:r>
        <w:rPr>
          <w:rFonts w:ascii="Arial" w:cs="Arial" w:eastAsia="Arial" w:hAnsi="Arial"/>
          <w:sz w:val="22"/>
          <w:szCs w:val="22"/>
          <w:u w:val="single" w:color="auto"/>
          <w:color w:val="auto"/>
        </w:rPr>
        <w:t>Description</w:t>
      </w:r>
    </w:p>
    <w:p>
      <w:pPr>
        <w:spacing w:after="0" w:line="44" w:lineRule="exact"/>
        <w:rPr>
          <w:sz w:val="20"/>
          <w:szCs w:val="20"/>
          <w:color w:val="auto"/>
        </w:rPr>
      </w:pPr>
    </w:p>
    <w:p>
      <w:pPr>
        <w:ind w:left="20"/>
        <w:spacing w:after="0"/>
        <w:tabs>
          <w:tab w:leader="none" w:pos="1480" w:val="left"/>
        </w:tabs>
        <w:rPr>
          <w:rFonts w:ascii="Arial" w:cs="Arial" w:eastAsia="Arial" w:hAnsi="Arial"/>
          <w:sz w:val="19"/>
          <w:szCs w:val="19"/>
          <w:u w:val="single" w:color="auto"/>
          <w:color w:val="0000FF"/>
        </w:rPr>
      </w:pPr>
      <w:r>
        <w:rPr>
          <w:rFonts w:ascii="Arial" w:cs="Arial" w:eastAsia="Arial" w:hAnsi="Arial"/>
          <w:sz w:val="22"/>
          <w:szCs w:val="22"/>
          <w:color w:val="auto"/>
        </w:rPr>
        <w:t>1.01</w:t>
      </w:r>
      <w:r>
        <w:rPr>
          <w:sz w:val="20"/>
          <w:szCs w:val="20"/>
          <w:color w:val="auto"/>
        </w:rPr>
        <w:tab/>
      </w:r>
      <w:hyperlink w:anchor="page4">
        <w:r>
          <w:rPr>
            <w:rFonts w:ascii="Arial" w:cs="Arial" w:eastAsia="Arial" w:hAnsi="Arial"/>
            <w:sz w:val="19"/>
            <w:szCs w:val="19"/>
            <w:u w:val="single" w:color="auto"/>
            <w:color w:val="0000FF"/>
          </w:rPr>
          <w:t>Conflict Minerals Report as required by Items 1.01 and 1.02 of this Form.</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00"/>
          </w:cols>
          <w:pgMar w:left="320" w:top="1435" w:right="37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19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LivaNova PLC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22"/>
          <w:szCs w:val="22"/>
          <w:color w:val="auto"/>
        </w:rPr>
        <w:t>Date: June 1, 2020</w:t>
      </w:r>
      <w:r>
        <w:rPr>
          <w:sz w:val="20"/>
          <w:szCs w:val="20"/>
          <w:color w:val="auto"/>
        </w:rPr>
        <w:tab/>
      </w:r>
      <w:r>
        <w:rPr>
          <w:rFonts w:ascii="Arial" w:cs="Arial" w:eastAsia="Arial" w:hAnsi="Arial"/>
          <w:sz w:val="19"/>
          <w:szCs w:val="19"/>
          <w:color w:val="auto"/>
        </w:rPr>
        <w:t>By:</w:t>
      </w:r>
      <w:r>
        <w:rPr>
          <w:rFonts w:ascii="Arial" w:cs="Arial" w:eastAsia="Arial" w:hAnsi="Arial"/>
          <w:sz w:val="19"/>
          <w:szCs w:val="19"/>
          <w:u w:val="single" w:color="auto"/>
          <w:color w:val="auto"/>
        </w:rPr>
        <w:t>/s/ Keyna Skeffington</w:t>
      </w:r>
    </w:p>
    <w:p>
      <w:pPr>
        <w:spacing w:after="0" w:line="5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Name: Keyna Skeffington</w:t>
      </w:r>
    </w:p>
    <w:p>
      <w:pPr>
        <w:spacing w:after="0" w:line="4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660"/>
          </w:cols>
          <w:pgMar w:left="320" w:top="1435" w:right="91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2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2019 to December 31, 2019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columbite-tantalite (tantalum), gold, wolframite (tungsten), (together, “3TGs”) or their derivatives (“Conflict Minerals”). The “Covered Countries” for the purposes of the Rule are the Democratic Republic of the Congo (DRC),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6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This Report has been prepared by the management of LivaNova PLC (“LivaNova,” “we,” “us,” “registrant,” “Company” or “our”). It does not include the activities of variable interest entities that are not required to be consolidated.</w:t>
      </w:r>
    </w:p>
    <w:p>
      <w:pPr>
        <w:spacing w:after="0" w:line="1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This Conflict Minerals Report reports the reasonable country of origin inquiry (“RCOI”) conducted in good faith to determine whether any of the 3TGs in LivaNova’s Neuromodulation and Cardiac Surgery supply chain operations originated from the Covered Countries for the year ended December 31, 2019.</w:t>
      </w:r>
    </w:p>
    <w:p>
      <w:pPr>
        <w:spacing w:after="0" w:line="1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At LivaNova, we understand the importance of bringing both clinical and economic value to our customers. We are a strong, market-leading medical technology and services company, offering a diverse product portfolio and global reach. In fiscal year 2019, LivaNova operated as two business franchises:</w:t>
      </w:r>
    </w:p>
    <w:p>
      <w:pPr>
        <w:spacing w:after="0" w:line="125" w:lineRule="exact"/>
        <w:rPr>
          <w:sz w:val="20"/>
          <w:szCs w:val="20"/>
          <w:color w:val="auto"/>
        </w:rPr>
      </w:pPr>
    </w:p>
    <w:p>
      <w:pPr>
        <w:jc w:val="both"/>
        <w:ind w:left="660" w:hanging="328"/>
        <w:spacing w:after="0" w:line="274"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Cardiac Surgery: </w:t>
      </w:r>
      <w:r>
        <w:rPr>
          <w:rFonts w:ascii="Arial" w:cs="Arial" w:eastAsia="Arial" w:hAnsi="Arial"/>
          <w:sz w:val="17"/>
          <w:szCs w:val="17"/>
          <w:color w:val="auto"/>
        </w:rPr>
        <w:t>LivaNova is engaged in the development, production and sale of cardiac surgery products, including oxygenators, heart-lung</w:t>
      </w:r>
      <w:r>
        <w:rPr>
          <w:rFonts w:ascii="Arial" w:cs="Arial" w:eastAsia="Arial" w:hAnsi="Arial"/>
          <w:sz w:val="17"/>
          <w:szCs w:val="17"/>
          <w:b w:val="1"/>
          <w:bCs w:val="1"/>
          <w:color w:val="auto"/>
        </w:rPr>
        <w:t xml:space="preserve"> </w:t>
      </w:r>
      <w:r>
        <w:rPr>
          <w:rFonts w:ascii="Arial" w:cs="Arial" w:eastAsia="Arial" w:hAnsi="Arial"/>
          <w:sz w:val="17"/>
          <w:szCs w:val="17"/>
          <w:color w:val="auto"/>
        </w:rPr>
        <w:t>machines, perfusion tubing systems, cannulae and other accessories used for extracorporeal circulation, systems for autologous blood transfusion and blood washing, as well as a complete line of surgical tissue and mechanical heart valve replacements and repair products. In 2018, we acquired the TandemLife business, which is focused on the delivery of leading-edge temporary life support systems, including cardiopulmonary and respiratory support solutions. As 2019 represented TandemLife’s first full fiscal year under LivaNova operational and financial control, the supply chain due diligence activities have been included in this report.</w:t>
      </w:r>
    </w:p>
    <w:p>
      <w:pPr>
        <w:spacing w:after="0" w:line="65"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Neuromodulation: </w:t>
      </w:r>
      <w:r>
        <w:rPr>
          <w:rFonts w:ascii="Arial" w:cs="Arial" w:eastAsia="Arial" w:hAnsi="Arial"/>
          <w:sz w:val="18"/>
          <w:szCs w:val="18"/>
          <w:color w:val="auto"/>
        </w:rPr>
        <w:t>LivaNova designs, develops and markets neuromodulation-based medical devices for the treatment of epilepsy, depression,</w:t>
      </w:r>
      <w:r>
        <w:rPr>
          <w:rFonts w:ascii="Arial" w:cs="Arial" w:eastAsia="Arial" w:hAnsi="Arial"/>
          <w:sz w:val="18"/>
          <w:szCs w:val="18"/>
          <w:b w:val="1"/>
          <w:bCs w:val="1"/>
          <w:color w:val="auto"/>
        </w:rPr>
        <w:t xml:space="preserve"> </w:t>
      </w:r>
      <w:r>
        <w:rPr>
          <w:rFonts w:ascii="Arial" w:cs="Arial" w:eastAsia="Arial" w:hAnsi="Arial"/>
          <w:sz w:val="18"/>
          <w:szCs w:val="18"/>
          <w:color w:val="auto"/>
        </w:rPr>
        <w:t>heart failure, and sleep apnea. Our seminal neuromodulation products consist of an implantable pulse generator and connective lead that work to stimulate the vagus nerve; surgical equipment to assist with the implant procedure; equipment and software to configure and set parameters; and magnets to manually suspend or induce nerve stimulation. In 2018, LivaNova acquired the ImThera business, which manufactures an implantable device that stimulates multiple tongue muscles via the hypoglossal nerve for the treatment of obstructive sleep apnea. As 2019 represented ImThera’s first full fiscal year under LivaNova operational and financial control, the supply chain due diligence activities have been included in this report.</w:t>
      </w:r>
    </w:p>
    <w:p>
      <w:pPr>
        <w:spacing w:after="0" w:line="20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broad and complex product range may contain conflict minerals within the following components:</w:t>
      </w:r>
    </w:p>
    <w:p>
      <w:pPr>
        <w:sectPr>
          <w:pgSz w:w="11900" w:h="16838" w:orient="portrait"/>
          <w:cols w:equalWidth="0" w:num="1">
            <w:col w:w="11240"/>
          </w:cols>
          <w:pgMar w:left="320" w:top="1431" w:right="339" w:bottom="1440" w:gutter="0" w:footer="0" w:header="0"/>
        </w:sectPr>
      </w:pPr>
    </w:p>
    <w:bookmarkStart w:id="4" w:name="page5"/>
    <w:bookmarkEnd w:id="4"/>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Tin, used in electrical components, printed circuit board assembly (PCBA), hardware, and equipment;</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3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LivaNova divested its Cardiac Rhythm Management (CRM) business in 2018. As such, this report no longer contains information specific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CRM.</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 information on LivaNova is available at </w:t>
      </w:r>
      <w:r>
        <w:rPr>
          <w:rFonts w:ascii="Arial" w:cs="Arial" w:eastAsia="Arial" w:hAnsi="Arial"/>
          <w:sz w:val="18"/>
          <w:szCs w:val="18"/>
          <w:u w:val="single" w:color="auto"/>
          <w:color w:val="auto"/>
        </w:rPr>
        <w:t>www.livanova.com</w:t>
      </w:r>
      <w:r>
        <w:rPr>
          <w:rFonts w:ascii="Arial" w:cs="Arial" w:eastAsia="Arial" w:hAnsi="Arial"/>
          <w:sz w:val="18"/>
          <w:szCs w:val="18"/>
          <w:color w:val="auto"/>
        </w:rPr>
        <w:t>.</w:t>
      </w:r>
    </w:p>
    <w:p>
      <w:pPr>
        <w:spacing w:after="0" w:line="23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We strive to conduct our activities in a manner that reflects our mission and Code of Business Conduct and Ethics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LivaNova supports the goals and objectives of Section 1502 of the Dodd Frank Act and upholds responsible sourcing practices. We expect our suppliers to support our efforts to comply with the Dodd Frank Act and to proactively identify and work towards eliminating the use of any minerals that fund or benefit armed groups from within our supply chain. In addition, we expect our suppliers to conduct business operations in an ethical manner and to comply with our Code of Conduct and all applicable laws related to environmental responsibility, workplace health and safety, and human resources.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36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beginning our analysis in conjunction with our partners at Assent Compliance, we first determined which of our products contained 3TGs necessary to the functionality or production of such products. We then conducted a good faith reasonable country of origin inquiry with respect to 3TGs contained in our products by assessing our supply chain in accordance with the framework in The Organization for Economic Co-Operation and Development (“OECD”) Due Diligence Guidance for Responsible Supply Chains of Minerals from Conflict Affected and High-Risk Areas and the related supplements for gold, tin, tantalum and tungsten (the “OECD Guidance”).</w:t>
      </w: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RCOI was designed to determine whether any 3TGs contained in our products originated in the Covered Countries.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began our supplier scoping process by:</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products commercially distributed in 2019 potentially contained one or more of the 3TGs;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20"/>
          <w:szCs w:val="20"/>
          <w:color w:val="auto"/>
        </w:rPr>
        <w:t>2</w:t>
      </w:r>
    </w:p>
    <w:p>
      <w:pPr>
        <w:sectPr>
          <w:pgSz w:w="11900" w:h="16838" w:orient="portrait"/>
          <w:cols w:equalWidth="0" w:num="1">
            <w:col w:w="11240"/>
          </w:cols>
          <w:pgMar w:left="320" w:top="1435" w:right="339" w:bottom="1440" w:gutter="0" w:footer="0" w:header="0"/>
        </w:sectPr>
      </w:pPr>
    </w:p>
    <w:bookmarkStart w:id="5" w:name="page6"/>
    <w:bookmarkEnd w:id="5"/>
    <w:p>
      <w:pPr>
        <w:spacing w:after="0" w:line="225" w:lineRule="exact"/>
        <w:rPr>
          <w:sz w:val="20"/>
          <w:szCs w:val="20"/>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our suppliers that manufactured or contracted to manufacture components or products containing these 3TGs contained in our distributed products; and</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this list composed of suppliers and parts associated with the in-scope products to Assent Compliance for upload to the Assent Compliance Manager (“ACM”).</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 a third-party service provider.</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collect data on the materials’ sources of origin procured by the supply chain, LivaNova utilized the Conflict Minerals Reporting Template (“CMRT”) version 5.12 to conduct a survey of all in-scope suppliers.</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supplier survey, LivaNova contacted 360 suppliers via ACM, a software-as-a-service (SaaS) platform provided by Assent Compliance that enables users to complete and track supplier communications, and allows suppliers to upload completed CMRTs directly to the platform for validation, assessment and management. The ACM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performed, are managed through this platform.</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Via the ACM and Assent Compliance team, LivaNova requested that all suppliers, identified as possibly providing components containing 3TGs, complete a CMRT. Training and education to guide suppliers on best practices and the use of this template was included. Assent Compliance monitored and tracked all communications in the ACM for future reporting and transparency. LivaNova directly contacted suppliers that were unresponsive to Assent Compliances’ repeated communication attempts during the diligence process and requested these suppliers complete the CMRT and submit it to Assent Compliance.</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LivaNova’s program continues to include automated data validation on all submitted CMRTs. The goal of data validation is to increase the accuracy of submissions and identify any contradictory answers in the CMRT. This data validation is based on questions within the declaration tab of the CMRT which helps to identify areas that require further classification or risk assessment, as well as understand the due diligence efforts of the Tier 1 suppliers. The results of this data validation contribute to the program’s health assessment and are shared with the suppliers to ensure they understand areas that require clarification or improvement.</w:t>
      </w:r>
    </w:p>
    <w:p>
      <w:pPr>
        <w:spacing w:after="0" w:line="21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submitted forms are accepted and classified as valid or invalid so that data is retained. Suppliers are contacted regarding invalid forms and are encouraged to submit a valid form. Suppliers are also provided with guidance on how to correct these validation errors in the form of feedback to their CMRT submission, training courses and direct engagement help through Assent Compliances’ multilingual Supplier Experience team. Since some suppliers may remain unresponsive to feedback, LivaNova tracks program gaps to account for future improvement opportunities. As of May 20, 2020, there were 10 invalid or incomplete supplier submissions that could not be corrected. As of May 20, 2020, there were 360 suppliers in scope of the conflict minerals program and 201 provided a completed CMRT. LivaNova’s total response rate for this reporting year was 56%.</w:t>
      </w:r>
    </w:p>
    <w:p>
      <w:pPr>
        <w:spacing w:after="0" w:line="19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 findings through the RCOI process, LivaNova was able to determine the countries of origin for a large portion of the 3TGs in its products. As such, LivaNova continued to perform further due diligence on the source and chain of custody of the minerals in question.</w:t>
      </w:r>
    </w:p>
    <w:p>
      <w:pPr>
        <w:spacing w:after="0" w:line="187"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6"/>
          <w:szCs w:val="16"/>
          <w:color w:val="auto"/>
        </w:rPr>
        <w:t>There were some suppliers who were unable to provide smelter or refiner lists and suppliers who could not provide full smelter lists. Accordingly, before conducting an in-depth examination of the smelter information itself, it is important to note that since LivaNova was unable to obtain full smelter information from all in-scope suppliers, LivaNova is unable to confidently state the countries of origin for all 3TGs contained in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3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 Design of Due Diligence</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LivaNova designed its due diligence process to be in conformity, in all material respects, with the due diligence framework of the OECD Due Diligence Guidance and related supplements. The program aligns with the five steps for due diligence that are described by the OECD Guidance and LivaNova continues to evaluate market expectations for data collection and reporting to achieve continuous improvement opportunities.</w:t>
      </w:r>
    </w:p>
    <w:p>
      <w:pPr>
        <w:spacing w:after="0" w:line="1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Due diligence requires LivaNova’s necessary reliance on data provided by direct suppliers and third-party audit programs. There is a risk of incomplete or inaccurate data as the process cannot fully be owned by LivaNova. However, through continued outreach and process validation, this aligns with industry standards and market expectations for downstream companies’ due diligence.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4.1.1 Establish Strong Company Management and Control Systems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 Minerals Policy</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LivaNova has adopted a Conflict Minerals Policy, which is provided in section 2 of this report.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LivaNova has established a management team relating to conflict minerals. In 2019, our management team was overseen by the Senior Vice President of Global Operations and a team of subject matter experts from relevant functions such as, supply chain, operations, finance and legal. The team of subject matter experts is responsible for implementing our conflict minerals compliance strategy and was led by the Vice President of Neuromodulation Operations, who acts as the Conflict Minerals Program Manager. Assent Compliance provided relevant training sessions, and members of the team from Sourcing and Operations participated.</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LivaNova leverages Assent Compliances’ Managed Services in order to work with dedicated program specialists who support LivaNova’s conflict minerals program. LivaNova communicates regularly with the Assent Compliance team to receive updates on program status. Each member of Assent Compliance’s Customer Success team is trained in conflict minerals compliance and understands the intricacies of the CMRT and conflict minerals reporting, as well as Section 1502 of the Dodd-Frank Act.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Control Systems</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Controls include, but are not limited to, our Code of Business Conduct and Ethics which outlines certain expected behaviors for all employees. In addition, we rely on our direct suppliers to provide information on the origin of the 3TGs contained in components and materials supplied to us, including sources of 3TGs that are supplied to them from lower tier suppliers.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70" w:lineRule="exact"/>
        <w:rPr>
          <w:sz w:val="20"/>
          <w:szCs w:val="20"/>
          <w:color w:val="auto"/>
        </w:rPr>
      </w:pPr>
    </w:p>
    <w:p>
      <w:pPr>
        <w:jc w:val="both"/>
        <w:ind w:firstLine="644"/>
        <w:spacing w:after="0" w:line="293" w:lineRule="auto"/>
        <w:rPr>
          <w:sz w:val="20"/>
          <w:szCs w:val="20"/>
          <w:color w:val="auto"/>
        </w:rPr>
      </w:pPr>
      <w:r>
        <w:rPr>
          <w:rFonts w:ascii="Arial" w:cs="Arial" w:eastAsia="Arial" w:hAnsi="Arial"/>
          <w:sz w:val="18"/>
          <w:szCs w:val="18"/>
          <w:color w:val="auto"/>
        </w:rPr>
        <w:t>As we do not have a direct relationship with 3TGs smelters and refiners, we are engaged and actively cooperate with other manufacturers in our industry and other sectors. We rely primarily on our Tier 1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8"/>
          <w:szCs w:val="18"/>
          <w:color w:val="auto"/>
        </w:rPr>
        <w:t>suppliers to provide information on the origin of the 3TGs contained in components and materials supplied to us, including sources of 3TGs that are supplied to them from lower tier suppliers.</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have leveraged existing communications within the Company, specifically through our procurement personnel, to encourage supplier interactions with Assent Compliance as well for them to understand the need for completion of the surveys. Feedback from this process has allowed us to enhance, focus, and adapt the training to each user’s needs. It has also allowed for our supplier communications to be more focused and ensure expectations are clear.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70" w:lineRule="exact"/>
        <w:rPr>
          <w:sz w:val="20"/>
          <w:szCs w:val="20"/>
          <w:color w:val="auto"/>
        </w:rPr>
      </w:pPr>
    </w:p>
    <w:p>
      <w:pPr>
        <w:jc w:val="both"/>
        <w:ind w:firstLine="644"/>
        <w:spacing w:after="0" w:line="275" w:lineRule="auto"/>
        <w:rPr>
          <w:sz w:val="20"/>
          <w:szCs w:val="20"/>
          <w:color w:val="auto"/>
        </w:rPr>
      </w:pPr>
      <w:r>
        <w:rPr>
          <w:rFonts w:ascii="Arial" w:cs="Arial" w:eastAsia="Arial" w:hAnsi="Arial"/>
          <w:sz w:val="18"/>
          <w:szCs w:val="18"/>
          <w:color w:val="auto"/>
        </w:rPr>
        <w:t>LivaNova proactively promotes ethical behavior and encourages employees to report violation of laws, regulations, our Code of Ethics and Business Conduct and our policies and procedures. While we encourage employees to raise issues with their managers, we have also recently introduced a new and improved Ethics and Integrity Helpline where concerns can be reported confidentially and anonymously. All reports received are triaged to ensure timely and effective follow 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We have retained relevant documentation from our RCOI and due diligence process. Through Assent Compliance, a document retention policy to retain conflict minerals related documents, including supplier responses to CMRTs and the sources identified within each reporting period, has been implemented.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4.1.2 Identify and Assess Risk in Our Supply Chain</w:t>
      </w:r>
    </w:p>
    <w:p>
      <w:pPr>
        <w:spacing w:after="0" w:line="27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Because of our size, the complexity of our products, and the depth, breadth, and constant evolution of our supply chain, it is difficult for us to identify actors upstream from our direct suppliers.</w:t>
      </w:r>
    </w:p>
    <w:p>
      <w:pPr>
        <w:spacing w:after="0" w:line="197" w:lineRule="exact"/>
        <w:rPr>
          <w:sz w:val="20"/>
          <w:szCs w:val="20"/>
          <w:color w:val="auto"/>
        </w:rPr>
      </w:pPr>
    </w:p>
    <w:p>
      <w:pPr>
        <w:jc w:val="both"/>
        <w:ind w:firstLine="567"/>
        <w:spacing w:after="0" w:line="272" w:lineRule="auto"/>
        <w:rPr>
          <w:sz w:val="20"/>
          <w:szCs w:val="20"/>
          <w:color w:val="auto"/>
        </w:rPr>
      </w:pPr>
      <w:r>
        <w:rPr>
          <w:rFonts w:ascii="Arial" w:cs="Arial" w:eastAsia="Arial" w:hAnsi="Arial"/>
          <w:sz w:val="18"/>
          <w:szCs w:val="18"/>
          <w:color w:val="auto"/>
        </w:rPr>
        <w:t>As a result of a thorough review of the bill of materials (BOMs) of the products we distributed in 2019, for which we manufactured or contracted out manufacturing, we identified 360 direct suppliers to the company that may provide materials which contain any of the 3TGs. We rely on suppliers whose materials or components contain 3TGs to provide us with information about the source of 3TGs contained in those materials or components. Our direct suppliers similarly rely upon information provided by their suppliers. Many of the largest suppliers either are SEC registrants and subject to the Rule or are suppliers to other SEC registrants that are subject to the Rule.</w:t>
      </w:r>
    </w:p>
    <w:p>
      <w:pPr>
        <w:spacing w:after="0" w:line="21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accordance with OECD Guidelines, it is important to understand risk levels associated with 3TGs in the supply chain. Smelter(s) or refiner(s) (“SORs”) that are not certified as DRC-Conflict Free by third party sources such as the Responsible Minerals Initiative – RMI pose a potential risk. Where a smelter is not identified as Conflict Free, it is assigned a risk rating of High, Medium, or Low. This rating is based on various factors, including the SOR’s geographic location, including proximity to the Covered Countries, the SOR’s Responsible Minerals Assurance Process – RMAP audit status, and any known or plausible evidence of unethical or conflicting sourcing.</w:t>
      </w:r>
    </w:p>
    <w:p>
      <w:pPr>
        <w:spacing w:after="0" w:line="15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8"/>
          <w:szCs w:val="18"/>
          <w:color w:val="auto"/>
        </w:rPr>
        <w:t>We calculate supplier risk based on the chances that a supplier provides 3TGs that may originate from Non-Conflict Free sources. The value of this risk is calculated based on the risk ratings of the smelters declared by that supplier on their CMRT. Based on the above criteria, the following facilities have been identified as being of highest concern to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35" w:right="339" w:bottom="1440" w:gutter="0" w:footer="0" w:header="0"/>
        </w:sectPr>
      </w:pPr>
    </w:p>
    <w:bookmarkStart w:id="8" w:name="page9"/>
    <w:bookmarkEnd w:id="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305"/>
        </w:trPr>
        <w:tc>
          <w:tcPr>
            <w:tcW w:w="1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Metal</w:t>
            </w:r>
          </w:p>
        </w:tc>
        <w:tc>
          <w:tcPr>
            <w:tcW w:w="376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22"/>
                <w:szCs w:val="22"/>
                <w:b w:val="1"/>
                <w:bCs w:val="1"/>
                <w:color w:val="auto"/>
              </w:rPr>
              <w:t>Standard Smelter Name</w:t>
            </w:r>
          </w:p>
        </w:tc>
        <w:tc>
          <w:tcPr>
            <w:tcW w:w="388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22"/>
                <w:szCs w:val="22"/>
                <w:b w:val="1"/>
                <w:bCs w:val="1"/>
                <w:color w:val="auto"/>
              </w:rPr>
              <w:t>Smelter Facility Location</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Smelter ID</w:t>
            </w:r>
          </w:p>
        </w:tc>
      </w:tr>
      <w:tr>
        <w:trPr>
          <w:trHeight w:val="249"/>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Gold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African Gold Refinery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UGANDA</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CID003185</w:t>
            </w:r>
          </w:p>
        </w:tc>
      </w:tr>
      <w:tr>
        <w:trPr>
          <w:trHeight w:val="25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Gold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Fidelity Printers and Refiners Ltd.</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CID002515</w:t>
            </w:r>
          </w:p>
        </w:tc>
      </w:tr>
      <w:tr>
        <w:trPr>
          <w:trHeight w:val="25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Gold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Kaloti Precious Metals</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CID002563</w:t>
            </w:r>
          </w:p>
        </w:tc>
      </w:tr>
      <w:tr>
        <w:trPr>
          <w:trHeight w:val="25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Gold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Sudan Gold Refinery</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SUDAN</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CID002567</w:t>
            </w:r>
          </w:p>
        </w:tc>
      </w:tr>
      <w:tr>
        <w:trPr>
          <w:trHeight w:val="25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Gold</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Tony Goetz NV</w:t>
            </w:r>
          </w:p>
        </w:tc>
        <w:tc>
          <w:tcPr>
            <w:tcW w:w="3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CID002587</w:t>
            </w:r>
          </w:p>
        </w:tc>
      </w:tr>
    </w:tbl>
    <w:p>
      <w:pPr>
        <w:spacing w:after="0" w:line="350" w:lineRule="exact"/>
        <w:rPr>
          <w:sz w:val="20"/>
          <w:szCs w:val="20"/>
          <w:color w:val="auto"/>
        </w:rPr>
      </w:pPr>
    </w:p>
    <w:p>
      <w:pPr>
        <w:ind w:right="20" w:firstLine="648"/>
        <w:spacing w:after="0" w:line="275" w:lineRule="auto"/>
        <w:rPr>
          <w:sz w:val="20"/>
          <w:szCs w:val="20"/>
          <w:color w:val="auto"/>
        </w:rPr>
      </w:pPr>
      <w:r>
        <w:rPr>
          <w:rFonts w:ascii="Arial" w:cs="Arial" w:eastAsia="Arial" w:hAnsi="Arial"/>
          <w:sz w:val="18"/>
          <w:szCs w:val="18"/>
          <w:color w:val="auto"/>
        </w:rPr>
        <w:t>When these facilities were reported on a CMRT by one of the suppliers surveyed, risk mitigation activities are initiated. Through our third-party vendor, Assent Compliance, submissions that include any of the above facilities immediately produce a receipt instructing the supplier to take their own risk mitigation actions, including submission of a product specific CMRT to better identify the connection to products that they supply to the Company, and escalating up to removal of these high-risk smelters from their supply chain.</w:t>
      </w:r>
    </w:p>
    <w:p>
      <w:pPr>
        <w:spacing w:after="0" w:line="14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15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you have a policy in place that includes DRC conflict-free sourcing?</w:t>
      </w:r>
    </w:p>
    <w:p>
      <w:pPr>
        <w:spacing w:after="0" w:line="36" w:lineRule="exact"/>
        <w:rPr>
          <w:rFonts w:ascii="Arial" w:cs="Arial" w:eastAsia="Arial" w:hAnsi="Arial"/>
          <w:sz w:val="18"/>
          <w:szCs w:val="18"/>
          <w:color w:val="auto"/>
        </w:rPr>
      </w:pPr>
    </w:p>
    <w:p>
      <w:pPr>
        <w:ind w:left="960" w:hanging="304"/>
        <w:spacing w:after="0"/>
        <w:tabs>
          <w:tab w:leader="none" w:pos="960" w:val="left"/>
        </w:tabs>
        <w:numPr>
          <w:ilvl w:val="0"/>
          <w:numId w:val="10"/>
        </w:numPr>
        <w:rPr>
          <w:rFonts w:ascii="Arial" w:cs="Arial" w:eastAsia="Arial" w:hAnsi="Arial"/>
          <w:sz w:val="20"/>
          <w:szCs w:val="20"/>
          <w:color w:val="auto"/>
        </w:rPr>
      </w:pPr>
      <w:r>
        <w:rPr>
          <w:rFonts w:ascii="Arial" w:cs="Arial" w:eastAsia="Arial" w:hAnsi="Arial"/>
          <w:sz w:val="18"/>
          <w:szCs w:val="18"/>
          <w:color w:val="auto"/>
        </w:rPr>
        <w:t>Have you implemented due diligence measures for conflict-free sourcing?</w:t>
      </w:r>
    </w:p>
    <w:p>
      <w:pPr>
        <w:spacing w:after="0" w:line="13" w:lineRule="exact"/>
        <w:rPr>
          <w:rFonts w:ascii="Arial" w:cs="Arial" w:eastAsia="Arial" w:hAnsi="Arial"/>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you review due diligence information received from your suppliers against your company’s expectations?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you verify due diligence information received from your suppliers?</w:t>
      </w:r>
    </w:p>
    <w:p>
      <w:pPr>
        <w:spacing w:after="0" w:line="2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When suppliers answer yes, they are deemed to have a strong program. When suppliers do not meet those criteria, they are deemed to have a weak program.</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The SORs listed by suppliers in their CMRTs were matched against a database of verified SORs. Verified SORs were matched against available lists of processors that have been certified by internationally-recognized industry validation schemes, such as the RMI’s Responsible Minerals Assurance Process – RMAP.</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cases where suppliers and products were associated with certified SORs, they were categorized by the Company as “DRC Conflict Free.”</w:t>
      </w:r>
    </w:p>
    <w:p>
      <w:pPr>
        <w:spacing w:after="0" w:line="2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If the SOR was not certified by an internationally-recognized organization, research was conducted to gain more information about the SOR’s sourcing practices, including countries of origin and transfer, and whether there were any internal due diligence procedures in place or other processes the SOR had taken to track the chain-of-custody on the source of its mineral ores.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Tracing materials back to their mine of origin is a complex aspect of responsible sourcing in our supply chain. We have determined that seeking information about 3TG SORs in our supply chain represents the most reasonable effort we can make to determine the mines or locations of origin of the 3TGs in our supply chain. This was done by adopting methodology outlined by the RMI’s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 the 3TGs in our supply chain. We also requested that all our suppliers support the initiative by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sourcing initiative and working to align their declared sources with the “Known” and “Conflict Free” lists of sourced metals.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4.1.3 Design and Implement a Strategy to Respond to Risks</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Together with Assent Compliance, LivaNova developed processes to assess and respond to the risks identified in the supply chain. LivaNova has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pacing w:after="0" w:line="21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7"/>
          <w:szCs w:val="17"/>
          <w:color w:val="auto"/>
        </w:rPr>
        <w:t>Feedback on supplier submissions is given directly to suppliers and educational resources are provided to assist suppliers in corrective action methods or to improve their internal programs. Assent Compliance also communicates directly with smelters that have not yet been determined to be conformant with the RMAP in order to request sourcing information and encourage their involvement with the RMI program.</w:t>
      </w:r>
    </w:p>
    <w:p>
      <w:pPr>
        <w:spacing w:after="0" w:line="191" w:lineRule="exact"/>
        <w:rPr>
          <w:sz w:val="20"/>
          <w:szCs w:val="20"/>
          <w:color w:val="auto"/>
        </w:rPr>
      </w:pPr>
    </w:p>
    <w:p>
      <w:pPr>
        <w:jc w:val="both"/>
        <w:ind w:firstLine="571"/>
        <w:spacing w:after="0" w:line="293" w:lineRule="auto"/>
        <w:rPr>
          <w:sz w:val="20"/>
          <w:szCs w:val="20"/>
          <w:color w:val="auto"/>
        </w:rPr>
      </w:pPr>
      <w:r>
        <w:rPr>
          <w:rFonts w:ascii="Arial" w:cs="Arial" w:eastAsia="Arial" w:hAnsi="Arial"/>
          <w:sz w:val="18"/>
          <w:szCs w:val="18"/>
          <w:color w:val="auto"/>
        </w:rPr>
        <w:t>In cases where suppliers have continuously been non-responsive or are not committed to corrective action plans, LivaNova will assess if replacing that supplier is feasible.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4.1.4 Carry out Independent Third Party Audit of Supply Chain Due Diligence at Identified Points in the Supply Chain</w:t>
      </w:r>
    </w:p>
    <w:p>
      <w:pPr>
        <w:spacing w:after="0" w:line="2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LivaNova does not have a direct relationship with SORs of 3TGs and as a result, LivaNova does not perform direct audits of these entities in its supply chain. LivaNova relies on the efforts of the industry associations that administer independent third-party SOR audit programs and encourages suppliers with more direct relationships with SORs to participate in comparable due diligence validation activities.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4.1.5 Report on Supply Chain Due Diligence</w:t>
      </w:r>
    </w:p>
    <w:p>
      <w:pPr>
        <w:spacing w:after="0" w:line="189"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color w:val="auto"/>
        </w:rPr>
        <w:t xml:space="preserve">This Conflict Minerals Report is being filed with the SEC as an exhibit to our specialized disclosure report on Form SD and is available on our website at </w:t>
      </w:r>
      <w:r>
        <w:rPr>
          <w:rFonts w:ascii="Arial" w:cs="Arial" w:eastAsia="Arial" w:hAnsi="Arial"/>
          <w:sz w:val="18"/>
          <w:szCs w:val="18"/>
          <w:u w:val="single" w:color="auto"/>
          <w:color w:val="auto"/>
        </w:rPr>
        <w:t>https://investor.livanova.com/sec-filings</w:t>
      </w:r>
      <w:r>
        <w:rPr>
          <w:rFonts w:ascii="Arial" w:cs="Arial" w:eastAsia="Arial" w:hAnsi="Arial"/>
          <w:sz w:val="18"/>
          <w:szCs w:val="18"/>
          <w:color w:val="auto"/>
        </w:rPr>
        <w:t>.</w:t>
      </w:r>
    </w:p>
    <w:p>
      <w:pPr>
        <w:spacing w:after="0" w:line="20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70"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6"/>
          <w:szCs w:val="16"/>
          <w:color w:val="auto"/>
        </w:rPr>
        <w:t>During our due diligence efforts, members of Assent Compliance and/or members of the LivaNova supply chain team made at least three follow-up inquiries to each “non-responsive”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3TGs that these suppliers reported was contained in components or parts supplied to us are actually in our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35" w:right="339" w:bottom="1440" w:gutter="0" w:footer="0" w:header="0"/>
        </w:sectPr>
      </w:pPr>
    </w:p>
    <w:bookmarkStart w:id="10" w:name="page11"/>
    <w:bookmarkEnd w:id="10"/>
    <w:p>
      <w:pPr>
        <w:jc w:val="both"/>
        <w:ind w:firstLine="648"/>
        <w:spacing w:after="0" w:line="288" w:lineRule="auto"/>
        <w:rPr>
          <w:sz w:val="20"/>
          <w:szCs w:val="20"/>
          <w:color w:val="auto"/>
        </w:rPr>
      </w:pPr>
      <w:r>
        <w:rPr>
          <w:rFonts w:ascii="Arial" w:cs="Arial" w:eastAsia="Arial" w:hAnsi="Arial"/>
          <w:sz w:val="17"/>
          <w:szCs w:val="17"/>
          <w:color w:val="auto"/>
        </w:rPr>
        <w:t xml:space="preserve">As noted above, we received 201 responses from our in-scope suppliers as of May 20, 2020. Based on these responses, for all responses that indicated a SOR, our third-party consultant compared the facilities listed to the list of SORs maintained by the RMI. If a supplier indicated that the facility was certified as “Conflict-Free,” Assent Compliance confirmed that the name was listed by RMI as a certified SOR. No violations were identified. As of May 20, 2020, we have validated 305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all legitimate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B</w:t>
      </w:r>
      <w:r>
        <w:rPr>
          <w:rFonts w:ascii="Arial" w:cs="Arial" w:eastAsia="Arial" w:hAnsi="Arial"/>
          <w:sz w:val="17"/>
          <w:szCs w:val="17"/>
          <w:color w:val="auto"/>
        </w:rPr>
        <w:t xml:space="preserve"> includes an aggregated list of the potential countries of origin from which the reported facilities collectively source conflict minerals, based upon information provided by suppliers and RMI.</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Based on the smelter lists provided by suppliers via the CMRTs and publicly available information, we have identified 235 SORs that are certified conflict free smelters by the RMI.</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By requesting our suppliers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3TGs SORs in our supply chain represents the most reasonable effort we can make to determine the mines or locations of origin of the 3TGs in our supply chain.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Planned Process Improvements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266"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Track and add new suppliers, providing components containing 3TG, the conflict minerals program.</w:t>
      </w:r>
    </w:p>
    <w:p>
      <w:pPr>
        <w:spacing w:after="0" w:line="265" w:lineRule="exact"/>
        <w:rPr>
          <w:rFonts w:ascii="Arial" w:cs="Arial" w:eastAsia="Arial" w:hAnsi="Arial"/>
          <w:sz w:val="18"/>
          <w:szCs w:val="18"/>
          <w:color w:val="auto"/>
        </w:rPr>
      </w:pPr>
    </w:p>
    <w:p>
      <w:pPr>
        <w:ind w:left="980" w:hanging="324"/>
        <w:spacing w:after="0" w:line="29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the response rate and improve the content of the supplier survey responses.</w:t>
      </w:r>
    </w:p>
    <w:p>
      <w:pPr>
        <w:spacing w:after="0" w:line="196" w:lineRule="exact"/>
        <w:rPr>
          <w:rFonts w:ascii="Arial" w:cs="Arial" w:eastAsia="Arial" w:hAnsi="Arial"/>
          <w:sz w:val="18"/>
          <w:szCs w:val="18"/>
          <w:color w:val="auto"/>
        </w:rPr>
      </w:pPr>
    </w:p>
    <w:p>
      <w:pPr>
        <w:ind w:left="980" w:hanging="324"/>
        <w:spacing w:after="0" w:line="324" w:lineRule="auto"/>
        <w:tabs>
          <w:tab w:leader="none" w:pos="975"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Engage any of our suppliers found to be supplying us with 3TG from sources in the DRC or any adjoining country that they cannot demonstrate are “DRC conflict free” to establish an alternative source of 3TG that they can demonstrate are “DRC conflict 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35" w:right="3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u w:val="single" w:color="auto"/>
          <w:color w:val="auto"/>
        </w:rPr>
        <w:t>Appendix A 2019 Smelter or Refiner (SOR) List</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following smelters and refiners were reported by our suppliers as being in their supply chains. Only those which we were able to be validated as being legitimate are provided. The validation process involves cross-referencing incoming data from our suppliers with the Assent Database, as well as the latest publicly available Responsible Minerals Initiative (RMI) smelter data.</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Metal</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Standard Smelter Name</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Facility Location</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Smelter ID</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8853 S.p.A.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Abington Reldan Metals,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Advanced Chemical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African Gold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UGANDA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Aida Chemical Industries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CID000019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 Etihad Gold Refinery DMCC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Allgemeine Gold-und Silberscheideanstalt A.G.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CID000035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Almalyk Mining and Metallurgical Complex (AMMC)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CID000041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AngloGold Ashanti Corrego do Sitio Mineracao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Argor-Heraeus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CID000077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Pretec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Canada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Asahi Refining USA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Atasay Kuyumculuk Sanayi Ve Ticaret 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 Traders and Refiners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Aurubis AG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CID000113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Bangalore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Bangko Sentral ng Pilipinas (Central Bank of the Philippines)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CID000128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Boliden AB</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SWEDEN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CID000157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 Hafner GmbH + Co. KG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CID000176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 Metales Procesados Industriales SAS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COLOMBIA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Caridad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CCR Refinery - Glencore Canada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Cendres + Metaux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CID000189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CGR Metalloys Pvt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Chimet S.p.A.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CID000233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Chugai Mining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CID000264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Daye Non-Ferrous Metals Mining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CID000343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140"/>
          </w:cols>
          <w:pgMar w:left="320" w:top="1431" w:right="43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Degussa Sonne / Mond Goldhandel GmbH</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CID002867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Dijllah Gold Refinery FZC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CID003348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DODUCO Contacts and Refining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CID000362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 PRETECH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DSC (Do Sung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CID000359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 East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 North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Eco-System Recycling Co., Ltd. West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Emirates Gold DMCC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Fidelity Printers and Refiners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ZIMBABWE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Fujairah Gold FZC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GCC Gujrat Gold Centre Pvt.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Geib Refining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CID002459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Coast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GHANA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Gold Refinery of Zijin Mining Group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CID002243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Great Wall Precious Metals Co., Ltd. of CBPM</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CID001909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Jinding Gold Limited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Guoda Safina High-Tech Environmental Refinery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CID000651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Hangzhou Fuchunjiang Smelting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CID000671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Heimerle + Meule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CID000694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Metals Hong Kong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CID000707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Heraeus Precious Metals GmbH &amp; Co. KG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CID000711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Guiyang yinxing Nonferrous Smelting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HwaSeong CJ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CID000778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Inner Mongolia Qiankun Gold and Silver Refinery Share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International Precious Metal Refiners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Ishifuku Metal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CID000807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Istanbul Gold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CID000814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Italpreziosi</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JALAN &amp;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CID002893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Mint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20"/>
          </w:cols>
          <w:pgMar w:left="320" w:top="1440" w:right="559"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Jiangxi Copper Co., Ltd.</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CID000855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Ekaterinburg Non-Ferrous Metal Processing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Uralelectromed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CID000929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JX Nippon Mining &amp;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CID000937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Kaloti Precious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Kazakhmys Smelting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Kazzinc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CID000957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Kennecott Utah Copper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KGHM Polska Miedz Spolka Akcyjna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Kojima Chemicals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CID000981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Zinc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Kyrgyzaltyn JSC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CID001029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Kyshtym Copper-Electrolytic Plant ZAO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CID002865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L'azurde Company For Jewelry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CID001032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Gold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Lingbao Jinyuan Tonghui Refinery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L'Orfebre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LS-NIKKO Copper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LT Metal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CID000689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Luoyang Zijin Yinhui Gold Refinery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CID001093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Marsam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CID002606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Materion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Matsuda Sangyo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CID001119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(Hong Kong)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(Singapore) Pte.,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(Suzhou)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Technologies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Metalor USA Refining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CID001157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Metalurgica Met-Mex Penoles S.A. De C.V.</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MMTC-PAMP India Pvt.,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Morris and Watson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020"/>
          </w:cols>
          <w:pgMar w:left="320" w:top="1440" w:right="559" w:bottom="1440" w:gutter="0" w:footer="0" w:header="0"/>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Moscow Special Alloys Processing Plant</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CID001204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Nadir Metal Rafineri San. Ve Tic. 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TURKEY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CID001220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Navoi Mining and Metallurgical Combinat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NH Recytech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Nihon Material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CID001259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Ogussa Osterreichische Gold- und Silber-Scheideanstalt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Ohura Precious Metal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"The Gulidov Krasnoyarsk Non-Ferrous Metals Plant" (OJSC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CID001326</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Krastsvetmet)</w:t>
            </w:r>
          </w:p>
        </w:tc>
        <w:tc>
          <w:tcPr>
            <w:tcW w:w="27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OJSC Novosibirsk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PAMP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CID001352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Pease &amp; Curren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CID002872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Penglai Penggang Gold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CID001362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Planta Recuperadora de Metales SpA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CHILE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Prioksky Plant of Non-Ferrous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CID001386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Aneka Tambang (Persero) Tbk</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PX Precinox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CID001498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QG Refining,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CID003324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Rand Refinery (Pty)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CID001512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Refinery of Seemine Gold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CID000522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REMONDIS PMR B.V.</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Royal Canadian Mint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SAAMP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CID002761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Sabin Metal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CID001546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Safimet S.p.A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CID002973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SAFINA 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CZECH REPUBLIC</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CID002290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Samduck Precious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CID001555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Samwon Metals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CID001562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SAXONIA Edelmetalle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SEMPSA Joyeria Plateria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CID001585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Humon Smelting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Shandong Tiancheng Biological Gold Industrial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CID001619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020"/>
          </w:cols>
          <w:pgMar w:left="320" w:top="1440" w:right="559" w:bottom="1440" w:gutter="0" w:footer="0" w:header="0"/>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Shandong Zhaojin Gold &amp; Silver Refinery Co., Ltd.</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CID001622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Sichuan Tianze Precious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CID001736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Singway Technology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SOE Shyolkovsky Factory of Secondary Precious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Solar Applied Materials Technology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Sovereign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State Research Institute Center for Physical Sciences and Technology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LITHUANIA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CID003153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 Gold Refinery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SUDAN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CID002567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Sumitomo Metal Mining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CID001798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SungEel HiMetal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CID002918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T.C.A S.p.A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Tanaka Kikinzoku Kogyo K.K.</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CID001875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Refinery of Shandong Gold Mining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Tokuriki Honten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CID001938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Tongling Nonferrous Metals Group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CID001947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Tony Goetz NV</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TOO Tau-Ken-Altyn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CID002615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Torecom</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CID001955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Brasil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CID001977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Precious Metals Thailand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Umicore S.A. Business Unit Precious Metals Refining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CID001980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Precious Metal Refining,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CID001993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Valcambi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CID002003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Western Australian Mint (T/a The Perth Mint)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WIELAND Edelmetalle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Yamakin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CID002100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Yokohama Metal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CID002129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Copper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CID000197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Gold</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Zhongyuan Gold Smelter of Zhongjin Gold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CID002224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Asaka Riken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CID000092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Changsha South Tantalum Niobium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020"/>
          </w:cols>
          <w:pgMar w:left="320" w:top="1440" w:right="559" w:bottom="1440" w:gutter="0" w:footer="0" w:header="0"/>
        </w:sectPr>
      </w:pPr>
    </w:p>
    <w:bookmarkStart w:id="16" w:name="page17"/>
    <w:bookmarkEnd w:id="1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 Block Metals, LLC</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Exotech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F&amp;X Electro-Materials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 Metals &amp; Resource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Aizu</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Advanced Metals Boyertown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Zhiyuan New Material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CID000616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Hermsdorf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Tantalum and Niobium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Hengyang King Xing Lifeng New Materials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Dinghai Tantalum &amp; Niobium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Tuohong New Raw Material</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JinXin Nonferrous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Tanbre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CID000917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Jiujiang Zhongao Tantalum &amp; Niobium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KEMET Blue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CID002539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LSM Brasil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Metallurgical Products India Pvt.,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CID001163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CID001175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Mitsui Mining and Smelting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Ningxia Orient Tantalum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CID001277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NPM Silmet 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CID001200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PRG Dooel</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 MACEDONIA,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CID002847</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OF</w:t>
            </w:r>
          </w:p>
        </w:tc>
        <w:tc>
          <w:tcPr>
            <w:tcW w:w="136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QuantumClean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Solikamsk Magnesium Works OAO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CID001769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Taki Chemical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CID001869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Telex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020"/>
          </w:cols>
          <w:pgMar w:left="320" w:top="1440" w:right="559" w:bottom="1440" w:gutter="0" w:footer="0" w:header="0"/>
        </w:sectPr>
      </w:pPr>
    </w:p>
    <w:bookmarkStart w:id="17" w:name="page18"/>
    <w:bookmarkEnd w:id="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Ulba Metallurgical Plant JSC</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CID001969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XinXing HaoRong Electronic Material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Tantalum</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Yanling Jincheng Tantalum &amp; Niobium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CID001522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Alpha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CID000292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 Vinh Joint Stock Mineral Processing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Yunxiang Mining and Metallurgy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CID000228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Chifeng Dajingzi Tin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CID003190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Tin Group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CID001070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Dongguan CiEXPO Environmental Engineering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Dowa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CID000402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Electro-Mechanical Facility of the Cao Bang Minerals &amp; Metallurgy Joint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CID002572</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Stock Company</w:t>
            </w:r>
          </w:p>
        </w:tc>
        <w:tc>
          <w:tcPr>
            <w:tcW w:w="27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EM Vinto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CID000438</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136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Estanho de Rondonia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CID000448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Fenix Metals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CID000468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City Fuxiang Industry and Trade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Kai Meng Industry and Trade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CID000942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Non-Ferrous Metal Processing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CID000538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Yunxin Nonferrous Electrolysis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CID001908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Gejiu Zili Mining And Metallurgy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CID000555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Hanhe Non-Ferrous Metal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Guanyang Guida Nonferrous Metal Smelting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HuiChang Hill Tin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Huichang Jinshunda Tin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New Nanshan Technology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CID001231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Luna Smelter,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RWANDA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CID003387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Ma'anshan Weitai Tin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CID003379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Magnu's Minerais Metais e Ligas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CID002468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 Smelting Corporation (MSC)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CID001105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Melt Metais e Ligas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Metallic Resources,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CID001142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Belgium N.V.</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Metallo Spain S.L.U.</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CID002774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020"/>
          </w:cols>
          <w:pgMar w:left="320" w:top="1440" w:right="559" w:bottom="1440" w:gutter="0" w:footer="0" w:header="0"/>
        </w:sectPr>
      </w:pPr>
    </w:p>
    <w:bookmarkStart w:id="18" w:name="page19"/>
    <w:bookmarkEnd w:id="1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Mineracao Taboca S.A.</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CID001173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Minsur</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Mitsubishi Materials Corporation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CID001191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Modeltech Sdn Bhd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Nghe Tinh Non-Ferrous Metals Joint Stock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 (Thailand)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CID001314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O.M. Manufacturing Philippines,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22"/>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Operaciones Metalurgicas S.A.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BOLIVIA (PLURINATIONAL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CID001337</w:t>
            </w:r>
          </w:p>
        </w:tc>
      </w:tr>
      <w:tr>
        <w:trPr>
          <w:trHeight w:val="230"/>
        </w:trPr>
        <w:tc>
          <w:tcPr>
            <w:tcW w:w="14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1360" w:type="dxa"/>
            <w:vAlign w:val="bottom"/>
            <w:tcBorders>
              <w:right w:val="single" w:sz="8" w:color="auto"/>
            </w:tcBorders>
          </w:tcPr>
          <w:p>
            <w:pPr>
              <w:spacing w:after="0"/>
              <w:rPr>
                <w:sz w:val="20"/>
                <w:szCs w:val="20"/>
                <w:color w:val="auto"/>
              </w:rPr>
            </w:pP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Pongpipat Company Limited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MYANMAR</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CID003208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Precious Minerals and Smelting Limited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Artha Cipta Langgeng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CID001399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ATD Makmur Mandiri Jaya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CID002503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Menara Cipta Mulia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Mitra Stania Prima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CID001453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Refined Bangka Tin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CID001460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Kundur</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CID001477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PT Timah Tbk Mentok</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CID001482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Resind Industria e Comercio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CID002706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Rui Da Hung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CID001539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Soft Metais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CID001758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6"/>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Super Ligas</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CID002756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 Nguyen Mining and Metallurgy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Thaisarco</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CID001898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Tin Technology &amp; Refining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Tuyen Quang Non-Ferrous Metals Joint Stock Company</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White Solder Metalurgia e Mineracao Ltda.</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CID002036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Chengfeng Non-ferrous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Tin Company Limited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CID002180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Yunnan Yunfan Non-ferrous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CID003397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A.L.M.T.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CID000004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ACL Metais Eireli</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Albasteel Industria e Comercio de Ligas Para Fundicao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CID003427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020"/>
          </w:cols>
          <w:pgMar w:left="320" w:top="1440" w:right="559" w:bottom="1440" w:gutter="0" w:footer="0" w:header="0"/>
        </w:sectPr>
      </w:pPr>
    </w:p>
    <w:bookmarkStart w:id="19" w:name="page20"/>
    <w:bookmarkEnd w:id="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Asia Tungsten Products Vietnam Ltd.</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Chenzhou Diamond Tungsten Products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CID002513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 Molybdenum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Chongyi Zhangyuan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CID000258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CNMC (Guangxi) PGMA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CID000281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CP Metals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CID003448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Ganmin RareMetal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Fujian Jinxin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CID000499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Haichuang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Huaxing Tungsten Products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CID000875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Jiangwu Ferrotungsten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Ganzhou Seadragon W &amp; Mo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CID002494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GEM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Global Tungsten &amp; Powders Corp.</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CID000568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Guangdong Xianglu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CID000218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Smelting GmbH &amp; Co. KG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H.C. Starck Tungsten GmbH</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Chenzhou Mining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Chuangda Vanadium Tungsten Co., Ltd. Wuji</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CID002579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Chunchang Nonferrous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CID000769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Hunan Litian Tungsten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CID003182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Hydrometallurg, JSC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New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CID000825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Jiangwu H.C. Starck Tungsten Products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CID002551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Gan Bei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CID002321</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Minmetals Gao'an Non-ferrous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Tonggu Non-ferrous Metallurgical &amp; Chemical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Xianglu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CID002647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Xinsheng Tungsten Industry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Jiangxi Yaosheng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JSC "Kirovgrad Hard Alloys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Fallon</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CID000966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Kennametal Huntsville</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CID000105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020"/>
          </w:cols>
          <w:pgMar w:left="320" w:top="1440" w:right="559" w:bottom="1440" w:gutter="0" w:footer="0" w:header="0"/>
        </w:sectPr>
      </w:pPr>
    </w:p>
    <w:bookmarkStart w:id="20" w:name="page21"/>
    <w:bookmarkEnd w:id="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KGETS Co., Ltd.</w:t>
            </w:r>
          </w:p>
        </w:tc>
        <w:tc>
          <w:tcPr>
            <w:tcW w:w="2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CID003388</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Lianyou Metals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CID003407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Malipo Haiyu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CID002319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Masan Tungsten Chemical LLC (MTC)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CID002543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Moliren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Niagara Refining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CID002589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NPP Tyazhmetprom LLC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CID003416</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 Chuangxin Industrial Co., Inc.</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CID002827</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Tejing (Vietnam)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VIETNAM</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CID001889</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Unecha Refractory metals plant</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CID002724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Wolfram Bergbau und Hutten AG</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CID002044</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Woltech Korea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CID002843</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(H.C.)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CID002320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Xiamen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CID002082</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Xinfeng Huarui Tungsten &amp; Molybdenum New Material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CID002830</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237"/>
        </w:trPr>
        <w:tc>
          <w:tcPr>
            <w:tcW w:w="14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Tungsten</w:t>
            </w:r>
          </w:p>
        </w:tc>
        <w:tc>
          <w:tcPr>
            <w:tcW w:w="55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Xinhai Rendan Shaoguan Tungsten Co., Ltd.</w:t>
            </w:r>
          </w:p>
        </w:tc>
        <w:tc>
          <w:tcPr>
            <w:tcW w:w="2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3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CID002095</w:t>
            </w:r>
          </w:p>
        </w:tc>
      </w:tr>
      <w:tr>
        <w:trPr>
          <w:trHeight w:val="27"/>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5500" w:type="dxa"/>
            <w:vAlign w:val="bottom"/>
            <w:tcBorders>
              <w:bottom w:val="single" w:sz="8" w:color="auto"/>
              <w:right w:val="single" w:sz="8" w:color="auto"/>
            </w:tcBorders>
          </w:tcPr>
          <w:p>
            <w:pPr>
              <w:spacing w:after="0"/>
              <w:rPr>
                <w:sz w:val="2"/>
                <w:szCs w:val="2"/>
                <w:color w:val="auto"/>
              </w:rPr>
            </w:pPr>
          </w:p>
        </w:tc>
        <w:tc>
          <w:tcPr>
            <w:tcW w:w="27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020"/>
          </w:cols>
          <w:pgMar w:left="320" w:top="1440" w:right="5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u w:val="single" w:color="auto"/>
          <w:color w:val="auto"/>
        </w:rPr>
        <w:t>Appendix B 2019 Countries of Origin List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308" w:lineRule="auto"/>
        <w:rPr>
          <w:sz w:val="20"/>
          <w:szCs w:val="20"/>
          <w:color w:val="auto"/>
        </w:rPr>
      </w:pPr>
      <w:r>
        <w:rPr>
          <w:rFonts w:ascii="Arial" w:cs="Arial" w:eastAsia="Arial" w:hAnsi="Arial"/>
          <w:sz w:val="17"/>
          <w:szCs w:val="17"/>
          <w:color w:val="222222"/>
        </w:rPr>
        <w:t>This list of potential countries of origin is populated based on publicly available information, our RCOI and due diligence. It is important to note that this is also based on company level responses and therefore, it is not certain which of these countries of origin can be linked to our products.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Country of Origin List</w:t>
            </w:r>
          </w:p>
        </w:tc>
        <w:tc>
          <w:tcPr>
            <w:tcW w:w="26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Country of Origin List</w:t>
            </w:r>
          </w:p>
        </w:tc>
        <w:tc>
          <w:tcPr>
            <w:tcW w:w="26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Country of Origin List</w:t>
            </w:r>
          </w:p>
        </w:tc>
        <w:tc>
          <w:tcPr>
            <w:tcW w:w="2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Country of Origin List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r>
      <w:tr>
        <w:trPr>
          <w:trHeight w:val="243"/>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Afghanistan</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Ecuador</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Lithuania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Egypt</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Luxembourg</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Sierra Leone</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Angola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England</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Madagascar</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Argentina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Malaysia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Slovakia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Armenia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Ethiopia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Mali</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Slovenia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Australia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Finland</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Mauritania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Austria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Mexico</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Belarus</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Mongolia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Sudan</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Belgium</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Ghana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Morocco</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Suri</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Bermuda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Guinea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Mozambique</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Suriname</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Bolivia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Guyana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Myanmar</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Sweden</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Brazil</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Hungary</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Namibia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Bulgaria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Netherlands</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Tanzania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Burundi</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Zealand</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Cambodia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Ireland</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Niger</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Turkey</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Canada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Israel</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Nigeria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Uganda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Central African Republic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Papua New Guinea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Chile</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Ivory Coast</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Peru</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Philippines</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Colombia</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Poland</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Czech Republic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Kenya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Portugal</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Vietnam</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Djibouti</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Kyrgyzstan</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Republic of Korea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Zambia</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Dominican Republic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Laos</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Russia</w:t>
            </w:r>
          </w:p>
        </w:tc>
        <w:tc>
          <w:tcPr>
            <w:tcW w:w="2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w:t>
            </w:r>
          </w:p>
        </w:tc>
      </w:tr>
      <w:tr>
        <w:trPr>
          <w:trHeight w:val="250"/>
        </w:trPr>
        <w:tc>
          <w:tcPr>
            <w:tcW w:w="3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DRC (Covered Countries)</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Liberia</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Rwanda</w:t>
            </w:r>
          </w:p>
        </w:tc>
        <w:tc>
          <w:tcPr>
            <w:tcW w:w="270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sectPr>
      <w:pgSz w:w="11900" w:h="16838" w:orient="portrait"/>
      <w:cols w:equalWidth="0" w:num="1">
        <w:col w:w="11220"/>
      </w:cols>
      <w:pgMar w:left="320" w:top="14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2020-06-01T07:47:26Z</dcterms:created>
  <dcterms:modified xsi:type="dcterms:W3CDTF">2020-06-01T07:47:26Z</dcterms:modified>
</cp:coreProperties>
</file>