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wf-form4_164876138977763.xml.htm"/>
      <w:bookmarkStart w:id="1" w:name="kswfform4_164876138977763"/>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McDonald Damien</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20 EASTBOURNE TERRACE</w:t>
                  </w:r>
                </w:p>
              </w:tc>
            </w:tr>
            <w:tr>
              <w:trPr/>
              <w:tc>
                <w:tcPr>
                  <w:tcW w:w="345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LONDON</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X0</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W2 6LG</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LivaNova PLC</w:t>
              </w:r>
            </w:hyperlink>
            <w:r>
              <w:rPr/>
              <w:t xml:space="preserve"> [ </w:t>
            </w:r>
            <w:r>
              <w:rPr>
                <w:rFonts w:ascii="Times;serif" w:hAnsi="Times;serif"/>
                <w:color w:val="0000FF"/>
                <w:sz w:val="24"/>
                <w:highlight w:val="white"/>
              </w:rPr>
              <w:t>LIVN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pPr>
                  <w:r>
                    <w:rPr>
                      <w:rFonts w:ascii="Times;serif" w:hAnsi="Times;serif"/>
                      <w:color w:val="0000FF"/>
                      <w:sz w:val="24"/>
                      <w:highlight w:val="white"/>
                    </w:rPr>
                    <w:t>CEO</w:t>
                  </w:r>
                  <w:r>
                    <w:rPr/>
                    <w:t xml:space="preserve"> </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03/29/2022</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31"/>
        <w:gridCol w:w="904"/>
        <w:gridCol w:w="773"/>
        <w:gridCol w:w="600"/>
        <w:gridCol w:w="351"/>
        <w:gridCol w:w="897"/>
        <w:gridCol w:w="462"/>
        <w:gridCol w:w="676"/>
        <w:gridCol w:w="1176"/>
        <w:gridCol w:w="1007"/>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1"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5"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1"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97"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6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7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7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07"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8"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431"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Ordinary Shares</w:t>
            </w:r>
          </w:p>
        </w:tc>
        <w:tc>
          <w:tcPr>
            <w:tcW w:w="90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03/29/2022</w:t>
            </w:r>
          </w:p>
        </w:tc>
        <w:tc>
          <w:tcPr>
            <w:tcW w:w="77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5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9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2,784</w:t>
            </w:r>
          </w:p>
        </w:tc>
        <w:tc>
          <w:tcPr>
            <w:tcW w:w="46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67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81.5</w:t>
            </w:r>
            <w:r>
              <w:rPr/>
              <w:t xml:space="preserve"> </w:t>
            </w:r>
          </w:p>
        </w:tc>
        <w:tc>
          <w:tcPr>
            <w:tcW w:w="117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76,993</w:t>
            </w:r>
          </w:p>
        </w:tc>
        <w:tc>
          <w:tcPr>
            <w:tcW w:w="10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431"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Ordinary Shares</w:t>
            </w:r>
          </w:p>
        </w:tc>
        <w:tc>
          <w:tcPr>
            <w:tcW w:w="90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03/30/2022</w:t>
            </w:r>
          </w:p>
        </w:tc>
        <w:tc>
          <w:tcPr>
            <w:tcW w:w="77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5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9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3,213</w:t>
            </w:r>
          </w:p>
        </w:tc>
        <w:tc>
          <w:tcPr>
            <w:tcW w:w="46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67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w:t>
            </w:r>
            <w:r>
              <w:rPr>
                <w:rFonts w:ascii="Times;serif" w:hAnsi="Times;serif"/>
                <w:color w:val="008000"/>
                <w:position w:val="7"/>
                <w:sz w:val="16"/>
                <w:sz w:val="20"/>
                <w:highlight w:val="white"/>
              </w:rPr>
              <w:t>(2)</w:t>
            </w:r>
            <w:r>
              <w:rPr/>
              <w:t xml:space="preserve"> </w:t>
            </w:r>
          </w:p>
        </w:tc>
        <w:tc>
          <w:tcPr>
            <w:tcW w:w="117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80,206</w:t>
            </w:r>
          </w:p>
        </w:tc>
        <w:tc>
          <w:tcPr>
            <w:tcW w:w="10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431"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Ordinary Shares</w:t>
            </w:r>
          </w:p>
        </w:tc>
        <w:tc>
          <w:tcPr>
            <w:tcW w:w="90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03/30/2022</w:t>
            </w:r>
          </w:p>
        </w:tc>
        <w:tc>
          <w:tcPr>
            <w:tcW w:w="77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F</w:t>
            </w:r>
          </w:p>
        </w:tc>
        <w:tc>
          <w:tcPr>
            <w:tcW w:w="35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9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1,511</w:t>
            </w:r>
            <w:r>
              <w:rPr>
                <w:rFonts w:ascii="Times;serif" w:hAnsi="Times;serif"/>
                <w:color w:val="008000"/>
                <w:position w:val="7"/>
                <w:sz w:val="16"/>
                <w:sz w:val="20"/>
                <w:highlight w:val="white"/>
              </w:rPr>
              <w:t>(3)</w:t>
            </w:r>
            <w:r>
              <w:rPr/>
              <w:t xml:space="preserve"> </w:t>
            </w:r>
          </w:p>
        </w:tc>
        <w:tc>
          <w:tcPr>
            <w:tcW w:w="46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67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81.5</w:t>
            </w:r>
            <w:r>
              <w:rPr/>
              <w:t xml:space="preserve"> </w:t>
            </w:r>
          </w:p>
        </w:tc>
        <w:tc>
          <w:tcPr>
            <w:tcW w:w="117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78,695</w:t>
            </w:r>
          </w:p>
        </w:tc>
        <w:tc>
          <w:tcPr>
            <w:tcW w:w="10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431"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Ordinary Shares</w:t>
            </w:r>
          </w:p>
        </w:tc>
        <w:tc>
          <w:tcPr>
            <w:tcW w:w="90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03/30/2022</w:t>
            </w:r>
          </w:p>
        </w:tc>
        <w:tc>
          <w:tcPr>
            <w:tcW w:w="77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5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9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8,607</w:t>
            </w:r>
          </w:p>
        </w:tc>
        <w:tc>
          <w:tcPr>
            <w:tcW w:w="46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67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w:t>
            </w:r>
            <w:r>
              <w:rPr>
                <w:rFonts w:ascii="Times;serif" w:hAnsi="Times;serif"/>
                <w:color w:val="008000"/>
                <w:position w:val="7"/>
                <w:sz w:val="16"/>
                <w:sz w:val="20"/>
                <w:highlight w:val="white"/>
              </w:rPr>
              <w:t>(2)</w:t>
            </w:r>
            <w:r>
              <w:rPr/>
              <w:t xml:space="preserve"> </w:t>
            </w:r>
          </w:p>
        </w:tc>
        <w:tc>
          <w:tcPr>
            <w:tcW w:w="117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87,302</w:t>
            </w:r>
          </w:p>
        </w:tc>
        <w:tc>
          <w:tcPr>
            <w:tcW w:w="10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431"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Ordinary Shares</w:t>
            </w:r>
          </w:p>
        </w:tc>
        <w:tc>
          <w:tcPr>
            <w:tcW w:w="90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03/30/2022</w:t>
            </w:r>
          </w:p>
        </w:tc>
        <w:tc>
          <w:tcPr>
            <w:tcW w:w="77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F</w:t>
            </w:r>
          </w:p>
        </w:tc>
        <w:tc>
          <w:tcPr>
            <w:tcW w:w="35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9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4,046</w:t>
            </w:r>
            <w:r>
              <w:rPr>
                <w:rFonts w:ascii="Times;serif" w:hAnsi="Times;serif"/>
                <w:color w:val="008000"/>
                <w:position w:val="7"/>
                <w:sz w:val="16"/>
                <w:sz w:val="20"/>
                <w:highlight w:val="white"/>
              </w:rPr>
              <w:t>(3)</w:t>
            </w:r>
            <w:r>
              <w:rPr/>
              <w:t xml:space="preserve"> </w:t>
            </w:r>
          </w:p>
        </w:tc>
        <w:tc>
          <w:tcPr>
            <w:tcW w:w="46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67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81.5</w:t>
            </w:r>
            <w:r>
              <w:rPr/>
              <w:t xml:space="preserve"> </w:t>
            </w:r>
          </w:p>
        </w:tc>
        <w:tc>
          <w:tcPr>
            <w:tcW w:w="117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83,256</w:t>
            </w:r>
          </w:p>
        </w:tc>
        <w:tc>
          <w:tcPr>
            <w:tcW w:w="10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431"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Ordinary Shares</w:t>
            </w:r>
          </w:p>
        </w:tc>
        <w:tc>
          <w:tcPr>
            <w:tcW w:w="90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03/30/2022</w:t>
            </w:r>
          </w:p>
        </w:tc>
        <w:tc>
          <w:tcPr>
            <w:tcW w:w="77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5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9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5,120</w:t>
            </w:r>
          </w:p>
        </w:tc>
        <w:tc>
          <w:tcPr>
            <w:tcW w:w="46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67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w:t>
            </w:r>
            <w:r>
              <w:rPr>
                <w:rFonts w:ascii="Times;serif" w:hAnsi="Times;serif"/>
                <w:color w:val="008000"/>
                <w:position w:val="7"/>
                <w:sz w:val="16"/>
                <w:sz w:val="20"/>
                <w:highlight w:val="white"/>
              </w:rPr>
              <w:t>(2)</w:t>
            </w:r>
            <w:r>
              <w:rPr/>
              <w:t xml:space="preserve"> </w:t>
            </w:r>
          </w:p>
        </w:tc>
        <w:tc>
          <w:tcPr>
            <w:tcW w:w="117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88,376</w:t>
            </w:r>
          </w:p>
        </w:tc>
        <w:tc>
          <w:tcPr>
            <w:tcW w:w="100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8"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431"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Ordinary Shares</w:t>
            </w:r>
          </w:p>
        </w:tc>
        <w:tc>
          <w:tcPr>
            <w:tcW w:w="90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03/30/2022</w:t>
            </w:r>
          </w:p>
        </w:tc>
        <w:tc>
          <w:tcPr>
            <w:tcW w:w="77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F</w:t>
            </w:r>
          </w:p>
        </w:tc>
        <w:tc>
          <w:tcPr>
            <w:tcW w:w="35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9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2,407</w:t>
            </w:r>
            <w:r>
              <w:rPr>
                <w:rFonts w:ascii="Times;serif" w:hAnsi="Times;serif"/>
                <w:color w:val="008000"/>
                <w:position w:val="7"/>
                <w:sz w:val="16"/>
                <w:sz w:val="20"/>
                <w:highlight w:val="white"/>
              </w:rPr>
              <w:t>(3)</w:t>
            </w:r>
            <w:r>
              <w:rPr/>
              <w:t xml:space="preserve"> </w:t>
            </w:r>
          </w:p>
        </w:tc>
        <w:tc>
          <w:tcPr>
            <w:tcW w:w="46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67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81.5</w:t>
            </w:r>
            <w:r>
              <w:rPr/>
              <w:t xml:space="preserve"> </w:t>
            </w:r>
          </w:p>
        </w:tc>
        <w:tc>
          <w:tcPr>
            <w:tcW w:w="117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85,969</w:t>
            </w:r>
          </w:p>
        </w:tc>
        <w:tc>
          <w:tcPr>
            <w:tcW w:w="100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8"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2734" w:type="dxa"/>
        <w:jc w:val="left"/>
        <w:tblInd w:w="0" w:type="dxa"/>
        <w:tblCellMar>
          <w:top w:w="60" w:type="dxa"/>
          <w:left w:w="60" w:type="dxa"/>
          <w:bottom w:w="60" w:type="dxa"/>
          <w:right w:w="60" w:type="dxa"/>
        </w:tblCellMar>
      </w:tblPr>
      <w:tblGrid>
        <w:gridCol w:w="1220"/>
        <w:gridCol w:w="861"/>
        <w:gridCol w:w="891"/>
        <w:gridCol w:w="771"/>
        <w:gridCol w:w="591"/>
        <w:gridCol w:w="300"/>
        <w:gridCol w:w="711"/>
        <w:gridCol w:w="606"/>
        <w:gridCol w:w="906"/>
        <w:gridCol w:w="801"/>
        <w:gridCol w:w="861"/>
        <w:gridCol w:w="801"/>
        <w:gridCol w:w="801"/>
        <w:gridCol w:w="936"/>
        <w:gridCol w:w="831"/>
        <w:gridCol w:w="846"/>
      </w:tblGrid>
      <w:tr>
        <w:trPr>
          <w:tblHeader w:val="true"/>
        </w:trPr>
        <w:tc>
          <w:tcPr>
            <w:tcW w:w="12734"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220"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31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220"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122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Restricted Stock Units</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(4)</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03/30/2022</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1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3,213</w:t>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(5)</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(5)</w:t>
            </w:r>
            <w:r>
              <w:rPr/>
              <w:t xml:space="preserve"> </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Ordinary Shares</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3,213</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3,213</w:t>
            </w:r>
            <w:r>
              <w:rPr>
                <w:rFonts w:ascii="Times;serif" w:hAnsi="Times;serif"/>
                <w:color w:val="008000"/>
                <w:position w:val="7"/>
                <w:sz w:val="16"/>
                <w:sz w:val="20"/>
                <w:highlight w:val="white"/>
              </w:rPr>
              <w:t>(6)</w:t>
            </w:r>
            <w:r>
              <w:rPr/>
              <w:t xml:space="preserve"> </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122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Restricted Stock Units</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(4)</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03/30/2022</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1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8,607</w:t>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(7)</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(7)</w:t>
            </w:r>
            <w:r>
              <w:rPr/>
              <w:t xml:space="preserve"> </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Ordinary Shares</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8,607</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17,213</w:t>
            </w:r>
            <w:r>
              <w:rPr>
                <w:rFonts w:ascii="Times;serif" w:hAnsi="Times;serif"/>
                <w:color w:val="008000"/>
                <w:position w:val="7"/>
                <w:sz w:val="16"/>
                <w:sz w:val="20"/>
                <w:highlight w:val="white"/>
              </w:rPr>
              <w:t>(6)</w:t>
            </w:r>
            <w:r>
              <w:rPr/>
              <w:t xml:space="preserve"> </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122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Restricted Stock Units</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(4)</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03/30/2022</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1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5,120</w:t>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(8)</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(8)</w:t>
            </w:r>
            <w:r>
              <w:rPr/>
              <w:t xml:space="preserve"> </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Ordinary Shares</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5,120</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15,357</w:t>
            </w:r>
            <w:r>
              <w:rPr>
                <w:rFonts w:ascii="Times;serif" w:hAnsi="Times;serif"/>
                <w:color w:val="008000"/>
                <w:position w:val="7"/>
                <w:sz w:val="16"/>
                <w:sz w:val="20"/>
                <w:highlight w:val="white"/>
              </w:rPr>
              <w:t>(6)</w:t>
            </w:r>
            <w:r>
              <w:rPr/>
              <w:t xml:space="preserve"> </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122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Restricted Stock Units</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(4)</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03/30/2022</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1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18,283</w:t>
            </w:r>
          </w:p>
        </w:tc>
        <w:tc>
          <w:tcPr>
            <w:tcW w:w="60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(9)</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(9)</w:t>
            </w:r>
            <w:r>
              <w:rPr/>
              <w:t xml:space="preserve"> </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Ordinary Shares</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18,283</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18,283</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122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Performance Stock Units</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(10)</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03/30/2022</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1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9,141</w:t>
            </w:r>
          </w:p>
        </w:tc>
        <w:tc>
          <w:tcPr>
            <w:tcW w:w="60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(11)</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(11)</w:t>
            </w:r>
            <w:r>
              <w:rPr/>
              <w:t xml:space="preserve"> </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Ordinary Shares</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9,141</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9,141</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122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Performance Stock Units</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(10)</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03/30/2022</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1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18,283</w:t>
            </w:r>
          </w:p>
        </w:tc>
        <w:tc>
          <w:tcPr>
            <w:tcW w:w="60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(12)</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(12)</w:t>
            </w:r>
            <w:r>
              <w:rPr/>
              <w:t xml:space="preserve"> </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Ordinary Shares</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18,283</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18,283</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122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Performance Stock Units</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(10)</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03/30/2022</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1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9,141</w:t>
            </w:r>
          </w:p>
        </w:tc>
        <w:tc>
          <w:tcPr>
            <w:tcW w:w="60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(13)</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(13)</w:t>
            </w:r>
            <w:r>
              <w:rPr/>
              <w:t xml:space="preserve"> </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Ordinary Shares</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9,141</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9,141</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1220"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Stock Appreciation Rights</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82.04</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03/30/2022</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1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35,483</w:t>
            </w:r>
          </w:p>
        </w:tc>
        <w:tc>
          <w:tcPr>
            <w:tcW w:w="60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(14)</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(14)</w:t>
            </w:r>
            <w:r>
              <w:rPr/>
              <w:t xml:space="preserve"> </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Ordinary Shares</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35,483</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35,483</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Shares sold pursuant to a Rule 10b5-1 Plan adopted by reporting person on November 9, 2021.</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Reporting person had vested restricted stock units (RSUs) settled in ordinary shares of LivaNova PLC (the Company), GBP 1.00 par value.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The referenced shares were withheld from distribution at the request of reporting person to satisfy tax liability.</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Each RSU represents a contingent right to receive one ordinary share of the Company, GBP 1.00 par value, in accordance with the terms of the LivaNova PLC 2015 Incentive Award Plan (the Plan) and the award agreement.</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5. On March 30, 2019, reporting person was granted RSUs subject to a four-year vesting schedule, the first vesting for which occurred on March 30, 2020. The RSUs are subject to forfeiture prior to vesting in accordance with the terms of the Plan and the award agreement.</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6. This number reflects the number of derivative securities beneficially owned following reported transaction for this specific grant.</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7. On March 30, 2020, reporting person was granted RSUs subject to a four-year vesting schedule, the first vesting for which occurred on March 30, 2021. The RSUs are subject to forfeiture prior to vesting in accordance with the terms of the Plan and the award agreement.</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8. On March 30, 2021, reporting person was granted RSUs subject to a four-year vesting schedule, the first vesting for which occurred on March 30, 2022. The RSUs are subject to forfeiture prior to vesting in accordance with the terms of the Plan and the award agreement.</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9. On March 30, 2022, reporting person was granted RSUs subject to a four-year vesting schedule, the first vesting occurring on March 30, 2023. The RSUs are subject to forfeiture prior to vesting in accordance with the terms of the Plan and the award agreement.</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10. Each performance stock unit (PSU) represents a contingent right to receive one ordinary share of the Company in accordance with the terms of the Plan and the award agreement.</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11. On March 30, 2022, reporting person was granted PSUs to vest or lapse on March 30, 2025 based on how the Company's cumulative adjusted free cash flow (FCF) for performance period 2022-2024 compares to a target determined by the Plan Administrator. The number included in column 5 of Table II reflects the target number of PSUs eligible for vesting.</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12. On March 30, 2022, reporting person was granted PSUs to vest or lapse on March 30, 2025 based on the the Company's total shareholder return (TSR) for the three-year period beginning on January 1, 2022 and ending December 31, 2024 relative to the total shareholder return of a peer group of companies, as determined by the Plan Administrator. The number included in column 5 of Table II reflects the target number of PSUs eligible for vesting subject to continued service during the vesting period and the award agreement.</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13. On March 30, 2022, reporting person was granted PSUs to vest or lapse on March 30, 2025 based on how the Company's Return on Investment Capital (ROIC) calculated for the performance period 2022-2024 compares to a target determined by the Plan Administrator. The number included in column 5 of Table II reflects the target number of PSUs eligible for vesting subject to continued service during the vesting period and the award agreement.</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14. On March 30, 2022, reporting person was granted stock appreciation rights (SARs) subject to a four-year vesting schedule, the first vesting occurring on March 30, 2023. The SARs are subject to forfeiture prior to vesting in accordance with the terms of the Plan and the award agreement.</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Sarah K. Mohr, POA</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03/31/2022</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686894" TargetMode="External"/><Relationship Id="rId4" Type="http://schemas.openxmlformats.org/officeDocument/2006/relationships/hyperlink" Target="http://www.sec.gov/cgi-bin/browse-edgar?action=getcompany&amp;CIK=0001639691"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1289</Words>
  <CharactersWithSpaces>7765</CharactersWithSpaces>
  <Paragraphs>251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