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59"/>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59"/>
        <w:spacing w:after="0" w:line="200"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3" w:lineRule="exact"/>
        <w:rPr>
          <w:rFonts w:ascii="MS PGothic" w:cs="MS PGothic" w:eastAsia="MS PGothic" w:hAnsi="MS PGothic"/>
          <w:sz w:val="18"/>
          <w:szCs w:val="18"/>
          <w:color w:val="auto"/>
        </w:rPr>
      </w:pPr>
    </w:p>
    <w:p>
      <w:pPr>
        <w:ind w:left="1180" w:right="6160"/>
        <w:spacing w:after="0" w:line="297" w:lineRule="auto"/>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OF THE SECURITIES EXCHANGE ACT OF 1934 </w:t>
      </w:r>
      <w:r>
        <w:rPr>
          <w:rFonts w:ascii="Times New Roman" w:cs="Times New Roman" w:eastAsia="Times New Roman" w:hAnsi="Times New Roman"/>
          <w:sz w:val="18"/>
          <w:szCs w:val="18"/>
          <w:color w:val="auto"/>
        </w:rPr>
        <w:t>For the quarterly period ended March 31, 2017</w:t>
      </w:r>
    </w:p>
    <w:p>
      <w:pPr>
        <w:spacing w:after="0" w:line="2"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4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55880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1740" w:type="dxa"/>
        <w:tblCellMar>
          <w:top w:w="0" w:type="dxa"/>
          <w:left w:w="0" w:type="dxa"/>
          <w:bottom w:w="0" w:type="dxa"/>
          <w:right w:w="0" w:type="dxa"/>
        </w:tblCellMar>
      </w:tblPr>
      <w:tr>
        <w:trPr>
          <w:trHeight w:val="383"/>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Times New Roman" w:cs="Times New Roman" w:eastAsia="Times New Roman" w:hAnsi="Times New Roman"/>
                <w:sz w:val="29"/>
                <w:szCs w:val="29"/>
                <w:b w:val="1"/>
                <w:bCs w:val="1"/>
                <w:color w:val="auto"/>
                <w:w w:val="99"/>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49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98-1268150</w:t>
            </w:r>
          </w:p>
        </w:tc>
        <w:tc>
          <w:tcPr>
            <w:tcW w:w="0" w:type="dxa"/>
            <w:vAlign w:val="bottom"/>
          </w:tcPr>
          <w:p>
            <w:pPr>
              <w:spacing w:after="0"/>
              <w:rPr>
                <w:sz w:val="1"/>
                <w:szCs w:val="1"/>
                <w:color w:val="auto"/>
              </w:rPr>
            </w:pPr>
          </w:p>
        </w:tc>
      </w:tr>
      <w:tr>
        <w:trPr>
          <w:trHeight w:val="161"/>
        </w:trPr>
        <w:tc>
          <w:tcPr>
            <w:tcW w:w="2360" w:type="dxa"/>
            <w:vAlign w:val="bottom"/>
          </w:tcPr>
          <w:p>
            <w:pPr>
              <w:jc w:val="center"/>
              <w:ind w:right="4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4980" w:type="dxa"/>
            <w:vAlign w:val="bottom"/>
          </w:tcPr>
          <w:p>
            <w:pPr>
              <w:jc w:val="center"/>
              <w:ind w:left="383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2360" w:type="dxa"/>
            <w:vAlign w:val="bottom"/>
          </w:tcPr>
          <w:p>
            <w:pPr>
              <w:jc w:val="center"/>
              <w:ind w:right="6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4980" w:type="dxa"/>
            <w:vAlign w:val="bottom"/>
          </w:tcPr>
          <w:p>
            <w:pPr>
              <w:jc w:val="center"/>
              <w:ind w:left="383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61"/>
        </w:trPr>
        <w:tc>
          <w:tcPr>
            <w:tcW w:w="2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 Eastbourne Terrace</w:t>
            </w:r>
          </w:p>
        </w:tc>
        <w:tc>
          <w:tcPr>
            <w:tcW w:w="4980" w:type="dxa"/>
            <w:vAlign w:val="bottom"/>
            <w:vMerge w:val="restart"/>
          </w:tcPr>
          <w:p>
            <w:pPr>
              <w:jc w:val="center"/>
              <w:ind w:left="3838"/>
              <w:spacing w:after="0"/>
              <w:rPr>
                <w:sz w:val="20"/>
                <w:szCs w:val="20"/>
                <w:color w:val="auto"/>
              </w:rPr>
            </w:pPr>
            <w:r>
              <w:rPr>
                <w:rFonts w:ascii="Times New Roman" w:cs="Times New Roman" w:eastAsia="Times New Roman" w:hAnsi="Times New Roman"/>
                <w:sz w:val="14"/>
                <w:szCs w:val="14"/>
                <w:b w:val="1"/>
                <w:bCs w:val="1"/>
                <w:color w:val="auto"/>
              </w:rPr>
              <w:t>W2 6LG</w:t>
            </w:r>
          </w:p>
        </w:tc>
        <w:tc>
          <w:tcPr>
            <w:tcW w:w="0" w:type="dxa"/>
            <w:vAlign w:val="bottom"/>
          </w:tcPr>
          <w:p>
            <w:pPr>
              <w:spacing w:after="0"/>
              <w:rPr>
                <w:sz w:val="1"/>
                <w:szCs w:val="1"/>
                <w:color w:val="auto"/>
              </w:rPr>
            </w:pPr>
          </w:p>
        </w:tc>
      </w:tr>
      <w:tr>
        <w:trPr>
          <w:trHeight w:val="190"/>
        </w:trPr>
        <w:tc>
          <w:tcPr>
            <w:tcW w:w="23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980" w:type="dxa"/>
            <w:vAlign w:val="bottom"/>
          </w:tcPr>
          <w:p>
            <w:pPr>
              <w:jc w:val="center"/>
              <w:ind w:left="383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bl>
    <w:p>
      <w:pPr>
        <w:spacing w:after="0" w:line="228" w:lineRule="exact"/>
        <w:rPr>
          <w:sz w:val="24"/>
          <w:szCs w:val="24"/>
          <w:color w:val="auto"/>
        </w:rPr>
      </w:pPr>
    </w:p>
    <w:p>
      <w:pPr>
        <w:jc w:val="center"/>
        <w:ind w:right="5640"/>
        <w:spacing w:after="0"/>
        <w:rPr>
          <w:sz w:val="20"/>
          <w:szCs w:val="20"/>
          <w:color w:val="auto"/>
        </w:rPr>
      </w:pPr>
      <w:r>
        <w:rPr>
          <w:rFonts w:ascii="Times New Roman" w:cs="Times New Roman" w:eastAsia="Times New Roman" w:hAnsi="Times New Roman"/>
          <w:sz w:val="14"/>
          <w:szCs w:val="14"/>
          <w:b w:val="1"/>
          <w:bCs w:val="1"/>
          <w:color w:val="auto"/>
        </w:rPr>
        <w:t>(44) (0) 20 3325 0660</w:t>
      </w:r>
    </w:p>
    <w:p>
      <w:pPr>
        <w:spacing w:after="0" w:line="42" w:lineRule="exact"/>
        <w:rPr>
          <w:sz w:val="24"/>
          <w:szCs w:val="24"/>
          <w:color w:val="auto"/>
        </w:rPr>
      </w:pPr>
    </w:p>
    <w:p>
      <w:pPr>
        <w:jc w:val="center"/>
        <w:ind w:right="564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17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w:t>
      </w:r>
    </w:p>
    <w:p>
      <w:pPr>
        <w:spacing w:after="0" w:line="1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360"/>
          </w:cols>
          <w:pgMar w:left="240" w:top="760" w:right="299" w:bottom="1440" w:gutter="0" w:footer="0" w:header="0"/>
        </w:sectPr>
      </w:pPr>
    </w:p>
    <w:p>
      <w:pPr>
        <w:spacing w:after="0" w:line="17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42" w:lineRule="exact"/>
        <w:rPr>
          <w:sz w:val="24"/>
          <w:szCs w:val="24"/>
          <w:color w:val="auto"/>
        </w:rPr>
      </w:pPr>
    </w:p>
    <w:p>
      <w:pPr>
        <w:sectPr>
          <w:pgSz w:w="11900" w:h="16838" w:orient="portrait"/>
          <w:cols w:equalWidth="0" w:num="2">
            <w:col w:w="6780" w:space="720"/>
            <w:col w:w="3860"/>
          </w:cols>
          <w:pgMar w:left="240" w:top="760" w:right="29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4"/>
          <w:szCs w:val="14"/>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26" w:lineRule="exact"/>
        <w:rPr>
          <w:sz w:val="24"/>
          <w:szCs w:val="24"/>
          <w:color w:val="auto"/>
        </w:rPr>
      </w:pPr>
    </w:p>
    <w:p>
      <w:pPr>
        <w:sectPr>
          <w:pgSz w:w="11900" w:h="16838" w:orient="portrait"/>
          <w:cols w:equalWidth="0" w:num="2">
            <w:col w:w="6500" w:space="720"/>
            <w:col w:w="4140"/>
          </w:cols>
          <w:pgMar w:left="240" w:top="760" w:right="29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w:t>
      </w:r>
    </w:p>
    <w:p>
      <w:pPr>
        <w:spacing w:after="0" w:line="94" w:lineRule="exact"/>
        <w:rPr>
          <w:sz w:val="24"/>
          <w:szCs w:val="24"/>
          <w:color w:val="auto"/>
        </w:rPr>
      </w:pPr>
    </w:p>
    <w:p>
      <w:pPr>
        <w:ind w:right="160"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right="300" w:firstLine="162"/>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5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4540" w:type="dxa"/>
            <w:vAlign w:val="bottom"/>
          </w:tcPr>
          <w:p>
            <w:pPr>
              <w:ind w:left="4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1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45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p>
      <w:pPr>
        <w:sectPr>
          <w:pgSz w:w="11900" w:h="16838" w:orient="portrait"/>
          <w:cols w:equalWidth="0" w:num="1">
            <w:col w:w="11360"/>
          </w:cols>
          <w:pgMar w:left="240" w:top="760" w:right="29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3" w:lineRule="exact"/>
        <w:rPr>
          <w:sz w:val="24"/>
          <w:szCs w:val="24"/>
          <w:color w:val="auto"/>
        </w:rPr>
      </w:pPr>
    </w:p>
    <w:p>
      <w:pPr>
        <w:sectPr>
          <w:pgSz w:w="11900" w:h="16838" w:orient="portrait"/>
          <w:cols w:equalWidth="0" w:num="2">
            <w:col w:w="9640" w:space="720"/>
            <w:col w:w="1000"/>
          </w:cols>
          <w:pgMar w:left="240" w:top="760" w:right="299" w:bottom="1440" w:gutter="0" w:footer="0" w:header="0"/>
          <w:type w:val="continuous"/>
        </w:sectPr>
      </w:pPr>
    </w:p>
    <w:p>
      <w:pPr>
        <w:spacing w:after="0" w:line="231"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2"/>
          <w:szCs w:val="12"/>
          <w:color w:val="auto"/>
        </w:rPr>
        <w:t>☑</w:t>
      </w:r>
    </w:p>
    <w:p>
      <w:pPr>
        <w:spacing w:after="0" w:line="186" w:lineRule="exact"/>
        <w:rPr>
          <w:sz w:val="24"/>
          <w:szCs w:val="24"/>
          <w:color w:val="auto"/>
        </w:rPr>
      </w:pPr>
    </w:p>
    <w:p>
      <w:pPr>
        <w:sectPr>
          <w:pgSz w:w="11900" w:h="16838" w:orient="portrait"/>
          <w:cols w:equalWidth="0" w:num="2">
            <w:col w:w="6400" w:space="140"/>
            <w:col w:w="4820"/>
          </w:cols>
          <w:pgMar w:left="240" w:top="760" w:right="29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6"/>
          <w:szCs w:val="16"/>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Outstanding at April 28, 2017</w:t>
      </w:r>
    </w:p>
    <w:p>
      <w:pPr>
        <w:spacing w:after="0" w:line="66" w:lineRule="exact"/>
        <w:rPr>
          <w:sz w:val="24"/>
          <w:szCs w:val="24"/>
          <w:color w:val="auto"/>
        </w:rPr>
      </w:pPr>
    </w:p>
    <w:p>
      <w:pPr>
        <w:sectPr>
          <w:pgSz w:w="11900" w:h="16838" w:orient="portrait"/>
          <w:cols w:equalWidth="0" w:num="2">
            <w:col w:w="6740" w:space="720"/>
            <w:col w:w="3900"/>
          </w:cols>
          <w:pgMar w:left="240" w:top="760" w:right="29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48,185,995</w:t>
      </w:r>
    </w:p>
    <w:p>
      <w:pPr>
        <w:spacing w:after="0" w:line="200" w:lineRule="exact"/>
        <w:rPr>
          <w:sz w:val="24"/>
          <w:szCs w:val="24"/>
          <w:color w:val="auto"/>
        </w:rPr>
      </w:pPr>
    </w:p>
    <w:p>
      <w:pPr>
        <w:sectPr>
          <w:pgSz w:w="11900" w:h="16838" w:orient="portrait"/>
          <w:cols w:equalWidth="0" w:num="2">
            <w:col w:w="7400" w:space="720"/>
            <w:col w:w="3240"/>
          </w:cols>
          <w:pgMar w:left="240" w:top="760" w:right="299" w:bottom="1440" w:gutter="0" w:footer="0" w:header="0"/>
          <w:type w:val="continuous"/>
        </w:sectPr>
      </w:pPr>
    </w:p>
    <w:p>
      <w:pPr>
        <w:spacing w:after="0" w:line="1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360"/>
          </w:cols>
          <w:pgMar w:left="240" w:top="760" w:right="2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8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0000EE"/>
            </w:tcBorders>
            <w:shd w:val="clear" w:color="auto" w:fill="CCEEFF"/>
          </w:tcPr>
          <w:p>
            <w:pPr>
              <w:spacing w:after="0" w:line="170"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Item 1</w:t>
              </w:r>
            </w:hyperlink>
          </w:p>
        </w:tc>
        <w:tc>
          <w:tcPr>
            <w:tcW w:w="540" w:type="dxa"/>
            <w:vAlign w:val="bottom"/>
            <w:tcBorders>
              <w:bottom w:val="single" w:sz="8" w:color="CCEEFF"/>
            </w:tcBorders>
            <w:gridSpan w:val="2"/>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0000EE"/>
            </w:tcBorders>
            <w:gridSpan w:val="6"/>
            <w:shd w:val="clear" w:color="auto" w:fill="CCEEFF"/>
          </w:tcPr>
          <w:p>
            <w:pPr>
              <w:spacing w:after="0" w:line="170"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Financial Statements</w:t>
              </w:r>
            </w:hyperlink>
          </w:p>
        </w:tc>
        <w:tc>
          <w:tcPr>
            <w:tcW w:w="5860" w:type="dxa"/>
            <w:vAlign w:val="bottom"/>
            <w:tcBorders>
              <w:bottom w:val="single" w:sz="8" w:color="CCEEFF"/>
            </w:tcBorders>
            <w:gridSpan w:val="8"/>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4"/>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(Loss)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20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4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80" w:type="dxa"/>
            <w:vAlign w:val="bottom"/>
            <w:tcBorders>
              <w:top w:val="single" w:sz="8" w:color="0000EE"/>
            </w:tcBorders>
            <w:gridSpan w:val="12"/>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Balance Sheets</w:t>
              </w:r>
            </w:hyperlink>
          </w:p>
        </w:tc>
        <w:tc>
          <w:tcPr>
            <w:tcW w:w="4120" w:type="dxa"/>
            <w:vAlign w:val="bottom"/>
            <w:tcBorders>
              <w:top w:val="single" w:sz="8" w:color="CCEEFF"/>
            </w:tcBorders>
            <w:gridSpan w:val="2"/>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0000EE"/>
            </w:tcBorders>
          </w:tcPr>
          <w:p>
            <w:pPr>
              <w:jc w:val="cente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4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4"/>
          </w:tcPr>
          <w:p>
            <w:pPr>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the Condensed Consolidated Financial Statements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Item 2</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6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28</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0000EE"/>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Times New Roman" w:cs="Times New Roman" w:eastAsia="Times New Roman" w:hAnsi="Times New Roman"/>
                <w:sz w:val="18"/>
                <w:szCs w:val="18"/>
                <w:color w:val="0000EE"/>
                <w:w w:val="94"/>
              </w:rPr>
            </w:pPr>
            <w:hyperlink w:anchor="page36">
              <w:r>
                <w:rPr>
                  <w:rFonts w:ascii="Times New Roman" w:cs="Times New Roman" w:eastAsia="Times New Roman" w:hAnsi="Times New Roman"/>
                  <w:sz w:val="18"/>
                  <w:szCs w:val="18"/>
                  <w:color w:val="0000EE"/>
                  <w:w w:val="94"/>
                </w:rPr>
                <w:t>Item 3</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460" w:type="dxa"/>
            <w:vAlign w:val="bottom"/>
            <w:gridSpan w:val="13"/>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2740" w:type="dxa"/>
            <w:vAlign w:val="bottom"/>
          </w:tcPr>
          <w:p>
            <w:pPr>
              <w:spacing w:after="0"/>
              <w:rPr>
                <w:sz w:val="17"/>
                <w:szCs w:val="17"/>
                <w:color w:val="auto"/>
              </w:rPr>
            </w:pPr>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4</w:t>
              </w:r>
            </w:hyperlink>
          </w:p>
        </w:tc>
        <w:tc>
          <w:tcPr>
            <w:tcW w:w="40" w:type="dxa"/>
            <w:vAlign w:val="bottom"/>
            <w:shd w:val="clear" w:color="auto" w:fill="CCEEFF"/>
          </w:tcPr>
          <w:p>
            <w:pPr>
              <w:spacing w:after="0"/>
              <w:rPr>
                <w:sz w:val="21"/>
                <w:szCs w:val="21"/>
                <w:color w:val="auto"/>
              </w:rPr>
            </w:pPr>
          </w:p>
        </w:tc>
        <w:tc>
          <w:tcPr>
            <w:tcW w:w="920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36</w:t>
              </w:r>
            </w:hyperlink>
          </w:p>
        </w:tc>
        <w:tc>
          <w:tcPr>
            <w:tcW w:w="4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6280" w:type="dxa"/>
            <w:vAlign w:val="bottom"/>
            <w:tcBorders>
              <w:top w:val="single" w:sz="8" w:color="CCEEFF"/>
            </w:tcBorders>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170"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1</w:t>
              </w:r>
            </w:hyperlink>
          </w:p>
        </w:tc>
        <w:tc>
          <w:tcPr>
            <w:tcW w:w="40" w:type="dxa"/>
            <w:vAlign w:val="bottom"/>
            <w:shd w:val="clear" w:color="auto" w:fill="CCEEFF"/>
          </w:tcPr>
          <w:p>
            <w:pPr>
              <w:spacing w:after="0"/>
              <w:rPr>
                <w:sz w:val="17"/>
                <w:szCs w:val="17"/>
                <w:color w:val="auto"/>
              </w:rPr>
            </w:pPr>
          </w:p>
        </w:tc>
        <w:tc>
          <w:tcPr>
            <w:tcW w:w="9200" w:type="dxa"/>
            <w:vAlign w:val="bottom"/>
            <w:gridSpan w:val="14"/>
            <w:shd w:val="clear" w:color="auto" w:fill="CCEEFF"/>
          </w:tcPr>
          <w:p>
            <w:pPr>
              <w:spacing w:after="0" w:line="170"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720" w:type="dxa"/>
            <w:vAlign w:val="bottom"/>
            <w:tcBorders>
              <w:right w:val="single" w:sz="8" w:color="CCEEFF"/>
            </w:tcBorders>
            <w:gridSpan w:val="3"/>
            <w:shd w:val="clear" w:color="auto" w:fill="CCEEFF"/>
          </w:tcPr>
          <w:p>
            <w:pPr>
              <w:jc w:val="center"/>
              <w:ind w:left="450"/>
              <w:spacing w:after="0" w:line="170"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37</w:t>
              </w:r>
            </w:hyperlink>
          </w:p>
        </w:tc>
        <w:tc>
          <w:tcPr>
            <w:tcW w:w="420" w:type="dxa"/>
            <w:vAlign w:val="bottom"/>
            <w:shd w:val="clear" w:color="auto" w:fill="CCEEFF"/>
          </w:tcPr>
          <w:p>
            <w:pPr>
              <w:spacing w:after="0"/>
              <w:rPr>
                <w:sz w:val="17"/>
                <w:szCs w:val="17"/>
                <w:color w:val="auto"/>
              </w:rPr>
            </w:pPr>
          </w:p>
        </w:tc>
      </w:tr>
      <w:tr>
        <w:trPr>
          <w:trHeight w:val="270"/>
        </w:trPr>
        <w:tc>
          <w:tcPr>
            <w:tcW w:w="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0000EE"/>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0000EE"/>
            </w:tcBorders>
            <w:shd w:val="clear" w:color="auto" w:fill="CCEEFF"/>
          </w:tcPr>
          <w:p>
            <w:pPr>
              <w:spacing w:after="0"/>
              <w:rPr>
                <w:sz w:val="23"/>
                <w:szCs w:val="23"/>
                <w:color w:val="auto"/>
              </w:rPr>
            </w:pPr>
          </w:p>
        </w:tc>
        <w:tc>
          <w:tcPr>
            <w:tcW w:w="300" w:type="dxa"/>
            <w:vAlign w:val="bottom"/>
            <w:tcBorders>
              <w:top w:val="single" w:sz="8" w:color="0000EE"/>
            </w:tcBorders>
            <w:shd w:val="clear" w:color="auto" w:fill="CCEEFF"/>
          </w:tcPr>
          <w:p>
            <w:pPr>
              <w:spacing w:after="0"/>
              <w:rPr>
                <w:sz w:val="23"/>
                <w:szCs w:val="23"/>
                <w:color w:val="auto"/>
              </w:rPr>
            </w:pPr>
          </w:p>
        </w:tc>
        <w:tc>
          <w:tcPr>
            <w:tcW w:w="420" w:type="dxa"/>
            <w:vAlign w:val="bottom"/>
            <w:tcBorders>
              <w:top w:val="single" w:sz="8" w:color="0000EE"/>
            </w:tcBorders>
            <w:shd w:val="clear" w:color="auto" w:fill="CCEEFF"/>
          </w:tcPr>
          <w:p>
            <w:pPr>
              <w:spacing w:after="0"/>
              <w:rPr>
                <w:sz w:val="23"/>
                <w:szCs w:val="23"/>
                <w:color w:val="auto"/>
              </w:rPr>
            </w:pPr>
          </w:p>
        </w:tc>
        <w:tc>
          <w:tcPr>
            <w:tcW w:w="44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CCEEFF"/>
            </w:tcBorders>
            <w:shd w:val="clear" w:color="auto" w:fill="CCEEFF"/>
          </w:tcPr>
          <w:p>
            <w:pPr>
              <w:spacing w:after="0"/>
              <w:rPr>
                <w:sz w:val="23"/>
                <w:szCs w:val="23"/>
                <w:color w:val="auto"/>
              </w:rPr>
            </w:pPr>
          </w:p>
        </w:tc>
        <w:tc>
          <w:tcPr>
            <w:tcW w:w="27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0000EE"/>
              <w:right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1A</w:t>
              </w:r>
            </w:hyperlink>
          </w:p>
        </w:tc>
        <w:tc>
          <w:tcPr>
            <w:tcW w:w="40" w:type="dxa"/>
            <w:vAlign w:val="bottom"/>
          </w:tcPr>
          <w:p>
            <w:pPr>
              <w:spacing w:after="0"/>
              <w:rPr>
                <w:sz w:val="17"/>
                <w:szCs w:val="17"/>
                <w:color w:val="auto"/>
              </w:rPr>
            </w:pPr>
          </w:p>
        </w:tc>
        <w:tc>
          <w:tcPr>
            <w:tcW w:w="9200" w:type="dxa"/>
            <w:vAlign w:val="bottom"/>
            <w:gridSpan w:val="14"/>
          </w:tcPr>
          <w:p>
            <w:pPr>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Risk Factors</w:t>
              </w:r>
            </w:hyperlink>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37</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2</w:t>
              </w:r>
            </w:hyperlink>
          </w:p>
        </w:tc>
        <w:tc>
          <w:tcPr>
            <w:tcW w:w="40" w:type="dxa"/>
            <w:vAlign w:val="bottom"/>
            <w:shd w:val="clear" w:color="auto" w:fill="CCEEFF"/>
          </w:tcPr>
          <w:p>
            <w:pPr>
              <w:spacing w:after="0"/>
              <w:rPr>
                <w:sz w:val="17"/>
                <w:szCs w:val="17"/>
                <w:color w:val="auto"/>
              </w:rPr>
            </w:pPr>
          </w:p>
        </w:tc>
        <w:tc>
          <w:tcPr>
            <w:tcW w:w="920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38</w:t>
              </w:r>
            </w:hyperlink>
          </w:p>
        </w:tc>
        <w:tc>
          <w:tcPr>
            <w:tcW w:w="420" w:type="dxa"/>
            <w:vAlign w:val="bottom"/>
            <w:shd w:val="clear" w:color="auto" w:fill="CCEEFF"/>
          </w:tcPr>
          <w:p>
            <w:pPr>
              <w:spacing w:after="0"/>
              <w:rPr>
                <w:sz w:val="17"/>
                <w:szCs w:val="17"/>
                <w:color w:val="auto"/>
              </w:rPr>
            </w:pPr>
          </w:p>
        </w:tc>
      </w:tr>
      <w:tr>
        <w:trPr>
          <w:trHeight w:val="264"/>
        </w:trPr>
        <w:tc>
          <w:tcPr>
            <w:tcW w:w="4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0000EE"/>
            </w:tcBorders>
            <w:shd w:val="clear" w:color="auto" w:fill="CCEEFF"/>
          </w:tcPr>
          <w:p>
            <w:pPr>
              <w:spacing w:after="0"/>
              <w:rPr>
                <w:sz w:val="22"/>
                <w:szCs w:val="22"/>
                <w:color w:val="auto"/>
              </w:rPr>
            </w:pPr>
          </w:p>
        </w:tc>
        <w:tc>
          <w:tcPr>
            <w:tcW w:w="30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440" w:type="dxa"/>
            <w:vAlign w:val="bottom"/>
            <w:tcBorders>
              <w:top w:val="single" w:sz="8" w:color="0000EE"/>
            </w:tcBorders>
            <w:shd w:val="clear" w:color="auto" w:fill="CCEEFF"/>
          </w:tcPr>
          <w:p>
            <w:pPr>
              <w:spacing w:after="0"/>
              <w:rPr>
                <w:sz w:val="22"/>
                <w:szCs w:val="22"/>
                <w:color w:val="auto"/>
              </w:rPr>
            </w:pPr>
          </w:p>
        </w:tc>
        <w:tc>
          <w:tcPr>
            <w:tcW w:w="116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360" w:type="dxa"/>
            <w:vAlign w:val="bottom"/>
            <w:tcBorders>
              <w:top w:val="single" w:sz="8" w:color="0000EE"/>
            </w:tcBorders>
            <w:shd w:val="clear" w:color="auto" w:fill="CCEEFF"/>
          </w:tcPr>
          <w:p>
            <w:pPr>
              <w:spacing w:after="0"/>
              <w:rPr>
                <w:sz w:val="22"/>
                <w:szCs w:val="22"/>
                <w:color w:val="auto"/>
              </w:rPr>
            </w:pPr>
          </w:p>
        </w:tc>
        <w:tc>
          <w:tcPr>
            <w:tcW w:w="200" w:type="dxa"/>
            <w:vAlign w:val="bottom"/>
            <w:tcBorders>
              <w:top w:val="single" w:sz="8" w:color="0000EE"/>
            </w:tcBorders>
            <w:shd w:val="clear" w:color="auto" w:fill="CCEEFF"/>
          </w:tcPr>
          <w:p>
            <w:pPr>
              <w:spacing w:after="0"/>
              <w:rPr>
                <w:sz w:val="22"/>
                <w:szCs w:val="22"/>
                <w:color w:val="auto"/>
              </w:rPr>
            </w:pPr>
          </w:p>
        </w:tc>
        <w:tc>
          <w:tcPr>
            <w:tcW w:w="3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0000EE"/>
              <w:right w:val="single" w:sz="8" w:color="CCEEFF"/>
            </w:tcBorders>
            <w:shd w:val="clear" w:color="auto" w:fill="CCEEFF"/>
          </w:tcPr>
          <w:p>
            <w:pPr>
              <w:spacing w:after="0"/>
              <w:rPr>
                <w:sz w:val="22"/>
                <w:szCs w:val="22"/>
                <w:color w:val="auto"/>
              </w:rPr>
            </w:pPr>
          </w:p>
        </w:tc>
        <w:tc>
          <w:tcPr>
            <w:tcW w:w="420" w:type="dxa"/>
            <w:vAlign w:val="bottom"/>
            <w:tcBorders>
              <w:top w:val="single" w:sz="8" w:color="CCEEFF"/>
            </w:tcBorders>
            <w:shd w:val="clear" w:color="auto" w:fill="CCEEFF"/>
          </w:tcPr>
          <w:p>
            <w:pPr>
              <w:spacing w:after="0"/>
              <w:rPr>
                <w:sz w:val="22"/>
                <w:szCs w:val="22"/>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Times New Roman" w:cs="Times New Roman" w:eastAsia="Times New Roman" w:hAnsi="Times New Roman"/>
                <w:sz w:val="18"/>
                <w:szCs w:val="18"/>
                <w:color w:val="0000EE"/>
                <w:w w:val="94"/>
              </w:rPr>
            </w:pPr>
            <w:hyperlink w:anchor="page39">
              <w:r>
                <w:rPr>
                  <w:rFonts w:ascii="Times New Roman" w:cs="Times New Roman" w:eastAsia="Times New Roman" w:hAnsi="Times New Roman"/>
                  <w:sz w:val="18"/>
                  <w:szCs w:val="18"/>
                  <w:color w:val="0000EE"/>
                  <w:w w:val="94"/>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Exhibits</w:t>
              </w:r>
            </w:hyperlink>
          </w:p>
        </w:tc>
        <w:tc>
          <w:tcPr>
            <w:tcW w:w="8600" w:type="dxa"/>
            <w:vAlign w:val="bottom"/>
            <w:gridSpan w:val="13"/>
          </w:tcPr>
          <w:p>
            <w:pPr>
              <w:spacing w:after="0"/>
              <w:rPr>
                <w:sz w:val="17"/>
                <w:szCs w:val="17"/>
                <w:color w:val="auto"/>
              </w:rPr>
            </w:pPr>
          </w:p>
        </w:tc>
        <w:tc>
          <w:tcPr>
            <w:tcW w:w="720" w:type="dxa"/>
            <w:vAlign w:val="bottom"/>
            <w:gridSpan w:val="3"/>
          </w:tcPr>
          <w:p>
            <w:pPr>
              <w:jc w:val="center"/>
              <w:ind w:left="450"/>
              <w:spacing w:after="0" w:line="202"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this Quarterly Report on Form 10-Q, “LivaNova,” “the Company,” “we,” “us” and “our” refer to LivaNova PLC and its consolidated subsidiaries.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report may contain references to our proprietary intellectual property, including among others:</w:t>
      </w:r>
    </w:p>
    <w:p>
      <w:pPr>
        <w:spacing w:after="0" w:line="63" w:lineRule="exact"/>
        <w:rPr>
          <w:sz w:val="20"/>
          <w:szCs w:val="20"/>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VNS therapy systems, the VNS Therapy® System, the VITARIA®™ System and our proprietary Pulse generators products: Model 102 (Pulse™), Model 102R (Pulse Duo™), Model 103 (Demipulse®), Model 104 (Demipulse Duo®), Model 105 (AspireHC®), Model 106 (AspireSR®) and our newest model in development, Sentiva™.</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Oxygenators product systems: Inspire™, Heartlink™ and Connect™.</w:t>
      </w:r>
    </w:p>
    <w:p>
      <w:pPr>
        <w:spacing w:after="0" w:line="63" w:lineRule="exact"/>
        <w:rPr>
          <w:rFonts w:ascii="Times New Roman" w:cs="Times New Roman" w:eastAsia="Times New Roman" w:hAnsi="Times New Roman"/>
          <w:sz w:val="18"/>
          <w:szCs w:val="18"/>
          <w:color w:val="auto"/>
        </w:rPr>
      </w:pPr>
    </w:p>
    <w:p>
      <w:pPr>
        <w:ind w:left="660" w:right="260" w:hanging="328"/>
        <w:spacing w:after="0" w:line="20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line of surgical tissue and mechanical valve replacements and repair products: Mitroflow</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Crown PRT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Solo Smart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Perceval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Top Hat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Reduced Series Aortic Valves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Carbomedics Carbo-Seal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Carbo-Seal Valsalva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Carbomedics Standard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Orbis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Optiform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and Mitral valve repair products: Memo 3D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Memo 3D ReChord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AnnuloFlo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AnnuloFlex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660" w:right="40" w:hanging="328"/>
        <w:spacing w:after="0" w:line="20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implantable cardiac pacemakers and associated services: REPLY 200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ESPRIT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KORA 100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KORA 250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SafeR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REPLY CRT-P</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remedé® System.</w:t>
      </w:r>
    </w:p>
    <w:p>
      <w:pPr>
        <w:spacing w:after="0" w:line="2" w:lineRule="exact"/>
        <w:rPr>
          <w:rFonts w:ascii="Times New Roman" w:cs="Times New Roman" w:eastAsia="Times New Roman" w:hAnsi="Times New Roman"/>
          <w:sz w:val="18"/>
          <w:szCs w:val="18"/>
          <w:color w:val="auto"/>
        </w:rPr>
      </w:pPr>
    </w:p>
    <w:p>
      <w:pPr>
        <w:ind w:left="660" w:right="400" w:hanging="328"/>
        <w:spacing w:after="0" w:line="20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Implantable Cardioverter Defibrillators and associated technologies: the INTENSIA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PLATINIUM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and PARADYM® product families.</w:t>
      </w:r>
    </w:p>
    <w:p>
      <w:pPr>
        <w:spacing w:after="0" w:line="37" w:lineRule="exact"/>
        <w:rPr>
          <w:rFonts w:ascii="Times New Roman" w:cs="Times New Roman" w:eastAsia="Times New Roman" w:hAnsi="Times New Roman"/>
          <w:sz w:val="18"/>
          <w:szCs w:val="18"/>
          <w:color w:val="auto"/>
        </w:rPr>
      </w:pPr>
    </w:p>
    <w:p>
      <w:pPr>
        <w:ind w:left="660" w:right="700" w:hanging="328"/>
        <w:spacing w:after="0" w:line="21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cardiac resynchronization therapy devices, technologies services: SonR®, SonRtip</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SonR CRT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INTENSIA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PARADYM RF</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PARADYM 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PLATINIUM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families and the Respond CRT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clinical trial.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heart failure treatment product: Equilia®™.</w:t>
      </w:r>
    </w:p>
    <w:p>
      <w:pPr>
        <w:spacing w:after="0" w:line="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bradycardia leads: BEFLEX™ (active fixation) and XFINE™ (passive fixation).</w:t>
      </w:r>
    </w:p>
    <w:p>
      <w:pPr>
        <w:spacing w:after="0" w:line="63" w:lineRule="exact"/>
        <w:rPr>
          <w:sz w:val="20"/>
          <w:szCs w:val="20"/>
          <w:color w:val="auto"/>
        </w:rPr>
      </w:pPr>
    </w:p>
    <w:p>
      <w:pPr>
        <w:ind w:right="260" w:firstLine="162"/>
        <w:spacing w:after="0" w:line="261" w:lineRule="auto"/>
        <w:rPr>
          <w:sz w:val="20"/>
          <w:szCs w:val="20"/>
          <w:color w:val="auto"/>
        </w:rPr>
      </w:pPr>
      <w:r>
        <w:rPr>
          <w:rFonts w:ascii="Times New Roman" w:cs="Times New Roman" w:eastAsia="Times New Roman" w:hAnsi="Times New Roman"/>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Report on Form 10-Q may appear without the ® or ™ symbols, but such references are not intended to indicate in any way that we will not assert, to the fullest extent under applicable law, our rights to these trademarks and tradenames.</w:t>
      </w:r>
    </w:p>
    <w:p>
      <w:pPr>
        <w:spacing w:after="0" w:line="18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84"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62"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Mergers:</w:t>
      </w:r>
    </w:p>
    <w:p>
      <w:pPr>
        <w:spacing w:after="0" w:line="158" w:lineRule="exact"/>
        <w:rPr>
          <w:sz w:val="20"/>
          <w:szCs w:val="20"/>
          <w:color w:val="auto"/>
        </w:rPr>
      </w:pPr>
    </w:p>
    <w:p>
      <w:pPr>
        <w:ind w:left="660" w:right="7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5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certain key legacy employees of the Cyberonics or Sorin businesses; and</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interpretations that could increase our consolidated tax liabilities following the Mergers, including the risk that we could be treated as a domestic corporation for United States federal tax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business:</w:t>
      </w:r>
    </w:p>
    <w:p>
      <w:pPr>
        <w:spacing w:after="0" w:line="15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activities and announcements, including the failure to obtain regulatory approvals for our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future quarterly operating results;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expand or maintain market acceptance of our products for the treatment of our approved indications;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procedures, as well as adverse decisions by administrators of such systems on coverage or reimbursement issues relating to our products;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current regulatory approvals for our products’ approved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insurance coverage and reimbursement for our products’ approved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sales and operating expenses relative to estimates;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suppliers and manufacturers to provide certain materials, components and contract services necessary for the production of our products;</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intellectual property disputes, shareholder related matters, environmental proceedings, income tax disputes, and other related losses and costs;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738" w:right="259" w:bottom="1440" w:gutter="0" w:footer="0" w:header="0"/>
        </w:sectPr>
      </w:pPr>
    </w:p>
    <w:bookmarkStart w:id="3" w:name="page4"/>
    <w:bookmarkEnd w:id="3"/>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expiration and validity of our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the development of superior or alternative technology or devices by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U.S. domestic laws and regulations, including federal and state privacy and security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non-U.S. law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operational and economic risks and concerns;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or retain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costs from pending or future lawsuits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that adversely affect the characterization of our consolidated financial position, results of operations or cash 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volatility in the global market and worldwide economic conditions, in particular the implementation of Brexit will likely cause increased economic volatility;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changes due to Brexit, or exposure to additional income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harsh weather or natural disasters that interrupt our business operations or the business operations of our hospital-customers;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therapies by the market requires significant time and expense and cannot be guaranteed.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could cause our actual results to differ from our projected results are described in (1) “Part II, Item 1A. Risk Factors” and elsewhere in this Quarterly Report on Form 10-Q, (2) our 2016 Form 10-K, (3) our reports and registration statements filed and furnished from time to time with the SEC and (4) other announcements we make from time to time.</w:t>
      </w:r>
    </w:p>
    <w:p>
      <w:pPr>
        <w:spacing w:after="0" w:line="68" w:lineRule="exact"/>
        <w:rPr>
          <w:sz w:val="20"/>
          <w:szCs w:val="20"/>
          <w:color w:val="auto"/>
        </w:rPr>
      </w:pPr>
    </w:p>
    <w:p>
      <w:pPr>
        <w:ind w:right="40" w:firstLine="162"/>
        <w:spacing w:after="0" w:line="25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quarter ended March 31, 2017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2016 Form 10-K.</w:t>
      </w:r>
    </w:p>
    <w:p>
      <w:pPr>
        <w:spacing w:after="0" w:line="1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Financial Information and Currency of Financial Statements</w:t>
      </w:r>
    </w:p>
    <w:p>
      <w:pPr>
        <w:spacing w:after="0" w:line="162" w:lineRule="exact"/>
        <w:rPr>
          <w:sz w:val="20"/>
          <w:szCs w:val="20"/>
          <w:color w:val="auto"/>
        </w:rPr>
      </w:pPr>
    </w:p>
    <w:p>
      <w:pPr>
        <w:ind w:right="380" w:firstLine="162"/>
        <w:spacing w:after="0" w:line="282" w:lineRule="auto"/>
        <w:rPr>
          <w:sz w:val="20"/>
          <w:szCs w:val="20"/>
          <w:color w:val="auto"/>
        </w:rPr>
      </w:pPr>
      <w:r>
        <w:rPr>
          <w:rFonts w:ascii="Times New Roman" w:cs="Times New Roman" w:eastAsia="Times New Roman" w:hAnsi="Times New Roman"/>
          <w:sz w:val="18"/>
          <w:szCs w:val="18"/>
          <w:color w:val="auto"/>
        </w:rPr>
        <w:t>All of the financial information included in this quarterly report has been prepared in accordance with accounting principles generally accepted in the United States, or U.S. GAAP. The reporting currency of our consolidated financial statements is U.S. dollars.</w:t>
      </w: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Condensed Consolidated Financial Statements</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286,969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123,567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remediation</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184,434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162,696</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115,866</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31,690</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28,592</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15,892</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198,801</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 (losses)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20,011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(38,919)</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25"/>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computing basic 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48,918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diluted income (loss) per share</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48,918</w:t>
            </w:r>
          </w:p>
        </w:tc>
      </w:tr>
    </w:tbl>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89" w:right="2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(40,378)</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unrealized loss on derivatives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r>
      <w:tr>
        <w:trPr>
          <w:trHeight w:val="23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of tax</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13,521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45,122</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w:t>
            </w: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84" w:right="23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62,719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271,534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275,730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192,388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183,489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refundable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60,615</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55,973</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660,677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620,073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223,842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698,276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691,712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609,197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61,092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132,664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130,698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2,370,647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2,342,631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47,650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92,952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68,416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75,567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22,340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employee compensation and related benefits liability</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78,302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316,811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75,215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172,541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employee compensation and related benefits liability</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31,668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39,487</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635,719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635,722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Ordinary Shares, £1.00 par value: unlimited shares authorized; 48,184,737 shares issued and 48,124,731shares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March 31, 2017; 48,156,690 shares issued and 48,028,413 shares outstanding at December 31, 2016</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74,578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1,721,238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1,719,893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Retained deficit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stock at cost, 60,006 shares at March 31, 2017 and 128,277 shares at December 31, 2016</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1,734,928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1,706,909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2,370,647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2,342,631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71" w:right="23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items included in net income (loss):</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income taxes payable on intercompany transfers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Restructuring reserve</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current and non-current liabilities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33,207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9,600</w:t>
            </w:r>
          </w:p>
        </w:tc>
        <w:tc>
          <w:tcPr>
            <w:tcW w:w="0" w:type="dxa"/>
            <w:vAlign w:val="bottom"/>
          </w:tcPr>
          <w:p>
            <w:pPr>
              <w:spacing w:after="0"/>
              <w:rPr>
                <w:sz w:val="1"/>
                <w:szCs w:val="1"/>
                <w:color w:val="auto"/>
              </w:rPr>
            </w:pPr>
          </w:p>
        </w:tc>
      </w:tr>
      <w:tr>
        <w:trPr>
          <w:trHeight w:val="22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cost method investment</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1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to equity method investments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 (repayment), net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SARs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trade receivable advances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22,930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(25,145)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62,719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87,468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84" w:right="2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2"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LivaNova as of and for the three months ended March 31, 2017 and March 31, 2016 have been prepared in accordance with generally accepted accounting principles in the United States of America (“U.S.” and such principles, “U.S. GAAP”) for interim financial information and the instructions to Form 10-Q and Article 10 of regulation S-X. The accompanying condensed consolidated balance sheet of LivaNova at December 31, 2016 has been derived from audited financial statements contained in our annual report on form 10-K for the year ended December 31, 2016, but do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months ended March 31, 2017 and are not necessarily indicative of the results that may be expected for the year ending December 31, 2017. The financial information presented herein should be read in conjunction with the audited consolidated financial statements and notes thereto accompanying our Annual Report on Form 10-K for the year ended December 31, 2016.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Description of the Mergers</w:t>
      </w:r>
    </w:p>
    <w:p>
      <w:pPr>
        <w:spacing w:after="0" w:line="112"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On October 19, 2015 LivaNova became the holding company of the combined businesses of Cyberonics and Sorin (the “Mergers”). Based on the structure of the Mergers, management determined that Cyberonics was considered to be the accounting acquirer and predecessor for accounting purposes.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Reclassification of Prior Year Comparative Period Presentation</w:t>
      </w:r>
    </w:p>
    <w:p>
      <w:pPr>
        <w:spacing w:after="0" w:line="112" w:lineRule="exact"/>
        <w:rPr>
          <w:sz w:val="20"/>
          <w:szCs w:val="20"/>
          <w:color w:val="auto"/>
        </w:rPr>
      </w:pPr>
    </w:p>
    <w:p>
      <w:pPr>
        <w:jc w:val="both"/>
        <w:ind w:right="400" w:firstLine="162"/>
        <w:spacing w:after="0" w:line="261" w:lineRule="auto"/>
        <w:rPr>
          <w:sz w:val="20"/>
          <w:szCs w:val="20"/>
          <w:color w:val="auto"/>
        </w:rPr>
      </w:pPr>
      <w:r>
        <w:rPr>
          <w:rFonts w:ascii="Times New Roman" w:cs="Times New Roman" w:eastAsia="Times New Roman" w:hAnsi="Times New Roman"/>
          <w:sz w:val="18"/>
          <w:szCs w:val="18"/>
          <w:color w:val="auto"/>
        </w:rPr>
        <w:t>To conform the condensed consolidated statement of income (loss) for the three months ended March 31, 2016 to the current period presentation, we reclassified $0.7 million previously presented on the Litigation Related Expenses line to Cost of Goods Sold - Product Remediation and $0.3 million to Selling, General and Administrative Expenses. Litigation Related Expenses was presented on a separate line within operating expenses in the condensed consolidated statement of income (loss) for the three months ended March 31, 2016.</w:t>
      </w:r>
    </w:p>
    <w:p>
      <w:pPr>
        <w:spacing w:after="0" w:line="7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 conform the condensed consolidated balance sheet as of December 31, 2016 to the current period presentation, we classified $4.5 million of Assets Held for Sale, relating to our plan to exit the Costa Rica manufacturing operation, to a separate line item in the condensed consolidated balance sheet from Prepaid Expenses and Other Current Assets.</w:t>
      </w:r>
    </w:p>
    <w:p>
      <w:pPr>
        <w:spacing w:after="0" w:line="68" w:lineRule="exact"/>
        <w:rPr>
          <w:sz w:val="20"/>
          <w:szCs w:val="20"/>
          <w:color w:val="auto"/>
        </w:rPr>
      </w:pPr>
    </w:p>
    <w:p>
      <w:pPr>
        <w:ind w:right="500" w:firstLine="162"/>
        <w:spacing w:after="0" w:line="282" w:lineRule="auto"/>
        <w:rPr>
          <w:sz w:val="20"/>
          <w:szCs w:val="20"/>
          <w:color w:val="auto"/>
        </w:rPr>
      </w:pPr>
      <w:r>
        <w:rPr>
          <w:rFonts w:ascii="Times New Roman" w:cs="Times New Roman" w:eastAsia="Times New Roman" w:hAnsi="Times New Roman"/>
          <w:sz w:val="18"/>
          <w:szCs w:val="18"/>
          <w:color w:val="auto"/>
        </w:rPr>
        <w:t>To conform the condensed consolidated statement of cash flow for the three months ended March 31, 2016 to the current period presentation, certain amounts were reclassified within Cash Flows from Operating Activities.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Restructuring</w:t>
      </w:r>
    </w:p>
    <w:p>
      <w:pPr>
        <w:spacing w:after="0" w:line="116" w:lineRule="exact"/>
        <w:rPr>
          <w:sz w:val="20"/>
          <w:szCs w:val="20"/>
          <w:color w:val="auto"/>
        </w:rPr>
      </w:pPr>
    </w:p>
    <w:p>
      <w:pPr>
        <w:ind w:right="220" w:firstLine="162"/>
        <w:spacing w:after="0" w:line="258" w:lineRule="auto"/>
        <w:rPr>
          <w:sz w:val="20"/>
          <w:szCs w:val="20"/>
          <w:color w:val="auto"/>
        </w:rPr>
      </w:pPr>
      <w:r>
        <w:rPr>
          <w:rFonts w:ascii="Times New Roman" w:cs="Times New Roman" w:eastAsia="Times New Roman" w:hAnsi="Times New Roman"/>
          <w:sz w:val="18"/>
          <w:szCs w:val="18"/>
          <w:color w:val="auto"/>
        </w:rPr>
        <w:t>Our 2015 and 2016 Reorganization Plans (the “Plans”) were initiated October 2015 and March 2016, respectively, in conjunction with the completion of the Mergers. We initiated these plans to leverage economies of scale, streamline distribution and logistics and strengthen operational and administrative effectiveness in order to reduce overall costs. Costs associated with these plans were reported as ‘Restructuring expenses’ in our operating results in the condensed consolidated statements of income (loss). We estimate that the Plans will result in a net reduction of approximately 341 personnel of which 228 have occurred as of March 31, 2017.</w:t>
      </w:r>
    </w:p>
    <w:p>
      <w:pPr>
        <w:spacing w:after="0" w:line="76"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three months ended March 31, 2017. In addition, the remaining $13.1 million carrying value of the land, building and equipment was reclassified to Assets Held for Sale on the condensed consolidated balance sheet, as of March 31, 2017.</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684"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restructuring expense accrual detail (in thousands):</w:t>
            </w: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6"/>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 severance and</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 termination costs</w:t>
            </w: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24,148</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10,150</w:t>
            </w: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 impairment and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r>
      <w:tr>
        <w:trPr>
          <w:trHeight w:val="257"/>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13,264</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4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0" w:type="dxa"/>
            <w:vAlign w:val="bottom"/>
          </w:tcPr>
          <w:p>
            <w:pPr>
              <w:spacing w:after="0"/>
              <w:rPr>
                <w:sz w:val="20"/>
                <w:szCs w:val="20"/>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Cardiac Surgery</w:t>
            </w: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w:t>
            </w: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5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15,166</w:t>
            </w:r>
          </w:p>
        </w:tc>
      </w:tr>
      <w:tr>
        <w:trPr>
          <w:trHeight w:val="27"/>
        </w:trPr>
        <w:tc>
          <w:tcPr>
            <w:tcW w:w="6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Neuromodulation</w:t>
            </w:r>
          </w:p>
        </w:tc>
        <w:tc>
          <w:tcPr>
            <w:tcW w:w="1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2,163</w:t>
            </w:r>
          </w:p>
        </w:tc>
      </w:tr>
      <w:tr>
        <w:trPr>
          <w:trHeight w:val="243"/>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7,053</w:t>
            </w:r>
          </w:p>
        </w:tc>
      </w:tr>
      <w:tr>
        <w:trPr>
          <w:trHeight w:val="27"/>
        </w:trPr>
        <w:tc>
          <w:tcPr>
            <w:tcW w:w="6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28,592</w:t>
            </w:r>
          </w:p>
        </w:tc>
      </w:tr>
      <w:tr>
        <w:trPr>
          <w:trHeight w:val="20"/>
        </w:trPr>
        <w:tc>
          <w:tcPr>
            <w:tcW w:w="6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Product Remediation Liability</w:t>
      </w:r>
    </w:p>
    <w:p>
      <w:pPr>
        <w:spacing w:after="0" w:line="116" w:lineRule="exact"/>
        <w:rPr>
          <w:sz w:val="20"/>
          <w:szCs w:val="20"/>
          <w:color w:val="auto"/>
        </w:rPr>
      </w:pPr>
    </w:p>
    <w:p>
      <w:pPr>
        <w:ind w:right="20" w:firstLine="162"/>
        <w:spacing w:after="0" w:line="253" w:lineRule="auto"/>
        <w:rPr>
          <w:sz w:val="20"/>
          <w:szCs w:val="20"/>
          <w:color w:val="auto"/>
        </w:rPr>
      </w:pPr>
      <w:r>
        <w:rPr>
          <w:rFonts w:ascii="Times New Roman" w:cs="Times New Roman" w:eastAsia="Times New Roman" w:hAnsi="Times New Roman"/>
          <w:sz w:val="18"/>
          <w:szCs w:val="18"/>
          <w:color w:val="auto"/>
        </w:rPr>
        <w:t>At December 31, 2016, we recognized a liability for a product remediation plan related to our 3T Heater Cooler device. The remediation plan we developed consists primarily of a modification of the 3T design to include internal sealing and addition of a vacuum system to new and existing devices. These changes are intended to address regulatory actions and further reduce the risk of possible dispersion of aerosols from the 3T Heater Cooler devices in the operating room. The deployment of this solution for commercially distributed devices will occur upon final validation and verification of the design changes and approval or clearance by regulatory authorities worldwide, including FDA clearance in the U.S. In April 2017, we obtained CE Mark in Europe for the design change of the 3T device. As part of this plan, we also intend to perform a no-charge deep disinfection service for 3T users who have reported confirmed M. chimaera mycobacterium contamination. Although the deep disinfection service is not yet available in the U.S., it is currently offered in many countries around the world and will be expanded to additional geographies as regulatory approvals are received. Finally, in the fourth quarter of 2016 we initiated a program to provide existing 3T users with a new loaner 3T device at no charge pending regulatory approval and implementation of the vacuum system addition and deep disinfection service worldwide. This loaner program began in the U.S. and is being progressively made available on a global basis, prioritizing and allocating devices to 3T users based on pre-established criteria.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33,487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Remediation activity</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31,731</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162"/>
        <w:spacing w:after="0" w:line="255" w:lineRule="auto"/>
        <w:rPr>
          <w:sz w:val="20"/>
          <w:szCs w:val="20"/>
          <w:color w:val="auto"/>
        </w:rPr>
      </w:pPr>
      <w:r>
        <w:rPr>
          <w:rFonts w:ascii="Times New Roman" w:cs="Times New Roman" w:eastAsia="Times New Roman" w:hAnsi="Times New Roman"/>
          <w:sz w:val="18"/>
          <w:szCs w:val="18"/>
          <w:color w:val="auto"/>
        </w:rPr>
        <w:t>As a result of the above adjustments to the product remediation liability and remediation activity during the three months ended March 31, 2017, there was a reduction in costs related to the product remediation program of $0.8 million included in Product Remediation line in the condensed consolidated statement of income (loss).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 We recognize changes in estimates on a prospective basis. For further information, please refer to “Note 8. Commitments and Contingencies - 3T Heater Cooler.” At this stage, no liability has been recognized with respect to any lawsuits involving the Company related to the 3T Heater Cooler, while related legal costs are expensed as incurred.</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 4.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Cost-Method Investments</w:t>
      </w:r>
    </w:p>
    <w:p>
      <w:pPr>
        <w:spacing w:after="0" w:line="112"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Our cost-method investments of $34.2 million and $33.8 million as of March 31, 2017 and December 31, 2016, respectively, consisted primarily of our equity investments in Respicardia, Inc. and ImThera Medical, Inc. Respicardia is a privately funded U.S. company developing an implantable device designed to restore a more natural breathing pattern during sleep in patients with central sleep apnea ("CSA") by transvenously stimulating the phrenic nerve. ImThera is a privately funded U.S. company developing a neurostimulation device system for the treatment of obstructive sleep apnea. During the three months ended March 31, 2017, we loaned ImThera $1.0 million, which is included in Other Assets on the condensed consolidated balance sheet. In addition, during the three months ended March 31, 2017, we sold our investment in Istituto Europeo di Oncologia S.R.L, for a gain of $3.2 million. This gain is included in Foreign exchange and other gains (losses) in the condensed consolidated statement of income (loss).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Method Investments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equity-method investments consist of our equity position in the following entities (in thousands, except for percent ownership):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00" w:type="dxa"/>
            <w:vAlign w:val="bottom"/>
          </w:tcPr>
          <w:p>
            <w:pPr>
              <w:spacing w:after="0"/>
              <w:rPr>
                <w:sz w:val="24"/>
                <w:szCs w:val="24"/>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Ownership </w:t>
            </w:r>
            <w:r>
              <w:rPr>
                <w:rFonts w:ascii="Times New Roman" w:cs="Times New Roman" w:eastAsia="Times New Roman" w:hAnsi="Times New Roman"/>
                <w:sz w:val="25"/>
                <w:szCs w:val="25"/>
                <w:b w:val="1"/>
                <w:bCs w:val="1"/>
                <w:color w:val="auto"/>
                <w:vertAlign w:val="superscript"/>
              </w:rPr>
              <w:t>(1)</w:t>
            </w: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64"/>
        </w:trPr>
        <w:tc>
          <w:tcPr>
            <w:tcW w:w="5000" w:type="dxa"/>
            <w:vAlign w:val="bottom"/>
            <w:tcBorders>
              <w:top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Caisson Interventional LLC </w:t>
            </w:r>
            <w:r>
              <w:rPr>
                <w:rFonts w:ascii="Times New Roman" w:cs="Times New Roman" w:eastAsia="Times New Roman" w:hAnsi="Times New Roman"/>
                <w:sz w:val="25"/>
                <w:szCs w:val="25"/>
                <w:b w:val="1"/>
                <w:bCs w:val="1"/>
                <w:color w:val="auto"/>
                <w:vertAlign w:val="superscript"/>
              </w:rPr>
              <w:t>(2)</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16,423</w:t>
            </w:r>
          </w:p>
        </w:tc>
      </w:tr>
      <w:tr>
        <w:trPr>
          <w:trHeight w:val="270"/>
        </w:trPr>
        <w:tc>
          <w:tcPr>
            <w:tcW w:w="5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Highlife S.A.S. </w:t>
            </w:r>
            <w:r>
              <w:rPr>
                <w:rFonts w:ascii="Times New Roman" w:cs="Times New Roman" w:eastAsia="Times New Roman" w:hAnsi="Times New Roman"/>
                <w:sz w:val="25"/>
                <w:szCs w:val="25"/>
                <w:b w:val="1"/>
                <w:bCs w:val="1"/>
                <w:color w:val="auto"/>
                <w:vertAlign w:val="superscript"/>
              </w:rPr>
              <w:t>(3)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6,009</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MicroPort Sorin CRM (Shanghai) Co. Ltd.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4,867</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0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b w:val="1"/>
                <w:bCs w:val="1"/>
                <w:color w:val="auto"/>
                <w:vertAlign w:val="superscript"/>
              </w:rPr>
              <w:t>(4)</w:t>
            </w:r>
          </w:p>
        </w:tc>
        <w:tc>
          <w:tcPr>
            <w:tcW w:w="1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27,315</w:t>
            </w:r>
          </w:p>
        </w:tc>
      </w:tr>
      <w:tr>
        <w:trPr>
          <w:trHeight w:val="20"/>
        </w:trPr>
        <w:tc>
          <w:tcPr>
            <w:tcW w:w="5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Ownership percentages as of March 31, 2017.</w:t>
      </w:r>
    </w:p>
    <w:p>
      <w:pPr>
        <w:spacing w:after="0" w:line="26" w:lineRule="exact"/>
        <w:rPr>
          <w:rFonts w:ascii="Times New Roman" w:cs="Times New Roman" w:eastAsia="Times New Roman" w:hAnsi="Times New Roman"/>
          <w:sz w:val="14"/>
          <w:szCs w:val="14"/>
          <w:color w:val="auto"/>
        </w:rPr>
      </w:pPr>
    </w:p>
    <w:p>
      <w:pPr>
        <w:ind w:left="660" w:right="60" w:hanging="328"/>
        <w:spacing w:after="0" w:line="264"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Caisson Interventional LLC is a privately held clinical-stage medical device company located in the U.S., and is focused on the design, development, and clinical evaluation of a novel percutaneous mitral valve replacement system. During the quarter ended March 31, 2017, we loaned Caisson $3.0 million, which is included in Other Assets on the condensed consolidated balance sheet.</w:t>
      </w:r>
    </w:p>
    <w:p>
      <w:pPr>
        <w:jc w:val="both"/>
        <w:ind w:left="660" w:right="100" w:hanging="328"/>
        <w:spacing w:after="0" w:line="264"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Highlife S.A.S is a privately held clinical-stage medical device company located in France, and is focused on the development of a unique transcatheter mitral valve replacement system to treat patients with mitral regurgitation. We loaned Highlife $1.3 million during the three months ended March 31, 2017, which is included in Other Assets on the condensed consolidated balance sheet.</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loans outstanding to Caisson and Highlife amounting to $13.2 million, in total, at March 31,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Fair Value Measurements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2017</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 - designated as cash flow hedges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 freestanding hedges (FX)</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(interest rate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 freestanding hedges (FX)</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contingent payment arose as a result of acquisitions, see “Note 13. Supplemental Financial Information - Other Long-Term Liabilities”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Financing Arrangements</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Pr>
          <w:p>
            <w:pPr>
              <w:spacing w:after="0"/>
              <w:rPr>
                <w:sz w:val="20"/>
                <w:szCs w:val="20"/>
                <w:color w:val="auto"/>
              </w:rPr>
            </w:pP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27"/>
        </w:trPr>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European Investment Bank </w:t>
            </w:r>
            <w:r>
              <w:rPr>
                <w:rFonts w:ascii="Times New Roman" w:cs="Times New Roman" w:eastAsia="Times New Roman" w:hAnsi="Times New Roman"/>
                <w:sz w:val="25"/>
                <w:szCs w:val="25"/>
                <w:b w:val="1"/>
                <w:bCs w:val="1"/>
                <w:color w:val="auto"/>
                <w:vertAlign w:val="superscript"/>
              </w:rPr>
              <w:t>(1)</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80,069</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78,987</w:t>
            </w:r>
          </w:p>
        </w:tc>
        <w:tc>
          <w:tcPr>
            <w:tcW w:w="120" w:type="dxa"/>
            <w:vAlign w:val="bottom"/>
          </w:tcPr>
          <w:p>
            <w:pPr>
              <w:spacing w:after="0"/>
              <w:rPr>
                <w:sz w:val="22"/>
                <w:szCs w:val="22"/>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2021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Banca del Mezzogiorno </w:t>
            </w:r>
            <w:r>
              <w:rPr>
                <w:rFonts w:ascii="Times New Roman" w:cs="Times New Roman" w:eastAsia="Times New Roman" w:hAnsi="Times New Roman"/>
                <w:sz w:val="25"/>
                <w:szCs w:val="25"/>
                <w:b w:val="1"/>
                <w:bCs w:val="1"/>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2019</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0.50% - 3.15%</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Mediocredito Italiano </w:t>
            </w:r>
            <w:r>
              <w:rPr>
                <w:rFonts w:ascii="Times New Roman" w:cs="Times New Roman" w:eastAsia="Times New Roman" w:hAnsi="Times New Roman"/>
                <w:sz w:val="25"/>
                <w:szCs w:val="25"/>
                <w:b w:val="1"/>
                <w:bCs w:val="1"/>
                <w:color w:val="auto"/>
                <w:vertAlign w:val="superscript"/>
              </w:rPr>
              <w:t>(3)</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tcPr>
          <w:p>
            <w:pPr>
              <w:spacing w:after="0"/>
              <w:rPr>
                <w:sz w:val="23"/>
                <w:szCs w:val="23"/>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0.50% - 3.07%</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Bpifrance (ex-Oséo)</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2019</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Region Wallonne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 and June 2033</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 - 2.42%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Mediocredito Italiano - mortgages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2021 and September</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0.40% - 0.65%</w:t>
            </w:r>
          </w:p>
        </w:tc>
        <w:tc>
          <w:tcPr>
            <w:tcW w:w="0" w:type="dxa"/>
            <w:vAlign w:val="bottom"/>
          </w:tcPr>
          <w:p>
            <w:pPr>
              <w:spacing w:after="0"/>
              <w:rPr>
                <w:sz w:val="1"/>
                <w:szCs w:val="1"/>
                <w:color w:val="auto"/>
              </w:rPr>
            </w:pPr>
          </w:p>
        </w:tc>
      </w:tr>
      <w:tr>
        <w:trPr>
          <w:trHeight w:val="261"/>
        </w:trPr>
        <w:tc>
          <w:tcPr>
            <w:tcW w:w="3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97,660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96,516</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21,301</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76,068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75,215</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80" w:hanging="328"/>
        <w:spacing w:after="0" w:line="269"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European Investment Bank (“EIB”) loan was obtained in July 2014 to support product development projects. The interest rate for the EIB loan is reset by the lender each quarter based on the Euribor. Interest payments are quarterly and principal payments are semi-annually.</w:t>
      </w:r>
    </w:p>
    <w:p>
      <w:pPr>
        <w:ind w:left="660" w:right="240" w:hanging="328"/>
        <w:spacing w:after="0" w:line="264"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Banca del Mezzogiorno loan was obtained in January 2015 to support R&amp;D projects as a part of the Large Strategic Project program of the Italian Ministry of Education.</w:t>
      </w:r>
    </w:p>
    <w:p>
      <w:pPr>
        <w:ind w:left="660" w:right="480" w:hanging="328"/>
        <w:spacing w:after="0" w:line="28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the Mediocredito Italiano Bank loan in July 2016 as part of the Fondo Innovazione Teconologica program implemented by the Italian Ministry of Education.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w:t>
      </w:r>
    </w:p>
    <w:p>
      <w:pPr>
        <w:spacing w:after="0" w:line="112"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outstanding principal amount of our short-term unsecured revolving credit agreements and other agreements with various banks and governmental entities was $23.9 million and $26.4 million, at March 31, 2017 and December 31, 2016, respectively, with interest rates ranging from 0.0% to 15.3%.</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1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7. Derivatives and Risk Management</w:t>
      </w:r>
    </w:p>
    <w:p>
      <w:pPr>
        <w:spacing w:after="0" w:line="116" w:lineRule="exact"/>
        <w:rPr>
          <w:sz w:val="20"/>
          <w:szCs w:val="20"/>
          <w:color w:val="auto"/>
        </w:rPr>
      </w:pPr>
    </w:p>
    <w:p>
      <w:pPr>
        <w:ind w:right="60" w:firstLine="162"/>
        <w:spacing w:after="0" w:line="253" w:lineRule="auto"/>
        <w:rPr>
          <w:sz w:val="20"/>
          <w:szCs w:val="20"/>
          <w:color w:val="auto"/>
        </w:rPr>
      </w:pPr>
      <w:r>
        <w:rPr>
          <w:rFonts w:ascii="Times New Roman" w:cs="Times New Roman" w:eastAsia="Times New Roman" w:hAnsi="Times New Roman"/>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consolidated balance sheets. We do not enter into derivative contracts for speculative purposes. If the derivative qualifies for hedge accounting, depending on the nature of the hedge and hedge effectiveness, changes in the fair value of the derivative will either be recognized immediately in earnings or recorded in other Accumulated Other Comprehensive Income (loss) (“AOCI”) until the hedged item is recognized in earnings upon settlement/termination. FX amounts in AOCI are reclassified to the consolidated statement of income (loss)as shown in the tables below and interest rate swaps gains and losses in AOCI are reclassified to interest expense in the consolidated statement of income (loss).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85" w:lineRule="exact"/>
        <w:rPr>
          <w:sz w:val="20"/>
          <w:szCs w:val="20"/>
          <w:color w:val="auto"/>
        </w:rPr>
      </w:pPr>
    </w:p>
    <w:p>
      <w:pPr>
        <w:ind w:right="100" w:firstLine="162"/>
        <w:spacing w:after="0" w:line="256" w:lineRule="auto"/>
        <w:rPr>
          <w:sz w:val="20"/>
          <w:szCs w:val="20"/>
          <w:color w:val="auto"/>
        </w:rPr>
      </w:pPr>
      <w:r>
        <w:rPr>
          <w:rFonts w:ascii="Times New Roman" w:cs="Times New Roman" w:eastAsia="Times New Roman" w:hAnsi="Times New Roman"/>
          <w:sz w:val="18"/>
          <w:szCs w:val="18"/>
          <w:color w:val="auto"/>
        </w:rPr>
        <w:t>Derivatives that are not designated as hedging instruments are referred to as freestanding derivatives with changes in fair value included in earnings. 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Derivative FX Contracts</w:t>
      </w:r>
    </w:p>
    <w:p>
      <w:pPr>
        <w:spacing w:after="0" w:line="112" w:lineRule="exact"/>
        <w:rPr>
          <w:sz w:val="20"/>
          <w:szCs w:val="20"/>
          <w:color w:val="auto"/>
        </w:rPr>
      </w:pPr>
    </w:p>
    <w:p>
      <w:pPr>
        <w:ind w:right="40" w:firstLine="162"/>
        <w:spacing w:after="0" w:line="258" w:lineRule="auto"/>
        <w:rPr>
          <w:sz w:val="20"/>
          <w:szCs w:val="20"/>
          <w:color w:val="auto"/>
        </w:rPr>
      </w:pPr>
      <w:r>
        <w:rPr>
          <w:rFonts w:ascii="Times New Roman" w:cs="Times New Roman" w:eastAsia="Times New Roman" w:hAnsi="Times New Roman"/>
          <w:sz w:val="18"/>
          <w:szCs w:val="18"/>
          <w:color w:val="auto"/>
        </w:rPr>
        <w:t>The gross notional amount of derivative FX forward contracts, not designated as hedging instruments (freestanding derivatives), outstanding at March 31, 2017 and December 31, 2016 was $210.0 million and $489.1 million, respectively. These derivative contracts are designed to offset the FX effects in earnings of various intercompany loans, our European Investment Bank loan, and receivables denominated in JPY and GBP. We recorded net losses for these freestanding derivatives of $1.8 million and $3.8 million, for the three months ended March 31, 2017 and March 31, 2016, respectively. These losses are included in Foreign exchange and other gains (losses) in the condensed consolidated statement of income (loss).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 Hedges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Notional amounts of open derivative contracts designated as cash flow hedges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contract:</w:t>
            </w: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British Pounds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6,663</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 contracts to be exchanged for Japanese Yen</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57,840</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63,246</w:t>
            </w:r>
          </w:p>
        </w:tc>
      </w:tr>
      <w:tr>
        <w:trPr>
          <w:trHeight w:val="237"/>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124,882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127,749</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162"/>
        <w:spacing w:after="0" w:line="282" w:lineRule="auto"/>
        <w:rPr>
          <w:sz w:val="20"/>
          <w:szCs w:val="20"/>
          <w:color w:val="auto"/>
        </w:rPr>
      </w:pPr>
      <w:r>
        <w:rPr>
          <w:rFonts w:ascii="Times New Roman" w:cs="Times New Roman" w:eastAsia="Times New Roman" w:hAnsi="Times New Roman"/>
          <w:sz w:val="18"/>
          <w:szCs w:val="18"/>
          <w:color w:val="auto"/>
        </w:rPr>
        <w:t>After-tax net gain associated with derivatives designated as cash flow hedges recorded in the ending balance of Accumulated Other Comprehensive Loss and the amount expected to be reclassified to earnings in the next 12 months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amount expected to be reclassed</w:t>
            </w:r>
          </w:p>
        </w:tc>
        <w:tc>
          <w:tcPr>
            <w:tcW w:w="0" w:type="dxa"/>
            <w:vAlign w:val="bottom"/>
          </w:tcPr>
          <w:p>
            <w:pPr>
              <w:spacing w:after="0"/>
              <w:rPr>
                <w:sz w:val="1"/>
                <w:szCs w:val="1"/>
                <w:color w:val="auto"/>
              </w:rPr>
            </w:pPr>
          </w:p>
        </w:tc>
      </w:tr>
      <w:tr>
        <w:trPr>
          <w:trHeight w:val="238"/>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contract:</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0"/>
                <w:szCs w:val="20"/>
                <w:color w:val="auto"/>
              </w:rPr>
            </w:pPr>
          </w:p>
        </w:tc>
        <w:tc>
          <w:tcPr>
            <w:tcW w:w="2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 earnings in next 12 months</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 contracts</w:t>
            </w:r>
          </w:p>
        </w:tc>
        <w:tc>
          <w:tcPr>
            <w:tcW w:w="2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13" w:name="page14"/>
    <w:bookmarkEnd w:id="13"/>
    <w:p>
      <w:pPr>
        <w:ind w:right="660" w:firstLine="162"/>
        <w:spacing w:after="0" w:line="282" w:lineRule="auto"/>
        <w:rPr>
          <w:sz w:val="20"/>
          <w:szCs w:val="20"/>
          <w:color w:val="auto"/>
        </w:rPr>
      </w:pPr>
      <w:r>
        <w:rPr>
          <w:rFonts w:ascii="Times New Roman" w:cs="Times New Roman" w:eastAsia="Times New Roman" w:hAnsi="Times New Roman"/>
          <w:sz w:val="18"/>
          <w:szCs w:val="18"/>
          <w:color w:val="auto"/>
        </w:rPr>
        <w:t>Pre-tax gains (losses) for derivative contracts designated as cash flow hedges recognized in Other Comprehensive Income (“OCI”) and the amount reclassified to earnings from Accumulated Other Comprehensive Income (“AOCI”)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gridSpan w:val="3"/>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 in</w:t>
            </w: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of</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(Losses) Gains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0" w:type="dxa"/>
            <w:vAlign w:val="bottom"/>
          </w:tcPr>
          <w:p>
            <w:pPr>
              <w:spacing w:after="0"/>
              <w:rPr>
                <w:sz w:val="1"/>
                <w:szCs w:val="1"/>
                <w:color w:val="auto"/>
              </w:rPr>
            </w:pPr>
          </w:p>
        </w:tc>
      </w:tr>
      <w:tr>
        <w:trPr>
          <w:trHeight w:val="216"/>
        </w:trPr>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reclassified gain or</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 Recognized in</w:t>
            </w: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Reclassified from AOCI</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 Recognized in</w:t>
            </w:r>
          </w:p>
        </w:tc>
        <w:tc>
          <w:tcPr>
            <w:tcW w:w="120" w:type="dxa"/>
            <w:vAlign w:val="bottom"/>
          </w:tcPr>
          <w:p>
            <w:pPr>
              <w:spacing w:after="0"/>
              <w:rPr>
                <w:sz w:val="18"/>
                <w:szCs w:val="18"/>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(Losses)Reclassified from</w:t>
            </w:r>
          </w:p>
        </w:tc>
        <w:tc>
          <w:tcPr>
            <w:tcW w:w="0" w:type="dxa"/>
            <w:vAlign w:val="bottom"/>
          </w:tcPr>
          <w:p>
            <w:pPr>
              <w:spacing w:after="0"/>
              <w:rPr>
                <w:sz w:val="1"/>
                <w:szCs w:val="1"/>
                <w:color w:val="auto"/>
              </w:rPr>
            </w:pPr>
          </w:p>
        </w:tc>
      </w:tr>
      <w:tr>
        <w:trPr>
          <w:trHeight w:val="238"/>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 contract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 Earnings:</w:t>
            </w: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OCI</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AOCI to Earnings:</w:t>
            </w: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(3,580)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Other</w:t>
            </w: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4"/>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20"/>
                <w:szCs w:val="20"/>
                <w:color w:val="auto"/>
              </w:rPr>
            </w:pPr>
          </w:p>
        </w:tc>
        <w:tc>
          <w:tcPr>
            <w:tcW w:w="1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(3,899)</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88" w:right="259" w:bottom="1440" w:gutter="0" w:footer="0" w:header="0"/>
        </w:sectPr>
      </w:pPr>
    </w:p>
    <w:bookmarkStart w:id="14" w:name="page15"/>
    <w:bookmarkEnd w:id="14"/>
    <w:p>
      <w:pPr>
        <w:ind w:right="70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on a gross basis, and the location of, derivative contracts reported in the consolidated balance sheets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xml:space="preserve">Fair Value </w:t>
            </w:r>
            <w:r>
              <w:rPr>
                <w:rFonts w:ascii="Times New Roman" w:cs="Times New Roman" w:eastAsia="Times New Roman" w:hAnsi="Times New Roman"/>
                <w:sz w:val="12"/>
                <w:szCs w:val="12"/>
                <w:b w:val="1"/>
                <w:bCs w:val="1"/>
                <w:color w:val="auto"/>
                <w:w w:val="96"/>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xml:space="preserve">Fair Value </w:t>
            </w:r>
            <w:r>
              <w:rPr>
                <w:rFonts w:ascii="Times New Roman" w:cs="Times New Roman" w:eastAsia="Times New Roman" w:hAnsi="Times New Roman"/>
                <w:sz w:val="12"/>
                <w:szCs w:val="12"/>
                <w:b w:val="1"/>
                <w:bCs w:val="1"/>
                <w:color w:val="auto"/>
                <w:w w:val="98"/>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366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05"/>
        </w:trPr>
        <w:tc>
          <w:tcPr>
            <w:tcW w:w="3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75"/>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20" w:type="dxa"/>
            <w:vAlign w:val="bottom"/>
          </w:tcPr>
          <w:p>
            <w:pPr>
              <w:spacing w:after="0"/>
              <w:rPr>
                <w:sz w:val="24"/>
                <w:szCs w:val="24"/>
                <w:color w:val="auto"/>
              </w:rPr>
            </w:pPr>
          </w:p>
        </w:tc>
        <w:tc>
          <w:tcPr>
            <w:tcW w:w="28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xml:space="preserve">Fair Value </w:t>
            </w:r>
            <w:r>
              <w:rPr>
                <w:rFonts w:ascii="Times New Roman" w:cs="Times New Roman" w:eastAsia="Times New Roman" w:hAnsi="Times New Roman"/>
                <w:sz w:val="12"/>
                <w:szCs w:val="12"/>
                <w:b w:val="1"/>
                <w:bCs w:val="1"/>
                <w:color w:val="auto"/>
                <w:w w:val="96"/>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xml:space="preserve">Fair Value </w:t>
            </w:r>
            <w:r>
              <w:rPr>
                <w:rFonts w:ascii="Times New Roman" w:cs="Times New Roman" w:eastAsia="Times New Roman" w:hAnsi="Times New Roman"/>
                <w:sz w:val="12"/>
                <w:szCs w:val="12"/>
                <w:b w:val="1"/>
                <w:bCs w:val="1"/>
                <w:color w:val="auto"/>
                <w:w w:val="98"/>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366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05"/>
        </w:trPr>
        <w:tc>
          <w:tcPr>
            <w:tcW w:w="3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the classification of input used to evaluate the fair value of our derivatives, refer to “Note 5.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3T Heater Cooler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Warning Letter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40" w:firstLine="162"/>
        <w:spacing w:after="0" w:line="266" w:lineRule="auto"/>
        <w:rPr>
          <w:sz w:val="20"/>
          <w:szCs w:val="20"/>
          <w:color w:val="auto"/>
        </w:rPr>
      </w:pPr>
      <w:r>
        <w:rPr>
          <w:rFonts w:ascii="Times New Roman" w:cs="Times New Roman" w:eastAsia="Times New Roman" w:hAnsi="Times New Roman"/>
          <w:sz w:val="18"/>
          <w:szCs w:val="18"/>
          <w:color w:val="auto"/>
        </w:rPr>
        <w:t>On December 31, 2015, LivaNova received a Warning Letter (the “Warning Letter”) dated December 29, 2015 from the U.S. Food and Drug Administration (“FDA”) alleging certain violations of FDA regulations applicable to medical device manufacturers at the Company’s Munich, Germany and Arvada, Colorado facilities.</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p>
      <w:pPr>
        <w:ind w:firstLine="324"/>
        <w:spacing w:after="0" w:line="258" w:lineRule="auto"/>
        <w:rPr>
          <w:sz w:val="20"/>
          <w:szCs w:val="20"/>
          <w:color w:val="auto"/>
        </w:rPr>
      </w:pPr>
      <w:r>
        <w:rPr>
          <w:rFonts w:ascii="Times New Roman" w:cs="Times New Roman" w:eastAsia="Times New Roman" w:hAnsi="Times New Roman"/>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76"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The Warning Letter further stated that our 3T Heater Cooler devices and other devices we manufactured at our Munich facility are subject to refusal of admission into the United States until resolution of the issues set forth by the FDA in the Warning Letter. The FDA has informed us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our products other than the 3T Heater Cooler remain unaffected by the import limitation. To help clarify these issues for current customers, we issued an informational Customer Letter in January 2016, and that same month agreed with the FDA on a process for shipping 3T Heater Cooler devices to existing U.S. users pursuant to a certificate of medical necessity program.</w:t>
      </w:r>
    </w:p>
    <w:p>
      <w:pPr>
        <w:spacing w:after="0" w:line="81" w:lineRule="exact"/>
        <w:rPr>
          <w:sz w:val="20"/>
          <w:szCs w:val="20"/>
          <w:color w:val="auto"/>
        </w:rPr>
      </w:pPr>
    </w:p>
    <w:p>
      <w:pPr>
        <w:ind w:right="40" w:firstLine="162"/>
        <w:spacing w:after="0" w:line="266" w:lineRule="auto"/>
        <w:rPr>
          <w:sz w:val="20"/>
          <w:szCs w:val="20"/>
          <w:color w:val="auto"/>
        </w:rPr>
      </w:pPr>
      <w:r>
        <w:rPr>
          <w:rFonts w:ascii="Times New Roman" w:cs="Times New Roman" w:eastAsia="Times New Roman" w:hAnsi="Times New Roman"/>
          <w:sz w:val="18"/>
          <w:szCs w:val="18"/>
          <w:color w:val="auto"/>
        </w:rPr>
        <w:t>Lastly, the Warning Letter stated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68" w:lineRule="exact"/>
        <w:rPr>
          <w:sz w:val="20"/>
          <w:szCs w:val="20"/>
          <w:color w:val="auto"/>
        </w:rPr>
      </w:pPr>
    </w:p>
    <w:p>
      <w:pPr>
        <w:ind w:right="160" w:firstLine="162"/>
        <w:spacing w:after="0" w:line="282" w:lineRule="auto"/>
        <w:rPr>
          <w:sz w:val="20"/>
          <w:szCs w:val="20"/>
          <w:color w:val="auto"/>
        </w:rPr>
      </w:pPr>
      <w:r>
        <w:rPr>
          <w:rFonts w:ascii="Times New Roman" w:cs="Times New Roman" w:eastAsia="Times New Roman" w:hAnsi="Times New Roman"/>
          <w:sz w:val="18"/>
          <w:szCs w:val="18"/>
          <w:color w:val="auto"/>
        </w:rPr>
        <w:t>We are continuing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CDC and FDA Safety Communications and Company Field Safety Notice Update</w:t>
      </w:r>
    </w:p>
    <w:p>
      <w:pPr>
        <w:spacing w:after="0" w:line="119"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On October 13, 2016 the Centers for Disease Control and Prevention (“CDC”) and FDA separately released safety notifications regarding the 3T Heater Cooler devices. The CDC’s Morbidity and Mortality Weekly Report (“MMWR”) and Health Advisory Notice (“HAN”) reported that tests conducted by CDC and its affiliates indicate that there appears to be genetic similarity between both patient and heater cooler strains of the non-tuberculous mycobacterium (“NTM”) bacteria M. chimaera isolated in hospitals in Iowa and Pennsylvania. Citing the geographic separation between the two hospitals referenced in the investigation, the report asserts that 3T Heater Cooler devices manufactured prior to August 18, 2014 could have been contaminated during the manufacturing process. The CDC’s HAN and FDA’s Safety Communication, issued contemporaneously with the MMWR report, each assess certain risks associated with heater cooler devices and provide guidance for providers and patients. The CDC notification states that the decision to use the 3T Heater Cooler during a surgical operation is to be taken by the surgeon based on a risk approach and on patient need. Both the CDC’s and FDA’s communications confirm that heater cooler devices are critical medical devices and enable doctors to perform life-saving cardiac surgery procedures.</w:t>
      </w:r>
    </w:p>
    <w:p>
      <w:pPr>
        <w:spacing w:after="0" w:line="81" w:lineRule="exact"/>
        <w:rPr>
          <w:sz w:val="20"/>
          <w:szCs w:val="20"/>
          <w:color w:val="auto"/>
        </w:rPr>
      </w:pPr>
    </w:p>
    <w:p>
      <w:pPr>
        <w:ind w:right="20" w:firstLine="162"/>
        <w:spacing w:after="0" w:line="256" w:lineRule="auto"/>
        <w:rPr>
          <w:sz w:val="20"/>
          <w:szCs w:val="20"/>
          <w:color w:val="auto"/>
        </w:rPr>
      </w:pPr>
      <w:r>
        <w:rPr>
          <w:rFonts w:ascii="Times New Roman" w:cs="Times New Roman" w:eastAsia="Times New Roman" w:hAnsi="Times New Roman"/>
          <w:sz w:val="18"/>
          <w:szCs w:val="18"/>
          <w:color w:val="auto"/>
        </w:rPr>
        <w:t>Also on October 13, 2016, the Company issued a Field Safety Notice Update for U.S. users of 3T Heater Cooler devices to proactively and voluntarily contact facilities to facilitate implementation of the CDC and FDA recommendations. In the fourth quarter of 2016, we initiated a program to provide existing 3T users with a new loaner 3T device at no charge pending regulatory approval and implementation of additional risk mitigation strategies worldwide. This loaner program began in the U.S. and is being progressively made available on a global basis, prioritizing and allocating devices to 3T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80"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At December 31, 2016, we recognized a liability for our product remediation plan related to our 3T Heater Cooler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March 31, 2017, the product remediation liability was $31.7 million. Refer to “Note 3. Product Remediation Liability” for additional information.</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688"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auto"/>
        </w:rPr>
        <w:t>Baker, Miller et al v. LivaNova PLC</w:t>
      </w:r>
    </w:p>
    <w:p>
      <w:pPr>
        <w:spacing w:after="0" w:line="170" w:lineRule="exact"/>
        <w:rPr>
          <w:sz w:val="20"/>
          <w:szCs w:val="20"/>
          <w:color w:val="auto"/>
        </w:rPr>
      </w:pPr>
    </w:p>
    <w:p>
      <w:pPr>
        <w:ind w:right="60" w:firstLine="162"/>
        <w:spacing w:after="0" w:line="255" w:lineRule="auto"/>
        <w:rPr>
          <w:sz w:val="20"/>
          <w:szCs w:val="20"/>
          <w:color w:val="auto"/>
        </w:rPr>
      </w:pPr>
      <w:r>
        <w:rPr>
          <w:rFonts w:ascii="Times New Roman" w:cs="Times New Roman" w:eastAsia="Times New Roman" w:hAnsi="Times New Roman"/>
          <w:sz w:val="18"/>
          <w:szCs w:val="18"/>
          <w:color w:val="auto"/>
        </w:rPr>
        <w:t>On February 12, 2016, LivaNova was alerted that a class action complaint had been filed in the U.S. District Court 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nontuberculous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77" w:lineRule="exact"/>
        <w:rPr>
          <w:sz w:val="20"/>
          <w:szCs w:val="20"/>
          <w:color w:val="auto"/>
        </w:rPr>
      </w:pPr>
    </w:p>
    <w:p>
      <w:pPr>
        <w:ind w:right="340" w:firstLine="162"/>
        <w:spacing w:after="0" w:line="258" w:lineRule="auto"/>
        <w:rPr>
          <w:sz w:val="20"/>
          <w:szCs w:val="20"/>
          <w:color w:val="auto"/>
        </w:rPr>
      </w:pPr>
      <w:r>
        <w:rPr>
          <w:rFonts w:ascii="Times New Roman" w:cs="Times New Roman" w:eastAsia="Times New Roman" w:hAnsi="Times New Roman"/>
          <w:sz w:val="18"/>
          <w:szCs w:val="18"/>
          <w:color w:val="auto"/>
        </w:rPr>
        <w:t>The putative class action, which has not been certified, seeks: (i) declaratory relief finding the 3T Heater Cooler devices are defective and unsafe for intended uses; (ii) medical monitoring; (iii) general damages; and (iv) attorneys’ fees. On March 21, 2016, the plaintiffs filed a First Amended Complaint adding Sorin Group Deutschland GmbH and Sorin Group USA, Inc. as defendants. On September 29, 2016 the Court dismissed LivaNova PLC from the case, and on October 11, 2016, the Court denied the Company’s motion to dismiss Sorin Group Deutschland GmbH and Sorin Group USA, Inc. from the lawsuit.</w:t>
      </w:r>
    </w:p>
    <w:p>
      <w:pPr>
        <w:spacing w:after="0" w:line="76" w:lineRule="exact"/>
        <w:rPr>
          <w:sz w:val="20"/>
          <w:szCs w:val="20"/>
          <w:color w:val="auto"/>
        </w:rPr>
      </w:pPr>
    </w:p>
    <w:p>
      <w:pPr>
        <w:ind w:right="260" w:firstLine="162"/>
        <w:spacing w:after="0" w:line="258" w:lineRule="auto"/>
        <w:rPr>
          <w:sz w:val="20"/>
          <w:szCs w:val="20"/>
          <w:color w:val="auto"/>
        </w:rPr>
      </w:pPr>
      <w:r>
        <w:rPr>
          <w:rFonts w:ascii="Times New Roman" w:cs="Times New Roman" w:eastAsia="Times New Roman" w:hAnsi="Times New Roman"/>
          <w:sz w:val="18"/>
          <w:szCs w:val="18"/>
          <w:color w:val="auto"/>
        </w:rPr>
        <w:t>In addition to the Baker case addressed in the preceding section, the Company has received additional lawsuits from around the U.S. related to surgical cases in which a 3T Heater Cooler device was allegedly used. Thirty-six lawsuits have been filed against the Company in state and Federal courts in Pennsylvania, South Carolina, North Carolina, Iowa, South Dakota, California, Texas, Massachusetts, Illinois and Alabama and one case has been filed in Montreal, Canada. Two of the cases noted above are brought by plaintiffs seeking class action status: the case filed against the Company in Canada, which relates to surgical cases at the Montreal Heart Institute, and a single case relating to surgical cases performed at two hospitals in South Carolina.</w:t>
      </w:r>
    </w:p>
    <w:p>
      <w:pPr>
        <w:spacing w:after="0" w:line="76"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We intend to vigorously defend each of these claims. Given the relatively early stage of each of these matters, we cannot, however, give any assurances that additional legal proceedings making the same or similar allegations will not be filed against LivaNova PLC or one of its subsidiaries, nor that the resolution of these complaints or other related litigation in connection therewith will not have a material adverse effect on our business, results of operations, financial condition and/or liquidity.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SNIA Litigation</w:t>
      </w:r>
    </w:p>
    <w:p>
      <w:pPr>
        <w:spacing w:after="0" w:line="119"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Sorin S.p.A. was created as a result of a spin-off (the “Sorin spin-off”) from SNIA S.p.A. (“SNIA”). The Sorin spin-off, which spun off SNIA’s medical technology division, became effective on January 2, 2004. Pursuant to the Italian Civil Code, in a spin-off transaction, the parent and the spun-off company can be held jointly liable up to the actual value of the shareholders’ equity conveyed or received (we estimate that the value of the shareholders’ equity received was approximately €573 million (or $612 million) for certain indebtedness or liabilities of the pre-spin-off company:</w:t>
      </w:r>
    </w:p>
    <w:p>
      <w:pPr>
        <w:spacing w:after="0" w:line="70" w:lineRule="exact"/>
        <w:rPr>
          <w:sz w:val="20"/>
          <w:szCs w:val="20"/>
          <w:color w:val="auto"/>
        </w:rPr>
      </w:pPr>
    </w:p>
    <w:p>
      <w:pPr>
        <w:ind w:left="500" w:hanging="168"/>
        <w:spacing w:after="0" w:line="284"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w:t>
      </w:r>
      <w:r>
        <w:rPr>
          <w:rFonts w:ascii="Times New Roman" w:cs="Times New Roman" w:eastAsia="Times New Roman" w:hAnsi="Times New Roman"/>
          <w:sz w:val="18"/>
          <w:szCs w:val="18"/>
          <w:i w:val="1"/>
          <w:iCs w:val="1"/>
          <w:color w:val="auto"/>
        </w:rPr>
        <w:t>debiti</w:t>
      </w:r>
      <w:r>
        <w:rPr>
          <w:rFonts w:ascii="Times New Roman" w:cs="Times New Roman" w:eastAsia="Times New Roman" w:hAnsi="Times New Roman"/>
          <w:sz w:val="18"/>
          <w:szCs w:val="18"/>
          <w:color w:val="auto"/>
        </w:rPr>
        <w:t>) of the pre-spin-off company that existed at the time of the spin-off (this joint liability is secondary in nature and, consequently, arises only when such indebtedness is not satisfied by the company owing such indebtedness);</w:t>
      </w:r>
    </w:p>
    <w:p>
      <w:pPr>
        <w:spacing w:after="0" w:line="50"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w:t>
      </w:r>
      <w:r>
        <w:rPr>
          <w:rFonts w:ascii="Times New Roman" w:cs="Times New Roman" w:eastAsia="Times New Roman" w:hAnsi="Times New Roman"/>
          <w:sz w:val="18"/>
          <w:szCs w:val="18"/>
          <w:i w:val="1"/>
          <w:iCs w:val="1"/>
          <w:color w:val="auto"/>
        </w:rPr>
        <w:t>elementi del passivo</w:t>
      </w:r>
      <w:r>
        <w:rPr>
          <w:rFonts w:ascii="Times New Roman" w:cs="Times New Roman" w:eastAsia="Times New Roman" w:hAnsi="Times New Roman"/>
          <w:sz w:val="18"/>
          <w:szCs w:val="18"/>
          <w:color w:val="auto"/>
        </w:rPr>
        <w:t>) whose allocation between the parties to the spin-off cannot be determined based on the spin-off plan.</w:t>
      </w: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734" w:right="259" w:bottom="1440" w:gutter="0" w:footer="0" w:header="0"/>
        </w:sectPr>
      </w:pPr>
    </w:p>
    <w:bookmarkStart w:id="17" w:name="page18"/>
    <w:bookmarkEnd w:id="17"/>
    <w:p>
      <w:pPr>
        <w:ind w:right="40" w:firstLine="162"/>
        <w:spacing w:after="0" w:line="253" w:lineRule="auto"/>
        <w:rPr>
          <w:sz w:val="20"/>
          <w:szCs w:val="20"/>
          <w:color w:val="auto"/>
        </w:rPr>
      </w:pPr>
      <w:r>
        <w:rPr>
          <w:rFonts w:ascii="Times New Roman" w:cs="Times New Roman" w:eastAsia="Times New Roman" w:hAnsi="Times New Roman"/>
          <w:sz w:val="18"/>
          <w:szCs w:val="18"/>
          <w:color w:val="auto"/>
        </w:rPr>
        <w:t>The Company believes and has argued before the relevant fora that Sorin is not jointly liable with SNIA for its alleged SNIA debts and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 Ministry of the Environment”), sought compensation from SNIA in an aggregate amount of €3.4 billion (or $3.6 billion) for remediation costs relating to the environmental damage at the Caffaro Chemical Sites allegedly caused by the Caffaro Chemical Operations. The amount was based on certain clean-up activities and precautionary measures set forth in three technical reports prepared by ISPRA, the technical agency of the Ministry of the Environment. In addition to disputing liability, the Company also disputes the amount being claimed and the basis for its estimation by Italian authorities, and that issue also remains in dispute. No final remediation plan has been approved at any time by the Italian authorities.</w:t>
      </w:r>
    </w:p>
    <w:p>
      <w:pPr>
        <w:spacing w:after="0" w:line="85" w:lineRule="exact"/>
        <w:rPr>
          <w:sz w:val="20"/>
          <w:szCs w:val="20"/>
          <w:color w:val="auto"/>
        </w:rPr>
      </w:pPr>
    </w:p>
    <w:p>
      <w:pPr>
        <w:ind w:right="80" w:firstLine="162"/>
        <w:spacing w:after="0" w:line="255" w:lineRule="auto"/>
        <w:rPr>
          <w:sz w:val="20"/>
          <w:szCs w:val="20"/>
          <w:color w:val="auto"/>
        </w:rPr>
      </w:pPr>
      <w:r>
        <w:rPr>
          <w:rFonts w:ascii="Times New Roman" w:cs="Times New Roman" w:eastAsia="Times New Roman" w:hAnsi="Times New Roman"/>
          <w:sz w:val="18"/>
          <w:szCs w:val="18"/>
          <w:color w:val="auto"/>
        </w:rPr>
        <w:t>In September 2011, the Bankruptcy Court of Udine, and in July 2014, the Bankruptcy Court of Milan each held (in proceedings to which our Company is not part) that the Italian Ministry of the Environment and other Italian government agencies (the “Public Administrations”) were not creditors of either SNIA Subsidiaries or SNIA in connection with their claims in the context of their Italian insolvency proceedings. LivaNova (as the successor to Sorin in the litigation) believes these findings are and will be influential (although not formally binding) upon other Italian courts, including civil courts. Public Administrations have appealed both decisions in those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81" w:lineRule="exact"/>
        <w:rPr>
          <w:sz w:val="20"/>
          <w:szCs w:val="20"/>
          <w:color w:val="auto"/>
        </w:rPr>
      </w:pPr>
    </w:p>
    <w:p>
      <w:pPr>
        <w:ind w:right="140" w:firstLine="162"/>
        <w:spacing w:after="0" w:line="254" w:lineRule="auto"/>
        <w:rPr>
          <w:sz w:val="20"/>
          <w:szCs w:val="20"/>
          <w:color w:val="auto"/>
        </w:rPr>
      </w:pPr>
      <w:r>
        <w:rPr>
          <w:rFonts w:ascii="Times New Roman" w:cs="Times New Roman" w:eastAsia="Times New Roman" w:hAnsi="Times New Roman"/>
          <w:sz w:val="18"/>
          <w:szCs w:val="18"/>
          <w:color w:val="auto"/>
        </w:rPr>
        <w:t>In January 2012, SNIA filed a civil action against Sorin in the Civil Court of Milan asserting provisions of the Italian Civil Code relating to potential joint liability of a parent and a spun-off company in the context of a spin-off, as described above. Those proceedings seek to determine Sorin’s joint liability with SNIA for damages allegedly related to the Caffaro Chemical Operations (as described below). SNIA’s civil action against Sorin also named the Public Administrations Italian Ministry of the Environment and other Italian government agencies, as defendants, in order to have them bound to the final ruling. The Public Administrations that had also sought compensation from SNIA for alleged environmental damage subsequently counterclaimed against Sorin, seeking to have Sorin declared jointly liable towards those Public Administrations alongside SNIA, and on the same legal basis. SNIA and the Public Administrations also requested the court to declare inapplicable to the Sorin spin-off the cap on potential joint liability of parties to a spin-off otherwise provided for by the Italian Civil Code. The cap, if applied, would limit any joint liability to the actual value of the shareholders’ equity received. The Public Administrations have argued before the court that the Sorin spin-off was planned prior to the date such caps were enacted under the Italian Civil Code (although executed after such caps were introduced into Italian law) and should therefore not be applied to the Sorin spin-off.</w:t>
      </w:r>
    </w:p>
    <w:p>
      <w:pPr>
        <w:spacing w:after="0" w:line="78"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We have vigorously contested all of SNIA’s claims against Sorin as well as those claims brought by the Public Administrations. A favorable decision pertaining to the case was delivered in Judgment No. 4101/2016 on April 1, 2016 (the “Decision”). In its Decision, the Court of Milan dismissed all legal actions of SNIA and of the Public Administrations against Sorin, further requiring the Public Administrations to pay Sorin €300 thousand (or $321 thousand), as legal fees (of which €50,000 jointly with SNIA).</w:t>
      </w:r>
    </w:p>
    <w:p>
      <w:pPr>
        <w:spacing w:after="0" w:line="72" w:lineRule="exact"/>
        <w:rPr>
          <w:sz w:val="20"/>
          <w:szCs w:val="20"/>
          <w:color w:val="auto"/>
        </w:rPr>
      </w:pPr>
    </w:p>
    <w:p>
      <w:pPr>
        <w:ind w:right="120" w:firstLine="162"/>
        <w:spacing w:after="0" w:line="266" w:lineRule="auto"/>
        <w:rPr>
          <w:sz w:val="20"/>
          <w:szCs w:val="20"/>
          <w:color w:val="auto"/>
        </w:rPr>
      </w:pPr>
      <w:r>
        <w:rPr>
          <w:rFonts w:ascii="Times New Roman" w:cs="Times New Roman" w:eastAsia="Times New Roman" w:hAnsi="Times New Roman"/>
          <w:sz w:val="18"/>
          <w:szCs w:val="18"/>
          <w:color w:val="auto"/>
        </w:rPr>
        <w:t>On June 21, 2016, the Public Administrations filed an appeal against the above decision before the Court of Appeal of Milan. The first hearing of the appeal proceedings was held on December 20, 2016 and the Court scheduled the final hearing for May 16, 2017. After such hearing the parties will file their final briefs and the Court is expected to render its decision in November 2017. SNIA appeared before the Court but did not file an appeal.</w:t>
      </w:r>
    </w:p>
    <w:p>
      <w:pPr>
        <w:spacing w:after="0" w:line="68"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LivaNova (as successor to Sorin in the litigation) continues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damages, related remediation costs, allocation and apportionment of any such responsibility, which party is responsible for which time period, all remain issues in dispute and that no final decision on a remediation plan has been approved. As a result, LivaNova has not made any accrual in connection with the SNIA litigation.</w:t>
      </w:r>
    </w:p>
    <w:p>
      <w:pPr>
        <w:spacing w:after="0" w:line="76" w:lineRule="exact"/>
        <w:rPr>
          <w:sz w:val="20"/>
          <w:szCs w:val="20"/>
          <w:color w:val="auto"/>
        </w:rPr>
      </w:pPr>
    </w:p>
    <w:p>
      <w:pPr>
        <w:jc w:val="both"/>
        <w:ind w:right="60" w:firstLine="162"/>
        <w:spacing w:after="0" w:line="266" w:lineRule="auto"/>
        <w:rPr>
          <w:sz w:val="20"/>
          <w:szCs w:val="20"/>
          <w:color w:val="auto"/>
        </w:rPr>
      </w:pPr>
      <w:r>
        <w:rPr>
          <w:rFonts w:ascii="Times New Roman" w:cs="Times New Roman" w:eastAsia="Times New Roman" w:hAnsi="Times New Roman"/>
          <w:sz w:val="18"/>
          <w:szCs w:val="18"/>
          <w:color w:val="auto"/>
        </w:rPr>
        <w:t>Pursuant to European Union, United Kingdom and Italian cross-border merger regulations applicable to the Mergers, legacy Sorin liabilities, including any potential liabilities arising from the claims against Sorin relating to the SNIA litigation, are assumed by LivaNova as successor to Sorin. Although LivaNova believes the claims against Sorin in connection with the SNIA</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688" w:right="259" w:bottom="1440" w:gutter="0" w:footer="0" w:header="0"/>
        </w:sectPr>
      </w:pPr>
    </w:p>
    <w:bookmarkStart w:id="18" w:name="page19"/>
    <w:bookmarkEnd w:id="18"/>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litigation are without merit and continues to contest them vigorously, there can be no assurance as to the outcome. A finding during any appeal or novel proceedings that Sorin or LivaNova is liable for relating to the environmental damage at the Caffaro Chemical Sites or its alleged cause(s) could have a material adverse effect on our consolidated financial position, results of operations or cash flows.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Environmental Remediation Order</w:t>
      </w:r>
    </w:p>
    <w:p>
      <w:pPr>
        <w:spacing w:after="0" w:line="119" w:lineRule="exact"/>
        <w:rPr>
          <w:sz w:val="20"/>
          <w:szCs w:val="20"/>
          <w:color w:val="auto"/>
        </w:rPr>
      </w:pPr>
    </w:p>
    <w:p>
      <w:pPr>
        <w:ind w:right="40" w:firstLine="162"/>
        <w:spacing w:after="0" w:line="254" w:lineRule="auto"/>
        <w:rPr>
          <w:sz w:val="20"/>
          <w:szCs w:val="20"/>
          <w:color w:val="auto"/>
        </w:rPr>
      </w:pPr>
      <w:r>
        <w:rPr>
          <w:rFonts w:ascii="Times New Roman" w:cs="Times New Roman" w:eastAsia="Times New Roman" w:hAnsi="Times New Roman"/>
          <w:sz w:val="18"/>
          <w:szCs w:val="18"/>
          <w:color w:val="auto"/>
        </w:rPr>
        <w:t>On July 28, 2015, Sorin and other direct and indirect shareholders of SNIA received an administrative order from the 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inter alia, the statute does not apply to activities occurring prior to 2006, the date on which the statute was enacted (Sorin was spun off from SNIA in 2004). Additionally, LivaNova believes that Sorin should not be subject to the Environmental Remediation Order because Italian environmental regulations only permit such an order to be imposed on an “operator” of a remediation site, and Sorin has never operated any activity of whatsoever nature at any of the industrial sites concerned and, further, has never been identified in any legal proceeding as an operator at any of these Caffaro Chemical Sites, and could not and in fact did not cause any environmental damage at any of the Caffaro Chemical Sites.</w:t>
      </w:r>
    </w:p>
    <w:p>
      <w:pPr>
        <w:spacing w:after="0" w:line="81" w:lineRule="exact"/>
        <w:rPr>
          <w:sz w:val="20"/>
          <w:szCs w:val="20"/>
          <w:color w:val="auto"/>
        </w:rPr>
      </w:pPr>
    </w:p>
    <w:p>
      <w:pPr>
        <w:ind w:right="180" w:firstLine="162"/>
        <w:spacing w:after="0" w:line="282" w:lineRule="auto"/>
        <w:rPr>
          <w:sz w:val="20"/>
          <w:szCs w:val="20"/>
          <w:color w:val="auto"/>
        </w:rPr>
      </w:pPr>
      <w:r>
        <w:rPr>
          <w:rFonts w:ascii="Times New Roman" w:cs="Times New Roman" w:eastAsia="Times New Roman" w:hAnsi="Times New Roman"/>
          <w:sz w:val="18"/>
          <w:szCs w:val="18"/>
          <w:color w:val="auto"/>
        </w:rPr>
        <w:t>Accordingly, LivaNova (as successor to Sorin) alongside other parties, challenged the Environmental Remediation Order before the Administrative Court of Lazio in Rome (the “TAR”). A hearing was held on February 3, 2016.</w:t>
      </w:r>
    </w:p>
    <w:p>
      <w:pPr>
        <w:spacing w:after="0" w:line="54" w:lineRule="exact"/>
        <w:rPr>
          <w:sz w:val="20"/>
          <w:szCs w:val="20"/>
          <w:color w:val="auto"/>
        </w:rPr>
      </w:pPr>
    </w:p>
    <w:p>
      <w:pPr>
        <w:ind w:right="280" w:firstLine="162"/>
        <w:spacing w:after="0" w:line="255" w:lineRule="auto"/>
        <w:rPr>
          <w:sz w:val="20"/>
          <w:szCs w:val="20"/>
          <w:color w:val="auto"/>
        </w:rPr>
      </w:pPr>
      <w:r>
        <w:rPr>
          <w:rFonts w:ascii="Times New Roman" w:cs="Times New Roman" w:eastAsia="Times New Roman" w:hAnsi="Times New Roman"/>
          <w:sz w:val="18"/>
          <w:szCs w:val="18"/>
          <w:color w:val="auto"/>
        </w:rPr>
        <w:t>On March 21, 2016 the TAR issued several judgments, annulling the Environmental Remediation Order, one for each of the addressees of the Environmental Remediation Order, including LivaNova. Those judgments were based on the fact that (i) the Environmental Remediation Order lacks any detailed analysis of the causal link between the alleged damage and the activities of the Company, which is a pre-condition to imposition of the measures proposed in the Environmental Remediation Order, (ii) the situation of the Caffaro site does not require urgent safety measures, because no new pollution events have occurred and no additional information/evidence of a situation of contamination exists and (iii) the Environmental Remediation Order was not enacted using the correct legal basis, and in any event the Ministry failed to verify the legal elements that could have led to a conclusion of legal responsibility of the addressees of the Environmental Remediation Order.</w:t>
      </w:r>
    </w:p>
    <w:p>
      <w:pPr>
        <w:spacing w:after="0" w:line="81"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LivaNova has welcomed the decisions. The TAR decisions described above have nonetheless been appealed by the Ministry before the Council of State. No information on the timing of the first hearing of this appeal is presently available.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Opposition to Merger Proceedings</w:t>
      </w:r>
    </w:p>
    <w:p>
      <w:pPr>
        <w:spacing w:after="0" w:line="119" w:lineRule="exact"/>
        <w:rPr>
          <w:sz w:val="20"/>
          <w:szCs w:val="20"/>
          <w:color w:val="auto"/>
        </w:rPr>
      </w:pPr>
    </w:p>
    <w:p>
      <w:pPr>
        <w:ind w:right="80" w:firstLine="162"/>
        <w:spacing w:after="0" w:line="255" w:lineRule="auto"/>
        <w:rPr>
          <w:sz w:val="20"/>
          <w:szCs w:val="20"/>
          <w:color w:val="auto"/>
        </w:rPr>
      </w:pPr>
      <w:r>
        <w:rPr>
          <w:rFonts w:ascii="Times New Roman" w:cs="Times New Roman" w:eastAsia="Times New Roman" w:hAnsi="Times New Roman"/>
          <w:sz w:val="18"/>
          <w:szCs w:val="18"/>
          <w:color w:val="auto"/>
        </w:rPr>
        <w:t>On July 28, 2015, the Public Administrations filed an opposition proceeding to the proposed merger between Sorin and Cyberonics (the “Merger”), before the Commercial Courts of Milan, asking the Court to prohibit the execution of the Merger. In its initial decision on August 20, 2015 the Court authorized the Merger. Public Administrations did not appeal such decision. The proceeding then continued as a civil case, with the Public Administration seeking damages against LivaNova. The Commercial Court of Milan delivered a first instance decision on October 6, 2016 fully rejecting the Public Administrations’ request and condemning the same to pay LivaNova €200 thousand in damages for frivolous litigation plus €200 thousand in legal fees. LivaNova has welcomed the decision, which has nonetheless been appealed by the Public Administrations before the Court of Appeal of Milan. The first hearing was held on April 4, 2017 and the Court scheduled a final hearing on January 17, 2018. The Court of Appeal is likely to take a decision around June 2018.</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Andrew Hagerty v. Cyberonics, Inc.</w:t>
      </w:r>
    </w:p>
    <w:p>
      <w:pPr>
        <w:spacing w:after="0" w:line="119" w:lineRule="exact"/>
        <w:rPr>
          <w:sz w:val="20"/>
          <w:szCs w:val="20"/>
          <w:color w:val="auto"/>
        </w:rPr>
      </w:pPr>
    </w:p>
    <w:p>
      <w:pPr>
        <w:ind w:right="40" w:firstLine="162"/>
        <w:spacing w:after="0" w:line="255" w:lineRule="auto"/>
        <w:rPr>
          <w:sz w:val="20"/>
          <w:szCs w:val="20"/>
          <w:color w:val="auto"/>
        </w:rPr>
      </w:pPr>
      <w:r>
        <w:rPr>
          <w:rFonts w:ascii="Times New Roman" w:cs="Times New Roman" w:eastAsia="Times New Roman" w:hAnsi="Times New Roman"/>
          <w:sz w:val="18"/>
          <w:szCs w:val="18"/>
          <w:color w:val="auto"/>
        </w:rPr>
        <w:t>On December 5, 2013, the United States District Court for the District of Massachusetts (“District Court”) unsealed a qui tam action filed by former employee Andrew Hagerty against Cyberonics under the False Claims Act (the “False Claims Act”) and the false claims statutes of 28 different states and the District of Columbia (</w:t>
      </w:r>
      <w:r>
        <w:rPr>
          <w:rFonts w:ascii="Times New Roman" w:cs="Times New Roman" w:eastAsia="Times New Roman" w:hAnsi="Times New Roman"/>
          <w:sz w:val="18"/>
          <w:szCs w:val="18"/>
          <w:i w:val="1"/>
          <w:iCs w:val="1"/>
          <w:color w:val="auto"/>
        </w:rPr>
        <w:t>United States of America et al ex rel. Andrew Hagerty v. Cyberonics, Inc.</w:t>
      </w:r>
      <w:r>
        <w:rPr>
          <w:rFonts w:ascii="Times New Roman" w:cs="Times New Roman" w:eastAsia="Times New Roman" w:hAnsi="Times New Roman"/>
          <w:sz w:val="18"/>
          <w:szCs w:val="18"/>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19" w:name="page20"/>
    <w:bookmarkEnd w:id="19"/>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72"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80" w:lineRule="exact"/>
        <w:rPr>
          <w:sz w:val="20"/>
          <w:szCs w:val="20"/>
          <w:color w:val="auto"/>
        </w:rPr>
      </w:pPr>
    </w:p>
    <w:p>
      <w:pPr>
        <w:jc w:val="both"/>
        <w:ind w:right="180" w:firstLine="162"/>
        <w:spacing w:after="0" w:line="257" w:lineRule="auto"/>
        <w:rPr>
          <w:sz w:val="20"/>
          <w:szCs w:val="20"/>
          <w:color w:val="auto"/>
        </w:rPr>
      </w:pPr>
      <w:r>
        <w:rPr>
          <w:rFonts w:ascii="Times New Roman" w:cs="Times New Roman" w:eastAsia="Times New Roman" w:hAnsi="Times New Roman"/>
          <w:sz w:val="18"/>
          <w:szCs w:val="18"/>
          <w:color w:val="auto"/>
        </w:rPr>
        <w:t>In August 2015, Mr. Hagerty filed a Motion Seeking Leave to file a Second Amended Complaint responding to certain deficiencies noted by the District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w:t>
      </w:r>
    </w:p>
    <w:p>
      <w:pPr>
        <w:spacing w:after="0" w:line="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Hagerty filed a Reply Brief in support of his Motion for Leave to file a Second Amended Complaint on September 11, 2015. On September 16, 2015, the District Court heard oral arguments on (a) Mr. Hagerty’s motion seeking to amend his complaint, and (b) Cyberonics’ pending motion demanding arbitration on the claims relating to wrongful and retaliatory discharge. On November 17, 2015, the District Court (1) denied Mr. Hagerty’s Motion for Leave to File a Second Amended Complaint (accordingly, the previously dismissed claims remain dismissed); (2) granted Cyberonics’ Motion to Compel Arbitration of the two remaining claims (for retaliatory discharge under the False Claims Act (“FCA”) and for wrongful termination/retaliation under Massachusetts law); and</w:t>
      </w:r>
    </w:p>
    <w:p>
      <w:pPr>
        <w:spacing w:after="0" w:line="1" w:lineRule="exact"/>
        <w:rPr>
          <w:sz w:val="20"/>
          <w:szCs w:val="20"/>
          <w:color w:val="auto"/>
        </w:rPr>
      </w:pPr>
    </w:p>
    <w:p>
      <w:pPr>
        <w:ind w:right="60" w:firstLine="8"/>
        <w:spacing w:after="0" w:line="25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stayed the pending case (in order to consolidate all issues for appeal pending resolution of the arbitration). On or about February 22, 2016, Mr. Hagerty dismissed, without prejudice, his individual claims that were ordered to arbitration. Subsequently, on or about March 21, 2016, Mr. Hagerty filed an appeal of the previously dismissed FCA claims with the U.S. First Circuit Court of Appeals (“Appeals Court”). Both Mr. Hagerty and the Company filed written briefs with the Appeals Court and on November 8, 2016, the First Circuit Court of Appeals held oral arguments before the Court. On or about December 16, 2016, the Court issued its opinion in the matter, upholding the district court’s dismissal of the FCA claims. Mr. Hagerty did not seek panel rehearing or en banc reconsideration of that opinion on or before January 9, 2017 and the First Circuit issued a mandate sending the case back to the district court for final disposition. Mr. Hagerty did not file a petition for Writ of Certiorari with the U.S. Supreme Court before March 16, 2017, and accordingly, the matter is concluded.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Litigation</w:t>
      </w:r>
    </w:p>
    <w:p>
      <w:pPr>
        <w:spacing w:after="0" w:line="112" w:lineRule="exact"/>
        <w:rPr>
          <w:sz w:val="20"/>
          <w:szCs w:val="20"/>
          <w:color w:val="auto"/>
        </w:rPr>
      </w:pPr>
    </w:p>
    <w:p>
      <w:pPr>
        <w:ind w:right="460" w:firstLine="162"/>
        <w:spacing w:after="0" w:line="276" w:lineRule="auto"/>
        <w:rPr>
          <w:sz w:val="20"/>
          <w:szCs w:val="20"/>
          <w:color w:val="auto"/>
        </w:rPr>
      </w:pPr>
      <w:r>
        <w:rPr>
          <w:rFonts w:ascii="Times New Roman" w:cs="Times New Roman" w:eastAsia="Times New Roman" w:hAnsi="Times New Roman"/>
          <w:sz w:val="17"/>
          <w:szCs w:val="17"/>
          <w:color w:val="auto"/>
        </w:rPr>
        <w:t>In a tax audit report notified on October 30, 2009, the Regional Internal Revenue Office of Lombardy (the “Internal Revenue Office”) informed Sorin Group Italia S.r.l. that, among several issues, it was disallowing in part (for a total of €102.6 million or $109.6 million, related to tax years 2002 through</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79" w:lineRule="exact"/>
        <w:rPr>
          <w:sz w:val="20"/>
          <w:szCs w:val="20"/>
          <w:color w:val="auto"/>
        </w:rPr>
      </w:pPr>
    </w:p>
    <w:p>
      <w:pPr>
        <w:ind w:right="20" w:firstLine="162"/>
        <w:spacing w:after="0" w:line="253" w:lineRule="auto"/>
        <w:rPr>
          <w:sz w:val="20"/>
          <w:szCs w:val="20"/>
          <w:color w:val="auto"/>
        </w:rPr>
      </w:pPr>
      <w:r>
        <w:rPr>
          <w:rFonts w:ascii="Times New Roman" w:cs="Times New Roman" w:eastAsia="Times New Roman" w:hAnsi="Times New Roman"/>
          <w:sz w:val="18"/>
          <w:szCs w:val="18"/>
          <w:color w:val="auto"/>
        </w:rPr>
        <w:t>The preliminary challenges filed for 2004, 2005 and 2006 were denied at the first jurisdictional level. These decisions were appealed by the Company. The appeal submitted against the first-level decision for 2004 was accepted. The second-level decision relating to the 2004 notice of assessment was appealed to the Italian Supreme Court (Corte di Cassazione) by the Internal Revenue Office on February 3, 2017. The Supreme Court’s decision is pending. The appeal submitted against the first-level decision for 2005 was rejected. The second-level decision (relating to the 2005 notice of assessment) has been appealed to the Italian Supreme Court (Corte di Cassazione), where LivaNova will argue that the assessment should be deemed null, void and illegitimate because of inappropriate interpretation and application of regulations. This litigation is still pending before the Italian Supreme Court. The appeal filed against the second-level decision for 2006 was rejected; LivaNova filed an appeal to the Italian Supreme Court on April 28, 2017. In November 2012, the Internal Revenue Office served a notice of assessment for 2007 and, in July 2013, served a notice of assessment for 2008. In that matter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Both notices of assessment were challenged within the statutory deadline. The Provincial Tax Court of Milano has stayed its decision for</w:t>
      </w:r>
    </w:p>
    <w:p>
      <w:pPr>
        <w:spacing w:after="0" w:line="3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years 2007 and 2008 pending resolution of the litigation regarding years 2004, 2005, and 2006. The total amount of losses in dispute is €62.6 million (or</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$66.9 million). LivaNova has continuously reassessed its potential exposure in this matter - taking into account also the recent, and generally adverse, trend to taxpayers in this type of litigation. Although LivaNova’s defensive arguments are strong, the negative Court decisions experienced so far (four negative judgments versus one positive judgment received to date) has led us to leave unchanged the previously recognized liability of €16.9 million (or $18.1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Litigation</w:t>
      </w:r>
    </w:p>
    <w:p>
      <w:pPr>
        <w:spacing w:after="0" w:line="112"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w:t>
      </w:r>
    </w:p>
    <w:p>
      <w:pPr>
        <w:spacing w:after="0" w:line="1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presents the change in each component of accumulated other comprehensive income (loss) (“AOCI”), net of tax, and the reclassifications out of AOCI into net earnings for the three months ended March 31, 2017 and March 31,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on Cash</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Flow Hedging</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 Gain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5"/>
        </w:trPr>
        <w:tc>
          <w:tcPr>
            <w:tcW w:w="6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40" w:type="dxa"/>
            <w:vAlign w:val="bottom"/>
          </w:tcPr>
          <w:p>
            <w:pPr>
              <w:spacing w:after="0"/>
              <w:rPr>
                <w:sz w:val="23"/>
                <w:szCs w:val="23"/>
                <w:color w:val="auto"/>
              </w:rPr>
            </w:pPr>
          </w:p>
        </w:tc>
        <w:tc>
          <w:tcPr>
            <w:tcW w:w="1460" w:type="dxa"/>
            <w:vAlign w:val="bottom"/>
            <w:gridSpan w:val="2"/>
          </w:tcPr>
          <w:p>
            <w:pPr>
              <w:jc w:val="center"/>
              <w:ind w:right="320"/>
              <w:spacing w:after="0" w:line="265" w:lineRule="exact"/>
              <w:rPr>
                <w:sz w:val="20"/>
                <w:szCs w:val="20"/>
                <w:color w:val="auto"/>
              </w:rPr>
            </w:pPr>
            <w:r>
              <w:rPr>
                <w:rFonts w:ascii="Times New Roman" w:cs="Times New Roman" w:eastAsia="Times New Roman" w:hAnsi="Times New Roman"/>
                <w:sz w:val="18"/>
                <w:szCs w:val="18"/>
                <w:b w:val="1"/>
                <w:bCs w:val="1"/>
                <w:color w:val="auto"/>
                <w:w w:val="92"/>
              </w:rPr>
              <w:t xml:space="preserve">(Loss) </w:t>
            </w:r>
            <w:r>
              <w:rPr>
                <w:rFonts w:ascii="Times New Roman" w:cs="Times New Roman" w:eastAsia="Times New Roman" w:hAnsi="Times New Roman"/>
                <w:sz w:val="25"/>
                <w:szCs w:val="25"/>
                <w:b w:val="1"/>
                <w:bCs w:val="1"/>
                <w:color w:val="auto"/>
                <w:w w:val="92"/>
                <w:vertAlign w:val="superscript"/>
              </w:rPr>
              <w:t>(1)</w:t>
            </w:r>
          </w:p>
        </w:tc>
        <w:tc>
          <w:tcPr>
            <w:tcW w:w="36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(68,487)</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before tax</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8,598</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net of tax</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10,532</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4,199</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2,989</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 income, net of tax</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13,521</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(54,966)</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before tax</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44,602</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net of tax</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45,007</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 income, net of tax</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45,122</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(9,106)</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80" w:right="120" w:hanging="248"/>
        <w:spacing w:after="0" w:line="298" w:lineRule="auto"/>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Taxes are not provided for foreign currency translation adjustments as translation adjustment are related to earnings that are intended to be reinvested in the countries where earned.</w:t>
      </w: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Note 10. Income Taxes</w:t>
      </w:r>
    </w:p>
    <w:p>
      <w:pPr>
        <w:spacing w:after="0" w:line="116" w:lineRule="exact"/>
        <w:rPr>
          <w:sz w:val="20"/>
          <w:szCs w:val="20"/>
          <w:color w:val="auto"/>
        </w:rPr>
      </w:pPr>
    </w:p>
    <w:p>
      <w:pPr>
        <w:ind w:right="540" w:firstLine="16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and March 31, 2016, we recorded income tax expense of $5.7 million and income tax benefit of $1.3 million, respectively, with effective income tax rates of 28.3% and 3.2%, respectively.</w:t>
      </w:r>
    </w:p>
    <w:p>
      <w:pPr>
        <w:spacing w:after="0" w:line="54"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Our consolidated effective income tax rate for the three months ended March 31, 2017, includes the continued impact of various discrete items, including the recognition of a $3.0 million deferred tax asset related to a reserve for an uncertain tax position recognized in a prior year. Excluding the impact of discrete tax items, our consolidated effective income tax rate for the three months ended March 31, 2017 and March 31, 2016 was 41.6% and 3.2%, respectively.</w:t>
      </w:r>
    </w:p>
    <w:p>
      <w:pPr>
        <w:spacing w:after="0" w:line="72" w:lineRule="exact"/>
        <w:rPr>
          <w:sz w:val="20"/>
          <w:szCs w:val="20"/>
          <w:color w:val="auto"/>
        </w:rPr>
      </w:pPr>
    </w:p>
    <w:p>
      <w:pPr>
        <w:ind w:right="80" w:firstLine="162"/>
        <w:spacing w:after="0" w:line="261" w:lineRule="auto"/>
        <w:rPr>
          <w:sz w:val="20"/>
          <w:szCs w:val="20"/>
          <w:color w:val="auto"/>
        </w:rPr>
      </w:pPr>
      <w:r>
        <w:rPr>
          <w:rFonts w:ascii="Times New Roman" w:cs="Times New Roman" w:eastAsia="Times New Roman" w:hAnsi="Times New Roman"/>
          <w:sz w:val="18"/>
          <w:szCs w:val="18"/>
          <w:color w:val="auto"/>
        </w:rPr>
        <w:t>Our consolidated effective tax rate, excluding discrete tax items for the three months ended March 31, 2017, includes the full year impact in 2017 of the consolidation of our intangible assets into an entity organized under the laws of England and Wales, which was not effective until the end of the second quarter of 2016. Our consolidated effective income tax rate, excluding discrete tax items, for the three months ended March 31, 2016, was impacted by $32.0 million of unbenefited net operating losses in certain tax jurisdictions.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Net Income (Loss) Per Share</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Add effects of share based compensation instruments </w:t>
            </w:r>
            <w:r>
              <w:rPr>
                <w:rFonts w:ascii="Times New Roman" w:cs="Times New Roman" w:eastAsia="Times New Roman" w:hAnsi="Times New Roman"/>
                <w:sz w:val="21"/>
                <w:szCs w:val="21"/>
                <w:b w:val="1"/>
                <w:bCs w:val="1"/>
                <w:color w:val="auto"/>
                <w:vertAlign w:val="superscript"/>
              </w:rPr>
              <w:t>(1)</w:t>
            </w:r>
          </w:p>
        </w:tc>
        <w:tc>
          <w:tcPr>
            <w:tcW w:w="1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48,918</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40" w:hanging="330"/>
        <w:spacing w:after="0" w:line="272"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Excluded from the computation of diluted earnings per share during the quarter ended March 31, 2017 were average outstanding dilutive instruments (primarily stock options and stock appreciation rights) to purchase approximately 607,000 ordinary shares of LivaNova because to include them would be anti-dilutive, primarily due to an exercise price exceeding the average price of our stock during the period. Excluded from the computation of diluted earnings per share for the quarter ended March 31, 2016, were average outstanding dilutive instruments to purchase 157,000 ordinary shares of LivaNova because to include them would be anti-dilutive due to the net loss during the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Geographic and Segment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12"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We identify operating segments based on the way we manage, evaluate and internally report our business activities for purposes of allocating resources and assessing performance.</w:t>
      </w:r>
    </w:p>
    <w:p>
      <w:pPr>
        <w:spacing w:after="0" w:line="54" w:lineRule="exact"/>
        <w:rPr>
          <w:sz w:val="20"/>
          <w:szCs w:val="20"/>
          <w:color w:val="auto"/>
        </w:rPr>
      </w:pPr>
    </w:p>
    <w:p>
      <w:pPr>
        <w:ind w:right="20" w:firstLine="162"/>
        <w:spacing w:after="0" w:line="274" w:lineRule="auto"/>
        <w:rPr>
          <w:sz w:val="20"/>
          <w:szCs w:val="20"/>
          <w:color w:val="auto"/>
        </w:rPr>
      </w:pPr>
      <w:r>
        <w:rPr>
          <w:rFonts w:ascii="Times New Roman" w:cs="Times New Roman" w:eastAsia="Times New Roman" w:hAnsi="Times New Roman"/>
          <w:sz w:val="17"/>
          <w:szCs w:val="17"/>
          <w:color w:val="auto"/>
        </w:rPr>
        <w:t>We are transitioning the organization to a regional focus with regional leaders in the U.S., Europe, and the rest of world. Supporting the regions will be our three product franchises: Neuromodulation, Cardiac Surgery, and Cardiac Rhythm Management. The product franchise leaders will be responsible for product R&amp;D and marketing on a global basis. We believe a regional focus will allow a number of tangible benefits, namely the ability to share resources, faster decision-making, improved market access capabilities, and greater focus on the needs of physicians, hospitals, and patients. Our new operating structure, and the introduction of new talent into the leadership team, will facilitate an evolution of our goals and decision making processes; accordingly, we will continue to monitor the way we manage, evaluate and internally report our business activities and the corresponding impact this could have on our segment reporting.</w:t>
      </w:r>
    </w:p>
    <w:p>
      <w:pPr>
        <w:spacing w:after="0" w:line="65" w:lineRule="exact"/>
        <w:rPr>
          <w:sz w:val="20"/>
          <w:szCs w:val="20"/>
          <w:color w:val="auto"/>
        </w:rPr>
      </w:pPr>
    </w:p>
    <w:p>
      <w:pPr>
        <w:ind w:right="460" w:firstLine="162"/>
        <w:spacing w:after="0" w:line="266" w:lineRule="auto"/>
        <w:rPr>
          <w:sz w:val="20"/>
          <w:szCs w:val="20"/>
          <w:color w:val="auto"/>
        </w:rPr>
      </w:pPr>
      <w:r>
        <w:rPr>
          <w:rFonts w:ascii="Times New Roman" w:cs="Times New Roman" w:eastAsia="Times New Roman" w:hAnsi="Times New Roman"/>
          <w:sz w:val="18"/>
          <w:szCs w:val="18"/>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93" w:right="239" w:bottom="1440" w:gutter="0" w:footer="0" w:header="0"/>
        </w:sectPr>
      </w:pPr>
    </w:p>
    <w:bookmarkStart w:id="22" w:name="page23"/>
    <w:bookmarkEnd w:id="22"/>
    <w:p>
      <w:pPr>
        <w:ind w:right="140"/>
        <w:spacing w:after="0" w:line="256" w:lineRule="auto"/>
        <w:rPr>
          <w:sz w:val="20"/>
          <w:szCs w:val="20"/>
          <w:color w:val="auto"/>
        </w:rPr>
      </w:pPr>
      <w:r>
        <w:rPr>
          <w:rFonts w:ascii="Times New Roman" w:cs="Times New Roman" w:eastAsia="Times New Roman" w:hAnsi="Times New Roman"/>
          <w:sz w:val="18"/>
          <w:szCs w:val="18"/>
          <w:color w:val="auto"/>
        </w:rPr>
        <w:t>and marketing of products for the diagnosis, treatment, and management of heart rhythm disorders and heart failure. Cardiac Rhythm Management products include high-voltage defibrillators, cardiac resynchronization therapy devices (“CRT-D”) and low-voltage pacemakers. 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80"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“Other” includes Corporate shared services expenses for finance, legal, human resources and information technology and Corporate business development (“New Ventures”). New Ventures is focused on new growth platforms and identification of other opportunities for expansion.</w:t>
      </w:r>
    </w:p>
    <w:p>
      <w:pPr>
        <w:spacing w:after="0" w:line="54" w:lineRule="exact"/>
        <w:rPr>
          <w:sz w:val="20"/>
          <w:szCs w:val="20"/>
          <w:color w:val="auto"/>
        </w:rPr>
      </w:pPr>
    </w:p>
    <w:p>
      <w:pPr>
        <w:ind w:right="160" w:firstLine="162"/>
        <w:spacing w:after="0" w:line="282" w:lineRule="auto"/>
        <w:rPr>
          <w:sz w:val="20"/>
          <w:szCs w:val="20"/>
          <w:color w:val="auto"/>
        </w:rPr>
      </w:pPr>
      <w:r>
        <w:rPr>
          <w:rFonts w:ascii="Times New Roman" w:cs="Times New Roman" w:eastAsia="Times New Roman" w:hAnsi="Times New Roman"/>
          <w:sz w:val="18"/>
          <w:szCs w:val="18"/>
          <w:color w:val="auto"/>
        </w:rPr>
        <w:t>Net sales of our reportable segments include end-customer revenues from the sale of products they each develop and manufacture or distribute. We define segment income as operating income before merger and integration, restructuring, amortization and litigation settlement.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and operating income (loss) by segment (in thousands):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143,443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Reportable Segments’ 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28,592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The following tables present our assets and capital expenditures by segment (in thousands):</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1,277,799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611,085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341,998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111,749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2,370,647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2,342,631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7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2" w:lineRule="exact"/>
        <w:rPr>
          <w:sz w:val="20"/>
          <w:szCs w:val="20"/>
          <w:color w:val="auto"/>
        </w:rPr>
      </w:pPr>
    </w:p>
    <w:p>
      <w:pPr>
        <w:ind w:right="160" w:firstLine="162"/>
        <w:spacing w:after="0" w:line="282" w:lineRule="auto"/>
        <w:rPr>
          <w:sz w:val="20"/>
          <w:szCs w:val="20"/>
          <w:color w:val="auto"/>
        </w:rPr>
      </w:pPr>
      <w:r>
        <w:rPr>
          <w:rFonts w:ascii="Times New Roman" w:cs="Times New Roman" w:eastAsia="Times New Roman" w:hAnsi="Times New Roman"/>
          <w:sz w:val="18"/>
          <w:szCs w:val="18"/>
          <w:color w:val="auto"/>
        </w:rPr>
        <w:t>We operate under three geographic regions: United States, Europe, and Rest of World. Net sales to external customers by geography are determined based on the country the products are shipped to and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114,128</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 (2)</w:t>
            </w: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99,307</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73,534</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b w:val="1"/>
                <w:bCs w:val="1"/>
                <w:color w:val="auto"/>
                <w:vertAlign w:val="superscript"/>
              </w:rPr>
              <w:t>(3)</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285,105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286,969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520" w:hanging="328"/>
        <w:spacing w:after="0" w:line="298"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Net sales to external customers include $8.0 million and $8.8 million in the United Kingdom for the three months ended March 31, 2017 and March 31, 2016, respectively.</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those countries in Europe where LivaNova has a direct sales presence. Countries where sales are made through distributors are included in Rest of World.</w:t>
      </w:r>
    </w:p>
    <w:p>
      <w:pPr>
        <w:spacing w:after="0" w:line="72" w:lineRule="exact"/>
        <w:rPr>
          <w:rFonts w:ascii="Times New Roman" w:cs="Times New Roman" w:eastAsia="Times New Roman" w:hAnsi="Times New Roman"/>
          <w:sz w:val="14"/>
          <w:szCs w:val="14"/>
          <w:color w:val="auto"/>
        </w:rPr>
      </w:pPr>
    </w:p>
    <w:p>
      <w:pPr>
        <w:ind w:left="660" w:right="8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customer represented over 10% of our consolidated net sales. Except for the U.S. and France, no country’s net sales exceeded 10% of our consolidated net sales. French sales were $32.8 million for the three months ended March 31,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by geography are as follows (in thousands):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340" w:type="dxa"/>
            <w:vAlign w:val="bottom"/>
          </w:tcPr>
          <w:p>
            <w:pPr>
              <w:spacing w:after="0"/>
              <w:rPr>
                <w:sz w:val="24"/>
                <w:szCs w:val="24"/>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61,279</w:t>
            </w:r>
          </w:p>
        </w:tc>
      </w:tr>
      <w:tr>
        <w:trPr>
          <w:trHeight w:val="270"/>
        </w:trPr>
        <w:tc>
          <w:tcPr>
            <w:tcW w:w="67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34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130,777</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31,786</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205,121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223,842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180" w:hanging="328"/>
        <w:spacing w:after="0" w:line="298" w:lineRule="auto"/>
        <w:tabs>
          <w:tab w:leader="none" w:pos="66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Property, plant and equipment, net included with Europe includes $3.1 million and $3.0 million in the United Kingdom at March 31, 2017 and December 31, 2016,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 from third parties</w:t>
            </w: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285,336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bad debt</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271,534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275,730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47,704</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32,316</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103,469</w:t>
            </w:r>
          </w:p>
        </w:tc>
      </w:tr>
      <w:tr>
        <w:trPr>
          <w:trHeight w:val="237"/>
        </w:trPr>
        <w:tc>
          <w:tcPr>
            <w:tcW w:w="70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192,388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183,489</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40" w:firstLine="162"/>
        <w:spacing w:after="0" w:line="282" w:lineRule="auto"/>
        <w:rPr>
          <w:sz w:val="20"/>
          <w:szCs w:val="20"/>
          <w:color w:val="auto"/>
        </w:rPr>
      </w:pPr>
      <w:r>
        <w:rPr>
          <w:rFonts w:ascii="Times New Roman" w:cs="Times New Roman" w:eastAsia="Times New Roman" w:hAnsi="Times New Roman"/>
          <w:sz w:val="18"/>
          <w:szCs w:val="18"/>
          <w:color w:val="auto"/>
        </w:rPr>
        <w:t>Inventories are reported net of the provision for obsolescence, which totaled $9.7 million and $9.8 million at March 31, 2017 and December 31, 2016,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payable on inter-company transfers of property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19,445</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loans and notes receivable</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 and advances to suppliers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Earthquake grant receivable</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contract assets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prepaid expenses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55,973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payable on inter-company transfers of property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124,551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and notes receivable</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5"/>
                <w:szCs w:val="25"/>
                <w:b w:val="1"/>
                <w:bCs w:val="1"/>
                <w:color w:val="auto"/>
                <w:vertAlign w:val="superscript"/>
              </w:rPr>
              <w:t>(1)</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Guaranteed deposits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132,664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130,698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Primarily cash surrender value of company owned life insurance policies.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Product remediation liability </w:t>
            </w:r>
            <w:r>
              <w:rPr>
                <w:rFonts w:ascii="Times New Roman" w:cs="Times New Roman" w:eastAsia="Times New Roman" w:hAnsi="Times New Roman"/>
                <w:sz w:val="25"/>
                <w:szCs w:val="25"/>
                <w:b w:val="1"/>
                <w:bCs w:val="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23,464</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related liabilities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16,859</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warranty obligations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2,736</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Royalty costs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Clinical study costs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contract liabilities</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19,127</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75,567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Refer to “Note 3. Product Remediation Liability.”</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8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16,857</w:t>
            </w:r>
          </w:p>
        </w:tc>
      </w:tr>
      <w:tr>
        <w:trPr>
          <w:trHeight w:val="270"/>
        </w:trPr>
        <w:tc>
          <w:tcPr>
            <w:tcW w:w="7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Product remediation liability </w:t>
            </w:r>
            <w:r>
              <w:rPr>
                <w:rFonts w:ascii="Times New Roman" w:cs="Times New Roman" w:eastAsia="Times New Roman" w:hAnsi="Times New Roman"/>
                <w:sz w:val="25"/>
                <w:szCs w:val="25"/>
                <w:b w:val="1"/>
                <w:bCs w:val="1"/>
                <w:color w:val="auto"/>
                <w:vertAlign w:val="superscript"/>
              </w:rPr>
              <w:t>(1)</w:t>
            </w:r>
          </w:p>
        </w:tc>
        <w:tc>
          <w:tcPr>
            <w:tcW w:w="3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10,023</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(2)</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3,890</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 grant deferred revenue</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Unfavorable operating leases </w:t>
            </w:r>
            <w:r>
              <w:rPr>
                <w:rFonts w:ascii="Times New Roman" w:cs="Times New Roman" w:eastAsia="Times New Roman" w:hAnsi="Times New Roman"/>
                <w:sz w:val="25"/>
                <w:szCs w:val="25"/>
                <w:b w:val="1"/>
                <w:bCs w:val="1"/>
                <w:color w:val="auto"/>
                <w:vertAlign w:val="superscript"/>
              </w:rPr>
              <w:t>(3)</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w:t>
            </w:r>
          </w:p>
        </w:tc>
      </w:tr>
      <w:tr>
        <w:trPr>
          <w:trHeight w:val="270"/>
        </w:trPr>
        <w:tc>
          <w:tcPr>
            <w:tcW w:w="7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Derivative contract liabilities </w:t>
            </w:r>
            <w:r>
              <w:rPr>
                <w:rFonts w:ascii="Times New Roman" w:cs="Times New Roman" w:eastAsia="Times New Roman" w:hAnsi="Times New Roman"/>
                <w:sz w:val="25"/>
                <w:szCs w:val="25"/>
                <w:b w:val="1"/>
                <w:bCs w:val="1"/>
                <w:color w:val="auto"/>
                <w:vertAlign w:val="superscript"/>
              </w:rPr>
              <w:t>(4)</w:t>
            </w:r>
          </w:p>
        </w:tc>
        <w:tc>
          <w:tcPr>
            <w:tcW w:w="3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r>
      <w:tr>
        <w:trPr>
          <w:trHeight w:val="237"/>
        </w:trPr>
        <w:tc>
          <w:tcPr>
            <w:tcW w:w="70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39,487</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Refer to “Note 3. Product Remediation Liability.”</w:t>
      </w:r>
    </w:p>
    <w:p>
      <w:pPr>
        <w:spacing w:after="0" w:line="26" w:lineRule="exact"/>
        <w:rPr>
          <w:rFonts w:ascii="Times New Roman" w:cs="Times New Roman" w:eastAsia="Times New Roman" w:hAnsi="Times New Roman"/>
          <w:sz w:val="14"/>
          <w:szCs w:val="14"/>
          <w:color w:val="auto"/>
        </w:rPr>
      </w:pPr>
    </w:p>
    <w:p>
      <w:pPr>
        <w:ind w:left="660" w:right="180" w:hanging="328"/>
        <w:spacing w:after="0" w:line="264"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earnout for contingent payments represents contingent payments due related to two acquisitions: the first acquisition, in September 2015, was of Cellplex PTY Ltd. in Australia and the second acquisition was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5. Fair Value Measurements.”</w:t>
      </w:r>
    </w:p>
    <w:p>
      <w:pPr>
        <w:ind w:left="660" w:right="140" w:hanging="328"/>
        <w:spacing w:after="0" w:line="264"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Unfavorable operating leases represents the adjustment to recognize future lease obligations at their estimated fair value in conjunction with the Mergers in October 2015 between Cyberonics and Sorin.</w:t>
      </w:r>
    </w:p>
    <w:p>
      <w:pPr>
        <w:ind w:left="660" w:right="200" w:hanging="328"/>
        <w:spacing w:after="0" w:line="288"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Financial derivatives represent forward interest rate swap contracts, which hedge our long-term European Investment Bank debt. Refer to “Note 7. Derivatives and Risk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New Accounting Pronouncements</w:t>
      </w:r>
    </w:p>
    <w:p>
      <w:pPr>
        <w:spacing w:after="0" w:line="116" w:lineRule="exact"/>
        <w:rPr>
          <w:sz w:val="20"/>
          <w:szCs w:val="20"/>
          <w:color w:val="auto"/>
        </w:rPr>
      </w:pPr>
    </w:p>
    <w:p>
      <w:pPr>
        <w:ind w:firstLine="162"/>
        <w:spacing w:after="0" w:line="258" w:lineRule="auto"/>
        <w:rPr>
          <w:sz w:val="20"/>
          <w:szCs w:val="20"/>
          <w:color w:val="auto"/>
        </w:rPr>
      </w:pPr>
      <w:r>
        <w:rPr>
          <w:rFonts w:ascii="Times New Roman" w:cs="Times New Roman" w:eastAsia="Times New Roman" w:hAnsi="Times New Roman"/>
          <w:sz w:val="18"/>
          <w:szCs w:val="18"/>
          <w:color w:val="auto"/>
        </w:rPr>
        <w:t>In May 2014, the FASB issued ASC Update No. 2014-09, Revenue from Contracts with Customers (Topic 606):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2017,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w:t>
      </w:r>
    </w:p>
    <w:p>
      <w:pPr>
        <w:spacing w:after="0" w:line="76" w:lineRule="exact"/>
        <w:rPr>
          <w:sz w:val="20"/>
          <w:szCs w:val="20"/>
          <w:color w:val="auto"/>
        </w:rPr>
      </w:pPr>
    </w:p>
    <w:p>
      <w:pPr>
        <w:ind w:right="40" w:firstLine="162"/>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ASC Update No. 2016-01, Financial Instruments-Overall (Subtopic 825-10): Recognition and Measurement of Financial Assets and Financial Liabilities. Update 2016-01 requires equity investments that do not result in consolidation and are not accounted for under the equity 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81" w:lineRule="exact"/>
        <w:rPr>
          <w:sz w:val="20"/>
          <w:szCs w:val="20"/>
          <w:color w:val="auto"/>
        </w:rPr>
      </w:pPr>
    </w:p>
    <w:p>
      <w:pPr>
        <w:ind w:right="100" w:firstLine="162"/>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ASC Update No. 2016-02, Leases (new Topic 842, superseded Topic 840):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sectPr>
      </w:pPr>
    </w:p>
    <w:bookmarkStart w:id="26" w:name="page27"/>
    <w:bookmarkEnd w:id="26"/>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In March 2016, the FASB issued ASC Update No. 2016-09, Compensation—Stock Compensation (Topic 718): Improvements to Employee Share-Based Payment Accounting, which simplified the accounting for certain aspects of share-based payment transactions including the income tax consequences, classification of awards as either equity or liabilities and classification on the statement of cash flows. We adopted the amendments of ASU 2016-09 effective January 1, 2017, using the following methods:</w:t>
      </w:r>
    </w:p>
    <w:p>
      <w:pPr>
        <w:spacing w:after="0" w:line="72" w:lineRule="exact"/>
        <w:rPr>
          <w:sz w:val="20"/>
          <w:szCs w:val="20"/>
          <w:color w:val="auto"/>
        </w:rPr>
      </w:pPr>
    </w:p>
    <w:p>
      <w:pPr>
        <w:ind w:left="340" w:right="60" w:firstLine="162"/>
        <w:spacing w:after="0" w:line="266" w:lineRule="auto"/>
        <w:rPr>
          <w:sz w:val="20"/>
          <w:szCs w:val="20"/>
          <w:color w:val="auto"/>
        </w:rPr>
      </w:pPr>
      <w:r>
        <w:rPr>
          <w:rFonts w:ascii="Times New Roman" w:cs="Times New Roman" w:eastAsia="Times New Roman" w:hAnsi="Times New Roman"/>
          <w:sz w:val="18"/>
          <w:szCs w:val="18"/>
          <w:color w:val="auto"/>
        </w:rPr>
        <w:t>We adopted the Amendment that requires all of the tax effects related to the settlement of share based compensation awards to be recorded through the income statement on a prospective basis. The adoption of this Amendment did not have a material effect on income tax expense for the three months ended March 31, 2017.</w:t>
      </w:r>
    </w:p>
    <w:p>
      <w:pPr>
        <w:spacing w:after="0" w:line="68" w:lineRule="exact"/>
        <w:rPr>
          <w:sz w:val="20"/>
          <w:szCs w:val="20"/>
          <w:color w:val="auto"/>
        </w:rPr>
      </w:pPr>
    </w:p>
    <w:p>
      <w:pPr>
        <w:ind w:left="340" w:right="180" w:firstLine="162"/>
        <w:spacing w:after="0" w:line="261" w:lineRule="auto"/>
        <w:rPr>
          <w:sz w:val="20"/>
          <w:szCs w:val="20"/>
          <w:color w:val="auto"/>
        </w:rPr>
      </w:pPr>
      <w:r>
        <w:rPr>
          <w:rFonts w:ascii="Times New Roman" w:cs="Times New Roman" w:eastAsia="Times New Roman" w:hAnsi="Times New Roman"/>
          <w:sz w:val="18"/>
          <w:szCs w:val="18"/>
          <w:color w:val="auto"/>
        </w:rPr>
        <w:t>We adopted the Amendment related to cash flow presentation of tax-related cash flows resulting from share based payments on a prospective basis. The Amendment stipulates that all tax-related cash flows resulting from share based payments are to be reported as operating activities in the statement of cash flows, rather than, under past requirements, to present gross windfall tax benefits as an inflow from financing activities and an outflow from operating activities.</w:t>
      </w:r>
    </w:p>
    <w:p>
      <w:pPr>
        <w:spacing w:after="0" w:line="72" w:lineRule="exact"/>
        <w:rPr>
          <w:sz w:val="20"/>
          <w:szCs w:val="20"/>
          <w:color w:val="auto"/>
        </w:rPr>
      </w:pPr>
    </w:p>
    <w:p>
      <w:pPr>
        <w:ind w:left="340" w:right="260" w:firstLine="162"/>
        <w:spacing w:after="0" w:line="266" w:lineRule="auto"/>
        <w:rPr>
          <w:sz w:val="20"/>
          <w:szCs w:val="20"/>
          <w:color w:val="auto"/>
        </w:rPr>
      </w:pPr>
      <w:r>
        <w:rPr>
          <w:rFonts w:ascii="Times New Roman" w:cs="Times New Roman" w:eastAsia="Times New Roman" w:hAnsi="Times New Roman"/>
          <w:sz w:val="18"/>
          <w:szCs w:val="18"/>
          <w:color w:val="auto"/>
        </w:rPr>
        <w:t>Under the Amendment related to forfeitures, entities are permitted to make a company wide accounting policy election to either estimate forfeitures each period, as required prior to this Amendment’s effective date, or to account for forfeitures as they occur. We elected to continue to account for forfeitures using the estimation method.</w:t>
      </w:r>
    </w:p>
    <w:p>
      <w:pPr>
        <w:spacing w:after="0" w:line="68" w:lineRule="exact"/>
        <w:rPr>
          <w:sz w:val="20"/>
          <w:szCs w:val="20"/>
          <w:color w:val="auto"/>
        </w:rPr>
      </w:pPr>
    </w:p>
    <w:p>
      <w:pPr>
        <w:ind w:left="340" w:right="580" w:firstLine="162"/>
        <w:spacing w:after="0" w:line="282" w:lineRule="auto"/>
        <w:rPr>
          <w:sz w:val="20"/>
          <w:szCs w:val="20"/>
          <w:color w:val="auto"/>
        </w:rPr>
      </w:pPr>
      <w:r>
        <w:rPr>
          <w:rFonts w:ascii="Times New Roman" w:cs="Times New Roman" w:eastAsia="Times New Roman" w:hAnsi="Times New Roman"/>
          <w:sz w:val="18"/>
          <w:szCs w:val="18"/>
          <w:color w:val="auto"/>
        </w:rPr>
        <w:t>We adopted the Amendment related to the timing of when excess tax benefits are recognized, which requires that all windfalls and shortfalls be recognized when they arise. There were no unrecognized excess tax benefits prior to the adoption of the Amendment.</w:t>
      </w:r>
    </w:p>
    <w:p>
      <w:pPr>
        <w:spacing w:after="0" w:line="54"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ASC Update No. 2016-15, Classification of Certain Cash Receipts and Cash Payments (Topic 230 -Statement of Cash Flows): </w:t>
      </w:r>
      <w:r>
        <w:rPr>
          <w:rFonts w:ascii="Times New Roman" w:cs="Times New Roman" w:eastAsia="Times New Roman" w:hAnsi="Times New Roman"/>
          <w:sz w:val="18"/>
          <w:szCs w:val="18"/>
          <w:color w:val="333333"/>
        </w:rPr>
        <w:t>The amendments provide guidance in the presentation and classification of certain cash receipts and cash payments in the 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including debt prepayment or debt extinguishment costs, settlement of zero-coupon debt instruments, contingent consideration payments made after a business combination, 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The amendments should be applied using a retrospective transition method to each period presented. We are currently evaluating the impact of adopting these provisions on our consolidated financial statements.</w:t>
      </w:r>
    </w:p>
    <w:p>
      <w:pPr>
        <w:spacing w:after="0" w:line="81"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ASC Update No. 2016-16, Income Taxes - Intra-Entity Transfers of Assets Other Than Inventory (Topic 740):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takes effect for annual periods after December 15, 2017, including interim periods within those annual reporting periods. We are currently evaluating the impact of adopting this update; however, based on preliminary analysis, it is possible that this update could adversely impact our effective tax rate by several percentage points in future periods commencing in the first quarter of year 2018.</w:t>
      </w:r>
    </w:p>
    <w:p>
      <w:pPr>
        <w:spacing w:after="0" w:line="77"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In March 2017, the FASB issued ASC Update No. 2017-01, Business Combinations (Topic 805)—Clarifying the Definition of a Business. This update clarifies when a set of assets and activities is a business. The amendments provide a screen to determine when a set is not a business. The screen requires that when substantially all of the fair value of the gross assets acquired is concentrated in a single identifiable asset or a group of similar identifiable assets, the set is not a business. If the screen is not met, the amendments in this Update (1) require that to be considered a business, a set must include, at a minimum, an input and a substantive process that together significantly contribute to the ability to create output and (2) remove the evaluation of whether a market participant could replace missing elements. This update is effective for annual periods after December 15, 2017, including interim periods within those annual reporting periods. We are currently evaluating the impact of adopting this update on our consolidated financial statements.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688" w:right="259" w:bottom="1440" w:gutter="0" w:footer="0" w:header="0"/>
        </w:sectPr>
      </w:pPr>
    </w:p>
    <w:bookmarkStart w:id="27" w:name="page28"/>
    <w:bookmarkEnd w:id="27"/>
    <w:p>
      <w:pPr>
        <w:ind w:firstLine="162"/>
        <w:spacing w:after="0" w:line="254" w:lineRule="auto"/>
        <w:rPr>
          <w:sz w:val="20"/>
          <w:szCs w:val="20"/>
          <w:color w:val="auto"/>
        </w:rPr>
      </w:pPr>
      <w:r>
        <w:rPr>
          <w:rFonts w:ascii="Times New Roman" w:cs="Times New Roman" w:eastAsia="Times New Roman" w:hAnsi="Times New Roman"/>
          <w:sz w:val="18"/>
          <w:szCs w:val="18"/>
          <w:color w:val="auto"/>
        </w:rPr>
        <w:t>In March 2017, the FASB issued ASC Update No. 2017-07, Compensation—Retirement Benefits (Topic 715): Improving the Presentation of Net Periodic Pension Cost and Net Periodic Post Retirement Benefit Cost. This update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 The amendments in this Update also allow only the service cost component to be eligible for capitalization when applicable. This update takes effect for annual periods after December 15, 2017, including interim periods within those annual reporting periods. We are currently evaluating the impact of adopting this update on our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Subsequent Events</w:t>
      </w:r>
    </w:p>
    <w:p>
      <w:pPr>
        <w:spacing w:after="0" w:line="116" w:lineRule="exact"/>
        <w:rPr>
          <w:sz w:val="20"/>
          <w:szCs w:val="20"/>
          <w:color w:val="auto"/>
        </w:rPr>
      </w:pPr>
    </w:p>
    <w:p>
      <w:pPr>
        <w:ind w:right="120" w:firstLine="162"/>
        <w:spacing w:after="0" w:line="261" w:lineRule="auto"/>
        <w:rPr>
          <w:sz w:val="20"/>
          <w:szCs w:val="20"/>
          <w:color w:val="auto"/>
        </w:rPr>
      </w:pPr>
      <w:r>
        <w:rPr>
          <w:rFonts w:ascii="Times New Roman" w:cs="Times New Roman" w:eastAsia="Times New Roman" w:hAnsi="Times New Roman"/>
          <w:sz w:val="18"/>
          <w:szCs w:val="18"/>
          <w:color w:val="auto"/>
        </w:rPr>
        <w:t>We announced on February 23, 2017 our voluntary cancellation of our standard listing of ordinary shares with the London Stock Exchange (“LSE”). We have taken this action due to the low volume of our ordinary share trading on the LSE. Trading ceased at the close of business on April 4, 2017. We will continue to serve our shareholders through our listing on the NASDAQ Stock Market, where the vast majority of trading of our ordinary shares occurs. This decision has no bearing on our status as a UK company and our commitment to invest in the European market.</w:t>
      </w:r>
    </w:p>
    <w:p>
      <w:pPr>
        <w:spacing w:after="0" w:line="72"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On May 2, 2017, we acquired the remaining outstanding interests in Caisson Interventional, LLC (“Caisson”), in support of our strategic growth initiatives. Based in Maple Grove, Minn., Caisson is a privately held clinical-stage medical device company focused on the design, development and clinical evaluation of a novel transcatheter mitral valve replacement (“TMVR”) implant with a fully transvenous delivery system. We have been an investor in Caisson since 2012 and have agreed to pay up to $72 million, net of $6 million of debt forgiveness, to acquire the remaining 51 percent of the company. The first payment of $18 million was made at closing with the balance paid on a schedule driven primarily by regulatory approvals and sales earn outs. As a result of the acquisition, LivaNova expects to recognize a pre-tax non-cash gain during the three months ended June 30, 2017 on the $15.0 million book value of its existing investment in Caisson.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127" w:lineRule="exact"/>
        <w:rPr>
          <w:sz w:val="20"/>
          <w:szCs w:val="20"/>
          <w:color w:val="auto"/>
        </w:rPr>
      </w:pPr>
    </w:p>
    <w:p>
      <w:pPr>
        <w:ind w:right="120" w:firstLine="162"/>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which appear elsewhere in this document and with our annual report on Form 10-K for the year ended December 31, 2016.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Annual Report on Form 10-K and elsewhere in this quarterly report.</w:t>
      </w:r>
    </w:p>
    <w:p>
      <w:pPr>
        <w:spacing w:after="0" w:line="76" w:lineRule="exact"/>
        <w:rPr>
          <w:sz w:val="20"/>
          <w:szCs w:val="20"/>
          <w:color w:val="auto"/>
        </w:rPr>
      </w:pPr>
    </w:p>
    <w:p>
      <w:pPr>
        <w:ind w:right="80" w:firstLine="162"/>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LivaNova PLC or collectively to LivaNova PLC and its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Overview</w:t>
      </w:r>
    </w:p>
    <w:p>
      <w:pPr>
        <w:spacing w:after="0" w:line="112" w:lineRule="exact"/>
        <w:rPr>
          <w:sz w:val="20"/>
          <w:szCs w:val="20"/>
          <w:color w:val="auto"/>
        </w:rPr>
      </w:pPr>
    </w:p>
    <w:p>
      <w:pPr>
        <w:ind w:right="80" w:firstLine="162"/>
        <w:spacing w:after="0" w:line="256" w:lineRule="auto"/>
        <w:rPr>
          <w:sz w:val="20"/>
          <w:szCs w:val="20"/>
          <w:color w:val="auto"/>
        </w:rPr>
      </w:pPr>
      <w:r>
        <w:rPr>
          <w:rFonts w:ascii="Times New Roman" w:cs="Times New Roman" w:eastAsia="Times New Roman" w:hAnsi="Times New Roman"/>
          <w:sz w:val="18"/>
          <w:szCs w:val="18"/>
          <w:color w:val="auto"/>
        </w:rPr>
        <w:t>LivaNova PLC and its subsidiaries (collectively, the “Company”, “LivaNova”, “we” or “our”) is a public limited company organized under the laws of England and Wales.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Franchises</w:t>
      </w:r>
    </w:p>
    <w:p>
      <w:pPr>
        <w:spacing w:after="0" w:line="112" w:lineRule="exact"/>
        <w:rPr>
          <w:sz w:val="20"/>
          <w:szCs w:val="20"/>
          <w:color w:val="auto"/>
        </w:rPr>
      </w:pPr>
    </w:p>
    <w:p>
      <w:pPr>
        <w:ind w:right="320" w:firstLine="162"/>
        <w:spacing w:after="0" w:line="261" w:lineRule="auto"/>
        <w:rPr>
          <w:sz w:val="20"/>
          <w:szCs w:val="20"/>
          <w:color w:val="auto"/>
        </w:rPr>
      </w:pPr>
      <w:r>
        <w:rPr>
          <w:rFonts w:ascii="Times New Roman" w:cs="Times New Roman" w:eastAsia="Times New Roman" w:hAnsi="Times New Roman"/>
          <w:sz w:val="18"/>
          <w:szCs w:val="18"/>
          <w:color w:val="auto"/>
        </w:rPr>
        <w:t>We operate our business through three segments: Neuromodulation, Cardiac Surgery and Cardiac Rhythm Management. Our three reportable segments correspond to our Business Franchises and each Business Franchise corresponds to one of our three main therapeutic areas aligned to best serve our customers. Corporate activities include corporate business development and New Ventures. New Ventures is focused on new growth platforms and identification of other opportunities for expansion and investment.</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688" w:right="279" w:bottom="1440" w:gutter="0" w:footer="0" w:header="0"/>
        </w:sectPr>
      </w:pPr>
    </w:p>
    <w:bookmarkStart w:id="28" w:name="page29"/>
    <w:bookmarkEnd w:id="28"/>
    <w:p>
      <w:pPr>
        <w:ind w:right="400" w:firstLine="162"/>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Cardiac Surgery (“CS”) Update</w:t>
      </w:r>
    </w:p>
    <w:p>
      <w:pPr>
        <w:spacing w:after="0" w:line="112" w:lineRule="exact"/>
        <w:rPr>
          <w:sz w:val="20"/>
          <w:szCs w:val="20"/>
          <w:color w:val="auto"/>
        </w:rPr>
      </w:pPr>
    </w:p>
    <w:p>
      <w:pPr>
        <w:ind w:right="20" w:firstLine="162"/>
        <w:spacing w:after="0" w:line="258" w:lineRule="auto"/>
        <w:rPr>
          <w:sz w:val="20"/>
          <w:szCs w:val="20"/>
          <w:color w:val="auto"/>
        </w:rPr>
      </w:pPr>
      <w:r>
        <w:rPr>
          <w:rFonts w:ascii="Times New Roman" w:cs="Times New Roman" w:eastAsia="Times New Roman" w:hAnsi="Times New Roman"/>
          <w:sz w:val="18"/>
          <w:szCs w:val="18"/>
          <w:color w:val="auto"/>
        </w:rPr>
        <w:t>On October 5, 2015, we announced the initiation of PERSIST-AVR, the first international, prospective post-market randomized multi-center trial evaluating the Perceval sutureless aortic valve compared to standard sutured bioprostheses in patients with aortic valve disease. The trial is expected to enroll 1,234 patients within a two-year enrollment period and patients will be followed until five years post procedure. In January 2017, the independent study, “Aortic Valve Replacement With Sutureless Perceval Bioprosthesis: Single-Center Experience With 617 Implants,” was presented to The Society of Thoracic Surgeons. The study found that AVR procedures conducted with Perceval resulted in low mortality and excellent hemodynamic performance for patients.</w:t>
      </w:r>
    </w:p>
    <w:p>
      <w:pPr>
        <w:spacing w:after="0" w:line="76"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In January 2016, we announced FDA approval of the Perceval sutureless valve. Perceval is the only sutureless biological aortic replacement valve on the market today with a unique self-anchoring frame that enables the surgeon to replace the diseased valve without suturing it into place. While we have been selling Perceval in other parts of the world, we began commercial distribution of the device in the United States with the first implant announced on March 8, 2016. Perceval has been implanted in more than 20,000 patients in over 310 hospitals in 34 countries across the world.</w:t>
      </w:r>
    </w:p>
    <w:p>
      <w:pPr>
        <w:spacing w:after="0" w:line="72" w:lineRule="exact"/>
        <w:rPr>
          <w:sz w:val="20"/>
          <w:szCs w:val="20"/>
          <w:color w:val="auto"/>
        </w:rPr>
      </w:pPr>
    </w:p>
    <w:p>
      <w:pPr>
        <w:jc w:val="both"/>
        <w:ind w:right="40" w:firstLine="162"/>
        <w:spacing w:after="0" w:line="266" w:lineRule="auto"/>
        <w:rPr>
          <w:sz w:val="20"/>
          <w:szCs w:val="20"/>
          <w:color w:val="auto"/>
        </w:rPr>
      </w:pPr>
      <w:r>
        <w:rPr>
          <w:rFonts w:ascii="Times New Roman" w:cs="Times New Roman" w:eastAsia="Times New Roman" w:hAnsi="Times New Roman"/>
          <w:sz w:val="18"/>
          <w:szCs w:val="18"/>
          <w:color w:val="auto"/>
        </w:rPr>
        <w:t>In addition, in early February 2016, we announced that we had received FDA approval of CROWN PRT valve for the treatment of aortic valve disease. The CROWN PRT is a stented aortic bioprosthesis technology and features a surgeon-friendly design, with optimized hemodynamics with patented PRT, designed to enhance valve durability. We anticipate launching CROWN PRT in the U.S. later this year.</w:t>
      </w:r>
    </w:p>
    <w:p>
      <w:pPr>
        <w:spacing w:after="0" w:line="68" w:lineRule="exact"/>
        <w:rPr>
          <w:sz w:val="20"/>
          <w:szCs w:val="20"/>
          <w:color w:val="auto"/>
        </w:rPr>
      </w:pPr>
    </w:p>
    <w:p>
      <w:pPr>
        <w:ind w:right="120" w:firstLine="162"/>
        <w:spacing w:after="0" w:line="256" w:lineRule="auto"/>
        <w:rPr>
          <w:sz w:val="20"/>
          <w:szCs w:val="20"/>
          <w:color w:val="auto"/>
        </w:rPr>
      </w:pPr>
      <w:r>
        <w:rPr>
          <w:rFonts w:ascii="Times New Roman" w:cs="Times New Roman" w:eastAsia="Times New Roman" w:hAnsi="Times New Roman"/>
          <w:sz w:val="18"/>
          <w:szCs w:val="18"/>
          <w:color w:val="auto"/>
        </w:rPr>
        <w:t>In March 2017, we committed to a plan to sell our Suzhou Industrial Park facility in Shanghai, China, an emerging market greenfield project for the local manufacture of Cardiopulmonary disposable products in Suzhou Industrial Park in China. As a result of this exit plan we recorded an impairment of the building and equipment of $4.6 million and accrued $0.5 million of additional costs, primarily related to employee severance, during the three months ended March 31, 2017, included in Restructuring Expenses line in the condensed consolidated statement of income (loss). In addition, the remaining $13.1 million carrying value of the land, building and equipment were reclassified to Assets Held for Sale on the condensed consolidated balance sheet, as of March 31, 2017.</w:t>
      </w:r>
    </w:p>
    <w:p>
      <w:pPr>
        <w:spacing w:after="0" w:line="78" w:lineRule="exact"/>
        <w:rPr>
          <w:sz w:val="20"/>
          <w:szCs w:val="20"/>
          <w:color w:val="auto"/>
        </w:rPr>
      </w:pPr>
    </w:p>
    <w:p>
      <w:pPr>
        <w:ind w:right="20"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FDA Warning Letter</w:t>
      </w:r>
      <w:r>
        <w:rPr>
          <w:rFonts w:ascii="Times New Roman" w:cs="Times New Roman" w:eastAsia="Times New Roman" w:hAnsi="Times New Roman"/>
          <w:sz w:val="18"/>
          <w:szCs w:val="18"/>
          <w:color w:val="auto"/>
        </w:rPr>
        <w:t>. In December 2015, we received an FDA Warning Letter (the “Warning Letter”) alleging certain violations of FDA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medical device manufacturing at our Munich, Germany and Arvada, Colorado facilities. On October 13, 2016 the Centers for Disease Control and Prevention (“CDC”) and FDA separately released safety notifications regarding the 3T Heater Cooler devices in response to which the Company issued a Field Safety Notice Update for U.S. users of 3T Heater Cooler devices to proactively and voluntarily contact facilities to facilitate implementation of the CDC and FDA recommendations.</w:t>
      </w:r>
    </w:p>
    <w:p>
      <w:pPr>
        <w:spacing w:after="0" w:line="74" w:lineRule="exact"/>
        <w:rPr>
          <w:sz w:val="20"/>
          <w:szCs w:val="20"/>
          <w:color w:val="auto"/>
        </w:rPr>
      </w:pPr>
    </w:p>
    <w:p>
      <w:pPr>
        <w:ind w:firstLine="162"/>
        <w:spacing w:after="0" w:line="252" w:lineRule="auto"/>
        <w:rPr>
          <w:sz w:val="20"/>
          <w:szCs w:val="20"/>
          <w:color w:val="auto"/>
        </w:rPr>
      </w:pPr>
      <w:r>
        <w:rPr>
          <w:rFonts w:ascii="Times New Roman" w:cs="Times New Roman" w:eastAsia="Times New Roman" w:hAnsi="Times New Roman"/>
          <w:sz w:val="18"/>
          <w:szCs w:val="18"/>
          <w:color w:val="auto"/>
        </w:rPr>
        <w:t>At December 31, 2016, we recognized a liability for a product remediation plan related to our 3T Heater Cooler device. The remediation plan developed by the Company consists primarily of a modification of the 3T design to include internal sealing and addition of a vacuum system to new and existing devices. These changes are intended to address regulatory actions and further reduce the risk of possible dispersion of aerosols from the 3T Heater Cooler device in the operating room. The deployment of this solution for commercially distributed devices will occur upon final validation and verification of the design changes and approval or clearance by regulatory authorities worldwide, including FDA clearance in the U.S. In April 2017, we obtained CE Mark in Europe for the design change of the 3T device. As part of this plan, we also intend to perform a no-charge deep disinfection service for 3T users who have reported confirmed M. chimaera mycobacterium contamination. Although the deep disinfection service is not yet available in the U.S., it is currently offered in many countries around the world and will be expanded to additional geographies as regulatory approvals are received. In the fourth quarter of 2016 we initiated a program to provide existing 3T users with a new loaner 3T device at no charge pending regulatory approval and implementation of the vacuum system addition and deep disinfection service worldwide. This loaner program began in the U.S. and is being progressively made available on a global basis, prioritizing and allocating devices to 3T users based on pre-established criteria. It is estimated that by the end of 2018, a majority of the 3T devices in use globally will be upgraded and returned to operation.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 At March 31, 2017 the product remediation liability was $31.7 million. Refer to “Note 3. Product Remediation Liability” in our consolidated financial statements included in this Report on Form 10-Q for additional information.</w:t>
      </w: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8" w:right="239" w:bottom="1440" w:gutter="0" w:footer="0" w:header="0"/>
        </w:sectPr>
      </w:pPr>
    </w:p>
    <w:bookmarkStart w:id="29" w:name="page30"/>
    <w:bookmarkEnd w:id="29"/>
    <w:p>
      <w:pPr>
        <w:ind w:right="320" w:firstLine="162"/>
        <w:spacing w:after="0" w:line="313" w:lineRule="auto"/>
        <w:rPr>
          <w:sz w:val="20"/>
          <w:szCs w:val="20"/>
          <w:color w:val="auto"/>
        </w:rPr>
      </w:pPr>
      <w:r>
        <w:rPr>
          <w:rFonts w:ascii="Times New Roman" w:cs="Times New Roman" w:eastAsia="Times New Roman" w:hAnsi="Times New Roman"/>
          <w:sz w:val="17"/>
          <w:szCs w:val="17"/>
          <w:color w:val="auto"/>
        </w:rPr>
        <w:t>As of March 31, 2017, no liability has been recognized with respect to any lawsuits involving the Company related to the 3T Heater Cooler. For further information, please refer to “Note 8. Commitments and Contingencies” in our consolidated financial statements included in this Report on Form 10-Q.</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 Update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119"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will be required to obtain appropriate U.S. and international regulatory approvals, and clinical studies may be a prerequisite to regulatory approvals for some products. We recently submitted our application to the FDA for Sentiva. Sentiva will be our newest VNS Therapy device and will incorporate the same technology as AspireSR, but will be smaller in size - more akin to the Demi Pulse. We anticipate approval of the device in the latter part of 2017.</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Depression</w:t>
      </w:r>
    </w:p>
    <w:p>
      <w:pPr>
        <w:spacing w:after="0" w:line="119" w:lineRule="exact"/>
        <w:rPr>
          <w:sz w:val="20"/>
          <w:szCs w:val="20"/>
          <w:color w:val="auto"/>
        </w:rPr>
      </w:pPr>
    </w:p>
    <w:p>
      <w:pPr>
        <w:ind w:right="140" w:firstLine="162"/>
        <w:spacing w:after="0" w:line="266" w:lineRule="auto"/>
        <w:rPr>
          <w:sz w:val="20"/>
          <w:szCs w:val="20"/>
          <w:color w:val="auto"/>
        </w:rPr>
      </w:pPr>
      <w:r>
        <w:rPr>
          <w:rFonts w:ascii="Times New Roman" w:cs="Times New Roman" w:eastAsia="Times New Roman" w:hAnsi="Times New Roman"/>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to traditional treatment methods is effective in reducing symptoms in patients with treatment-resistant depression.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Cardiac Rhythm Management (“CRM”) Update</w:t>
      </w:r>
    </w:p>
    <w:p>
      <w:pPr>
        <w:spacing w:after="0" w:line="112" w:lineRule="exact"/>
        <w:rPr>
          <w:sz w:val="20"/>
          <w:szCs w:val="20"/>
          <w:color w:val="auto"/>
        </w:rPr>
      </w:pPr>
    </w:p>
    <w:p>
      <w:pPr>
        <w:ind w:right="120" w:firstLine="162"/>
        <w:spacing w:after="0" w:line="228" w:lineRule="auto"/>
        <w:rPr>
          <w:sz w:val="20"/>
          <w:szCs w:val="20"/>
          <w:color w:val="auto"/>
        </w:rPr>
      </w:pPr>
      <w:r>
        <w:rPr>
          <w:rFonts w:ascii="Times New Roman" w:cs="Times New Roman" w:eastAsia="Times New Roman" w:hAnsi="Times New Roman"/>
          <w:sz w:val="18"/>
          <w:szCs w:val="18"/>
          <w:color w:val="auto"/>
        </w:rPr>
        <w:t>In January 2016, we announced that we received regulatory approval to market the KORA 250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 Japan. The KORA 250 is a full body MRI conditional pacemaker and is equipped with our proprietary Automatic MRI mode. In addition, the device is designed to proactively manage comorbidities, including SafeR and the ability to monitor patients for severe sleep apnea using Sleep Apnea Monitoring (“SAM”).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Activities and New Ventures Update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Heart failure</w:t>
      </w:r>
    </w:p>
    <w:p>
      <w:pPr>
        <w:spacing w:after="0" w:line="119" w:lineRule="exact"/>
        <w:rPr>
          <w:sz w:val="20"/>
          <w:szCs w:val="20"/>
          <w:color w:val="auto"/>
        </w:rPr>
      </w:pPr>
    </w:p>
    <w:p>
      <w:pPr>
        <w:ind w:right="460" w:firstLine="162"/>
        <w:spacing w:after="0" w:line="282" w:lineRule="auto"/>
        <w:rPr>
          <w:sz w:val="20"/>
          <w:szCs w:val="20"/>
          <w:color w:val="auto"/>
        </w:rPr>
      </w:pPr>
      <w:r>
        <w:rPr>
          <w:rFonts w:ascii="Times New Roman" w:cs="Times New Roman" w:eastAsia="Times New Roman" w:hAnsi="Times New Roman"/>
          <w:sz w:val="18"/>
          <w:szCs w:val="18"/>
          <w:color w:val="auto"/>
        </w:rPr>
        <w:t>New Ventures is primarily focused on the development and clinical testing of the VITARIA®™ System for treating heart failure through vagus nerve stimulation.</w:t>
      </w:r>
    </w:p>
    <w:p>
      <w:pPr>
        <w:spacing w:after="0" w:line="54" w:lineRule="exact"/>
        <w:rPr>
          <w:sz w:val="20"/>
          <w:szCs w:val="20"/>
          <w:color w:val="auto"/>
        </w:rPr>
      </w:pPr>
    </w:p>
    <w:p>
      <w:pPr>
        <w:ind w:right="100" w:firstLine="162"/>
        <w:spacing w:after="0" w:line="254" w:lineRule="auto"/>
        <w:rPr>
          <w:sz w:val="20"/>
          <w:szCs w:val="20"/>
          <w:color w:val="auto"/>
        </w:rPr>
      </w:pPr>
      <w:r>
        <w:rPr>
          <w:rFonts w:ascii="Times New Roman" w:cs="Times New Roman" w:eastAsia="Times New Roman" w:hAnsi="Times New Roman"/>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 without the patient kit with magnets. We conducted a pilot study, ANTHEM-HF, outside the United States, which concluded during 2014. The study results support the safety and efficacy of ART delivered by the VITARIA®™ System. We submitted the results to our European Notified Body, DEKRA, and on February 20, 2015, we received CE Mark approval. The VITARIA®™ System is not available in the U.S. During 2014, we also initiated a second pilot study, ANTHEM-HFpEF, to study ART in patients experiencing symptomatic heart failure with preserved ejection fraction. This pilot study is currently underway outside the United States.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Sleep Apnea</w:t>
      </w:r>
    </w:p>
    <w:p>
      <w:pPr>
        <w:spacing w:after="0" w:line="119" w:lineRule="exact"/>
        <w:rPr>
          <w:sz w:val="20"/>
          <w:szCs w:val="20"/>
          <w:color w:val="auto"/>
        </w:rPr>
      </w:pPr>
    </w:p>
    <w:p>
      <w:pPr>
        <w:jc w:val="both"/>
        <w:ind w:right="380" w:firstLine="162"/>
        <w:spacing w:after="0" w:line="266" w:lineRule="auto"/>
        <w:rPr>
          <w:sz w:val="20"/>
          <w:szCs w:val="20"/>
          <w:color w:val="auto"/>
        </w:rPr>
      </w:pPr>
      <w:r>
        <w:rPr>
          <w:rFonts w:ascii="Times New Roman" w:cs="Times New Roman" w:eastAsia="Times New Roman" w:hAnsi="Times New Roman"/>
          <w:sz w:val="18"/>
          <w:szCs w:val="18"/>
          <w:color w:val="auto"/>
        </w:rPr>
        <w:t>ImThera Medical, Inc. (“ImThera”) is a privately held, emerging-growth, company developing an implantable neurostimulation device system for the treatment of obstructive sleep apnea. We have an investment of $12.0 million in ImThera, and during the three months ended March 31, 2017, we loaned ImThera $1.0 million to fund operating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Mitral valve regurgitation</w:t>
      </w:r>
    </w:p>
    <w:p>
      <w:pPr>
        <w:spacing w:after="0" w:line="119"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Mitral regurgitation occurs when the heart’s mitral valve does not close tightly, which allows blood to flow backwards in the heart. This reduces the amount of blood that flows to the rest of the body, making the patient feel tired or out of breath. Treatment depends on the nature and the severity of mitral regurgitation. In certain cases, heart surgery may be needed to repair or replace the valve. Left untreated, severe mitral valve regurgitation can cause heart failure or heart rhythm problems (arrhythmias). We are invested in three mitral valve startups. Cardiosolutions Inc., a startup headquartered in the U.S. in which we have held an interest since 2012, is developing an innovative Spacer technology for treating mitral regurgitation. In addition, Highlife S.A.S. (“Highlife”), headquartered in France, and Caisson Interventional LLC (“Caisson”), headquartered in the U.S., are two companies focused on developing devices for treating mitral regurgitation through percutaneous replacement</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688" w:right="259" w:bottom="1440" w:gutter="0" w:footer="0" w:header="0"/>
        </w:sectPr>
      </w:pPr>
    </w:p>
    <w:bookmarkStart w:id="30" w:name="page31"/>
    <w:bookmarkEnd w:id="30"/>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of the native mitral valve. Although both companies are focused on mitral valve replacement, their devices differ significantly in both the delivery system (transapical versus transfemoral) and the anchoring system. In 2016, both Caisson and Highlife completed their first human implants in feasibility clinical studies. We invested $8.5 million in Caisson and $5.3 million in Highlife in 2016 to fund product development and clinical studies.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 and Critical Accounting Estimates</w:t>
      </w:r>
    </w:p>
    <w:p>
      <w:pPr>
        <w:spacing w:after="0" w:line="112" w:lineRule="exact"/>
        <w:rPr>
          <w:sz w:val="20"/>
          <w:szCs w:val="20"/>
          <w:color w:val="auto"/>
        </w:rPr>
      </w:pPr>
    </w:p>
    <w:p>
      <w:pPr>
        <w:ind w:right="20" w:firstLine="16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the information provided in “Part II, Item 7. Management’s Discussion and Analysis of Financial Condition and Results of Operations” included in our 2016 Form 10-K. The accompanying unaudited condensed consolidated financial statements of LivaNova and its consolidated subsidiaries have been prepared in accordance with U.S. GAAP on an interim basis.</w:t>
      </w:r>
    </w:p>
    <w:p>
      <w:pPr>
        <w:spacing w:after="0" w:line="68" w:lineRule="exact"/>
        <w:rPr>
          <w:sz w:val="20"/>
          <w:szCs w:val="20"/>
          <w:color w:val="auto"/>
        </w:rPr>
      </w:pPr>
    </w:p>
    <w:p>
      <w:pPr>
        <w:ind w:right="640" w:firstLine="162"/>
        <w:spacing w:after="0" w:line="282" w:lineRule="auto"/>
        <w:rPr>
          <w:sz w:val="20"/>
          <w:szCs w:val="20"/>
          <w:color w:val="auto"/>
        </w:rPr>
      </w:pPr>
      <w:r>
        <w:rPr>
          <w:rFonts w:ascii="Times New Roman" w:cs="Times New Roman" w:eastAsia="Times New Roman" w:hAnsi="Times New Roman"/>
          <w:sz w:val="18"/>
          <w:szCs w:val="18"/>
          <w:color w:val="auto"/>
        </w:rPr>
        <w:t>New accounting pronouncements are disclosed in “Note 14. New Accounting Pronouncements” contained in the condensed consolidated financial statements in this Quarterly Report on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112"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On June 23, 2016, the United Kingdom (the “U.K.”) held a referendum in which voters approved an exit from the European Union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76"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72"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Several of our wholly owned subsidiaries that are domiciled either in the U.K., various EU Member States, or in the United Sates, and our parent company, LivaNova PLC,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 planning strategies that may mitigate or eliminate any such potential adverse impact. We will not account for the impact of Brexit in our income tax provisions until changes in tax laws or treaties between the U.K. and the EU or individual EU Member States are enacted or the withdrawal becomes effective.</w:t>
      </w:r>
    </w:p>
    <w:p>
      <w:pPr>
        <w:spacing w:after="0" w:line="77"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The Trump Administration has included as part of its agenda a potential reform of U.S. tax laws. In addition, the “Tax Reform Blueprint” published by the House of Representatives includes a framework of various issues that may affect our future tax position including, but not limited to, a reduction in the corporate tax rate, elimination of the interest deduction and border adjustability. The content of any final legislation, the timing for enactment, and the reporting periods that would be impacted cannot be determined at this time.</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688"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color w:val="auto"/>
        </w:rPr>
        <w:t>Results of Operations</w:t>
      </w:r>
    </w:p>
    <w:p>
      <w:pPr>
        <w:spacing w:after="0" w:line="112" w:lineRule="exact"/>
        <w:rPr>
          <w:sz w:val="20"/>
          <w:szCs w:val="20"/>
          <w:color w:val="auto"/>
        </w:rPr>
      </w:pPr>
    </w:p>
    <w:p>
      <w:pPr>
        <w:ind w:right="200" w:firstLine="162"/>
        <w:spacing w:after="0" w:line="282" w:lineRule="auto"/>
        <w:rPr>
          <w:sz w:val="20"/>
          <w:szCs w:val="20"/>
          <w:color w:val="auto"/>
        </w:rPr>
      </w:pPr>
      <w:r>
        <w:rPr>
          <w:rFonts w:ascii="Times New Roman" w:cs="Times New Roman" w:eastAsia="Times New Roman" w:hAnsi="Times New Roman"/>
          <w:sz w:val="18"/>
          <w:szCs w:val="18"/>
          <w:color w:val="auto"/>
        </w:rPr>
        <w:t>We are reporting, in this Quarterly Report on Form 10-Q, the results for LivaNova and its consolidated subsidiaries for the three months ended March 31, 2017, as compared to the three months ended March 31, 2016.</w:t>
      </w:r>
    </w:p>
    <w:p>
      <w:pPr>
        <w:spacing w:after="0" w:line="54" w:lineRule="exact"/>
        <w:rPr>
          <w:sz w:val="20"/>
          <w:szCs w:val="20"/>
          <w:color w:val="auto"/>
        </w:rPr>
      </w:pPr>
    </w:p>
    <w:p>
      <w:pPr>
        <w:ind w:right="48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results of operations for the three months ended March 31, 2017 and March 31,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8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2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286,969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101,463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123,567</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remediation</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184,434</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162,696</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112,397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115,866</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29,651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6,761</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28,592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15,892</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165,820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198,801</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18,614</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(36,105)</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and other gains (losses)</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20,011</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(38,919)</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(40,378)</w:t>
            </w: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Sales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illustrates net sales by operating segment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Cardiac Surgery</w:t>
            </w:r>
          </w:p>
        </w:tc>
        <w:tc>
          <w:tcPr>
            <w:tcW w:w="2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143,443</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Neuromodulation</w:t>
            </w: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81,358</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61,731</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286,969</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20" w:type="dxa"/>
            <w:vAlign w:val="bottom"/>
          </w:tcPr>
          <w:p>
            <w:pPr>
              <w:spacing w:after="0"/>
              <w:rPr>
                <w:sz w:val="24"/>
                <w:szCs w:val="24"/>
                <w:color w:val="auto"/>
              </w:rPr>
            </w:pP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7" w:right="2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color w:val="auto"/>
        </w:rPr>
        <w:t>The table below illustrates net sales by market geography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Cardiac Surgery</w:t>
            </w: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40,920</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4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42,864</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59,659</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139,204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143,443</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70,242</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6,355</w:t>
            </w:r>
          </w:p>
        </w:tc>
        <w:tc>
          <w:tcPr>
            <w:tcW w:w="21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24.8%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4,761</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81,358</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Cardiac Rhythm Management</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2,966</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(17.6)%</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4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47,461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50,018</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8,747</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58,280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61,731</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21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285,105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286,969</w:t>
            </w:r>
          </w:p>
        </w:tc>
        <w:tc>
          <w:tcPr>
            <w:tcW w:w="2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those countries in Europe where LivaNova has a direct sales presence. Countries where sales are made through distributors are included in Rest of World.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Analysis of sales for the three months ended March 31, 2017, as compared to the three months ended March 31, 2016:</w:t>
      </w:r>
    </w:p>
    <w:p>
      <w:pPr>
        <w:spacing w:after="0" w:line="117" w:lineRule="exact"/>
        <w:rPr>
          <w:sz w:val="20"/>
          <w:szCs w:val="20"/>
          <w:color w:val="auto"/>
        </w:rPr>
      </w:pPr>
    </w:p>
    <w:p>
      <w:pPr>
        <w:ind w:left="340" w:right="80" w:firstLine="162"/>
        <w:spacing w:after="0" w:line="282" w:lineRule="auto"/>
        <w:rPr>
          <w:sz w:val="20"/>
          <w:szCs w:val="20"/>
          <w:color w:val="auto"/>
        </w:rPr>
      </w:pPr>
      <w:r>
        <w:rPr>
          <w:rFonts w:ascii="Times New Roman" w:cs="Times New Roman" w:eastAsia="Times New Roman" w:hAnsi="Times New Roman"/>
          <w:sz w:val="18"/>
          <w:szCs w:val="18"/>
          <w:color w:val="auto"/>
        </w:rPr>
        <w:t>Cardiac Surgery sales decreased by 3.0% due to increased sales of the INSPIRE family of oxygenators, increased sales in Perceval, our new sutureless valve, offset by lower heart lung machine sales in all geographies and decreased sales in traditional mechanical heart valves</w:t>
      </w:r>
    </w:p>
    <w:p>
      <w:pPr>
        <w:spacing w:after="0" w:line="54" w:lineRule="exact"/>
        <w:rPr>
          <w:sz w:val="20"/>
          <w:szCs w:val="20"/>
          <w:color w:val="auto"/>
        </w:rPr>
      </w:pPr>
    </w:p>
    <w:p>
      <w:pPr>
        <w:ind w:left="340" w:right="80" w:firstLine="162"/>
        <w:spacing w:after="0" w:line="266" w:lineRule="auto"/>
        <w:rPr>
          <w:sz w:val="20"/>
          <w:szCs w:val="20"/>
          <w:color w:val="auto"/>
        </w:rPr>
      </w:pPr>
      <w:r>
        <w:rPr>
          <w:rFonts w:ascii="Times New Roman" w:cs="Times New Roman" w:eastAsia="Times New Roman" w:hAnsi="Times New Roman"/>
          <w:sz w:val="18"/>
          <w:szCs w:val="18"/>
          <w:color w:val="auto"/>
        </w:rPr>
        <w:t>Sales for Neuromodulation increased by 7.1%. U.S. sales increased by 4.9% and Europe sales increased by 24.8% due to increased demand and improved pricing for the Aspire SR. Rest of World sales increase by 17.0% due primarily due to a change in our sales distribution model from indirect to direct, in Canada and Australia, during the second and third quarters of fiscal year 2016, respectively.</w:t>
      </w:r>
    </w:p>
    <w:p>
      <w:pPr>
        <w:spacing w:after="0" w:line="68" w:lineRule="exact"/>
        <w:rPr>
          <w:sz w:val="20"/>
          <w:szCs w:val="20"/>
          <w:color w:val="auto"/>
        </w:rPr>
      </w:pPr>
    </w:p>
    <w:p>
      <w:pPr>
        <w:ind w:left="340" w:right="120" w:firstLine="162"/>
        <w:spacing w:after="0" w:line="266" w:lineRule="auto"/>
        <w:rPr>
          <w:sz w:val="20"/>
          <w:szCs w:val="20"/>
          <w:color w:val="auto"/>
        </w:rPr>
      </w:pPr>
      <w:r>
        <w:rPr>
          <w:rFonts w:ascii="Times New Roman" w:cs="Times New Roman" w:eastAsia="Times New Roman" w:hAnsi="Times New Roman"/>
          <w:sz w:val="18"/>
          <w:szCs w:val="18"/>
          <w:color w:val="auto"/>
        </w:rPr>
        <w:t>Cardiac Rhythm Management sales decreased by 5.6% primarily due to pricing pressure in the U.S. and Europe. Sales remained relatively flat in Rest of World, as increased sales of cardiac resynchronization therapy devices (“CRT-D”), due to the SonR study positive outcome and IS-4 approval, and increased sales in Japan, due to the KORA 250 launch, were offset by declines in other areas.</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table below illustrates our comparative cost of sales and major expenses as a percentage of sales: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56"/>
        </w:trPr>
        <w:tc>
          <w:tcPr>
            <w:tcW w:w="574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80" w:type="dxa"/>
            <w:vAlign w:val="bottom"/>
          </w:tcPr>
          <w:p>
            <w:pPr>
              <w:spacing w:after="0"/>
              <w:rPr>
                <w:sz w:val="24"/>
                <w:szCs w:val="24"/>
                <w:color w:val="auto"/>
              </w:rPr>
            </w:pPr>
          </w:p>
        </w:tc>
      </w:tr>
      <w:tr>
        <w:trPr>
          <w:trHeight w:val="238"/>
        </w:trPr>
        <w:tc>
          <w:tcPr>
            <w:tcW w:w="574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remediation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5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57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2" w:lineRule="exact"/>
        <w:rPr>
          <w:sz w:val="20"/>
          <w:szCs w:val="20"/>
          <w:color w:val="auto"/>
        </w:rPr>
      </w:pPr>
    </w:p>
    <w:p>
      <w:pPr>
        <w:jc w:val="both"/>
        <w:ind w:right="100" w:firstLine="162"/>
        <w:spacing w:after="0" w:line="261" w:lineRule="auto"/>
        <w:rPr>
          <w:sz w:val="20"/>
          <w:szCs w:val="20"/>
          <w:color w:val="auto"/>
        </w:rPr>
      </w:pPr>
      <w:r>
        <w:rPr>
          <w:rFonts w:ascii="Times New Roman" w:cs="Times New Roman" w:eastAsia="Times New Roman" w:hAnsi="Times New Roman"/>
          <w:sz w:val="18"/>
          <w:szCs w:val="18"/>
          <w:color w:val="auto"/>
        </w:rPr>
        <w:t>Cost of sales consisted primarily of direct labor, allocated manufacturing overhead, the acquisition cost of raw materials and components. Our cost of sales as a percentage of net sales decreased by 7.5% to 35.6% for the three months ended March 31, 2017 as compared to the prior year period. This decrease was primarily due to the amortization of the step-up in inventory basis at the Mergers of $21.3 million that accounted for 7.4% of our cost of sales as a percent of net sales for the three months ended March 31, 2016. The amortization of the step-up in inventory basis was fully amortized in 2016.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Merger and Integration Expenses</w:t>
      </w:r>
    </w:p>
    <w:p>
      <w:pPr>
        <w:spacing w:after="0" w:line="112" w:lineRule="exact"/>
        <w:rPr>
          <w:sz w:val="20"/>
          <w:szCs w:val="20"/>
          <w:color w:val="auto"/>
        </w:rPr>
      </w:pPr>
    </w:p>
    <w:p>
      <w:pPr>
        <w:ind w:right="60" w:firstLine="162"/>
        <w:spacing w:after="0" w:line="266" w:lineRule="auto"/>
        <w:rPr>
          <w:sz w:val="20"/>
          <w:szCs w:val="20"/>
          <w:color w:val="auto"/>
        </w:rPr>
      </w:pPr>
      <w:r>
        <w:rPr>
          <w:rFonts w:ascii="Times New Roman" w:cs="Times New Roman" w:eastAsia="Times New Roman" w:hAnsi="Times New Roman"/>
          <w:sz w:val="18"/>
          <w:szCs w:val="18"/>
          <w:color w:val="auto"/>
        </w:rPr>
        <w:t>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68" w:lineRule="exact"/>
        <w:rPr>
          <w:sz w:val="20"/>
          <w:szCs w:val="20"/>
          <w:color w:val="auto"/>
        </w:rPr>
      </w:pPr>
    </w:p>
    <w:p>
      <w:pPr>
        <w:ind w:right="680" w:firstLine="162"/>
        <w:spacing w:after="0" w:line="282" w:lineRule="auto"/>
        <w:rPr>
          <w:sz w:val="20"/>
          <w:szCs w:val="20"/>
          <w:color w:val="auto"/>
        </w:rPr>
      </w:pPr>
      <w:r>
        <w:rPr>
          <w:rFonts w:ascii="Times New Roman" w:cs="Times New Roman" w:eastAsia="Times New Roman" w:hAnsi="Times New Roman"/>
          <w:sz w:val="18"/>
          <w:szCs w:val="18"/>
          <w:color w:val="auto"/>
        </w:rPr>
        <w:t>Merger and integration expenses as a percentage of net sales decreased by 1.6% to 0.8% of net sales for the three months ended March 31, 2017 as compared to the prior year period as a result of a decrease in merger related activities, partially offset by an increase in integration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Restructuring Expenses</w:t>
      </w:r>
    </w:p>
    <w:p>
      <w:pPr>
        <w:spacing w:after="0" w:line="112"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Restructuring expenses were primarily due to our efforts under our 2015 and 2016 Reorganization Plans to leverage economies of scale, eliminate duplicate corporate expenses and streamline distributions, logistics and office functions in order to reduce overall costs. Restructuring expenses as a percentage of net sales decreased by 6.4% to 3.6% of net sales for the three months ended March 31, 2017 as compared to the prior year period, due to a decrease in restructuring activities.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Restructuring expenses for the three months ended March 31, 2017 included $5.1 million in expenses related to our plan to sell our Suzhou, China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12" w:lineRule="exact"/>
        <w:rPr>
          <w:sz w:val="20"/>
          <w:szCs w:val="20"/>
          <w:color w:val="auto"/>
        </w:rPr>
      </w:pPr>
    </w:p>
    <w:p>
      <w:pPr>
        <w:jc w:val="both"/>
        <w:ind w:right="40" w:firstLine="162"/>
        <w:spacing w:after="0" w:line="266" w:lineRule="auto"/>
        <w:rPr>
          <w:sz w:val="20"/>
          <w:szCs w:val="20"/>
          <w:color w:val="auto"/>
        </w:rPr>
      </w:pPr>
      <w:r>
        <w:rPr>
          <w:rFonts w:ascii="Times New Roman" w:cs="Times New Roman" w:eastAsia="Times New Roman" w:hAnsi="Times New Roman"/>
          <w:sz w:val="18"/>
          <w:szCs w:val="18"/>
          <w:color w:val="auto"/>
        </w:rPr>
        <w:t>We incurred interest expense of $2.3 million for the three months ended March 31, 2017, primarily related to our bank debt and income tax related interest expense for our inter-company sale of intellectual property, as compared to $1.2 million of interest expense for the prior year period, primarily related to bank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Gains (Losses)</w:t>
      </w:r>
    </w:p>
    <w:p>
      <w:pPr>
        <w:spacing w:after="0" w:line="112" w:lineRule="exact"/>
        <w:rPr>
          <w:sz w:val="20"/>
          <w:szCs w:val="20"/>
          <w:color w:val="auto"/>
        </w:rPr>
      </w:pPr>
    </w:p>
    <w:p>
      <w:pPr>
        <w:ind w:right="60" w:firstLine="162"/>
        <w:spacing w:after="0" w:line="266" w:lineRule="auto"/>
        <w:rPr>
          <w:sz w:val="20"/>
          <w:szCs w:val="20"/>
          <w:color w:val="auto"/>
        </w:rPr>
      </w:pPr>
      <w:r>
        <w:rPr>
          <w:rFonts w:ascii="Times New Roman" w:cs="Times New Roman" w:eastAsia="Times New Roman" w:hAnsi="Times New Roman"/>
          <w:sz w:val="18"/>
          <w:szCs w:val="18"/>
          <w:color w:val="auto"/>
        </w:rPr>
        <w:t>Foreign exchange and other gains (losses) for the three months ended March 31, 2017 included a $3.2 million gain on a sale of a cost-method investment. During the three months ended March 31, 2016, we incurred net FX losses of $1.8 million, primarily related to losses from freestanding FX forward currency contracts and FX losses on commercial transactions, partially offset by net FX gains on intercompany loans and third party assets and liabilities.</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9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Income Taxes</w:t>
      </w:r>
    </w:p>
    <w:p>
      <w:pPr>
        <w:spacing w:after="0" w:line="11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2" w:lineRule="exact"/>
        <w:rPr>
          <w:sz w:val="20"/>
          <w:szCs w:val="20"/>
          <w:color w:val="auto"/>
        </w:rPr>
      </w:pPr>
    </w:p>
    <w:p>
      <w:pPr>
        <w:ind w:right="540" w:firstLine="16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and March 31, 2016, we recorded income tax expense of $5.7 million and income tax benefit of $1.3 million, respectively, with effective income tax rates of 28.3% and 3.2%, respectively.</w:t>
      </w:r>
    </w:p>
    <w:p>
      <w:pPr>
        <w:spacing w:after="0" w:line="54" w:lineRule="exact"/>
        <w:rPr>
          <w:sz w:val="20"/>
          <w:szCs w:val="20"/>
          <w:color w:val="auto"/>
        </w:rPr>
      </w:pPr>
    </w:p>
    <w:p>
      <w:pPr>
        <w:ind w:right="240" w:firstLine="162"/>
        <w:spacing w:after="0" w:line="266" w:lineRule="auto"/>
        <w:rPr>
          <w:sz w:val="20"/>
          <w:szCs w:val="20"/>
          <w:color w:val="auto"/>
        </w:rPr>
      </w:pPr>
      <w:r>
        <w:rPr>
          <w:rFonts w:ascii="Times New Roman" w:cs="Times New Roman" w:eastAsia="Times New Roman" w:hAnsi="Times New Roman"/>
          <w:sz w:val="18"/>
          <w:szCs w:val="18"/>
          <w:color w:val="auto"/>
        </w:rPr>
        <w:t>Our consolidated effective income tax rate for the three months ended March 31, 2017, includes the impact of various discrete tax items, including the recognition of a $3.0 million deferred tax asset related to a reserve for an uncertain tax position recognized in a prior year. Excluding the impact of discrete tax items, our consolidated effective income tax rate for the three months ended March 31, 2017 and March 31, 2016 was 41.6% and 3.2%, respectively.</w:t>
      </w:r>
    </w:p>
    <w:p>
      <w:pPr>
        <w:spacing w:after="0" w:line="68" w:lineRule="exact"/>
        <w:rPr>
          <w:sz w:val="20"/>
          <w:szCs w:val="20"/>
          <w:color w:val="auto"/>
        </w:rPr>
      </w:pPr>
    </w:p>
    <w:p>
      <w:pPr>
        <w:ind w:right="140" w:firstLine="162"/>
        <w:spacing w:after="0" w:line="261" w:lineRule="auto"/>
        <w:rPr>
          <w:sz w:val="20"/>
          <w:szCs w:val="20"/>
          <w:color w:val="auto"/>
        </w:rPr>
      </w:pPr>
      <w:r>
        <w:rPr>
          <w:rFonts w:ascii="Times New Roman" w:cs="Times New Roman" w:eastAsia="Times New Roman" w:hAnsi="Times New Roman"/>
          <w:sz w:val="18"/>
          <w:szCs w:val="18"/>
          <w:color w:val="auto"/>
        </w:rPr>
        <w:t>Our consolidated effective tax rate, excluding discrete tax items, for the three months ended March 31, 2017, includes the full year impact in 2017 of the consolidation of our intangible assets into an entity organized under the laws of England and Wales, which was not effective until the end of the second quarter of 2016. Our consolidated effective income tax rate, excluding discrete tax items, for the three months ended March 31, 2016 was impacted by $32.0 million of unbenefited net operating losses in certain tax jurisdictions.</w:t>
      </w:r>
    </w:p>
    <w:p>
      <w:pPr>
        <w:spacing w:after="0" w:line="72" w:lineRule="exact"/>
        <w:rPr>
          <w:sz w:val="20"/>
          <w:szCs w:val="20"/>
          <w:color w:val="auto"/>
        </w:rPr>
      </w:pPr>
    </w:p>
    <w:p>
      <w:pPr>
        <w:ind w:right="20" w:firstLine="162"/>
        <w:spacing w:after="0" w:line="258" w:lineRule="auto"/>
        <w:rPr>
          <w:sz w:val="20"/>
          <w:szCs w:val="20"/>
          <w:color w:val="auto"/>
        </w:rPr>
      </w:pPr>
      <w:r>
        <w:rPr>
          <w:rFonts w:ascii="Times New Roman" w:cs="Times New Roman" w:eastAsia="Times New Roman" w:hAnsi="Times New Roman"/>
          <w:sz w:val="18"/>
          <w:szCs w:val="18"/>
          <w:color w:val="auto"/>
        </w:rPr>
        <w:t>On October 13, 2016, the U.S. IRS and U.S. Treasury Department released final and temporary regulations under section 385. In response to comments, the final regulations significantly narrow the scope of the proposed regulations previously issued on April 4, 2016. Like the proposed regulations, the final regulations establish extensive documentation requirements that must be satisfied for a debt instrument to constitute debt for U.S. federal tax purposes and re-characterizes a debt instrument as stock if the instrument is issued in one of a number of specified transactions. Moreover, while these new rules are not retroactive, they will impact our future intercompany transactions and our ability to engage in future restructuring.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Losses from Equity Method Investments</w:t>
      </w:r>
    </w:p>
    <w:p>
      <w:pPr>
        <w:spacing w:after="0" w:line="112" w:lineRule="exact"/>
        <w:rPr>
          <w:sz w:val="20"/>
          <w:szCs w:val="20"/>
          <w:color w:val="auto"/>
        </w:rPr>
      </w:pPr>
    </w:p>
    <w:p>
      <w:pPr>
        <w:jc w:val="both"/>
        <w:ind w:right="180" w:firstLine="162"/>
        <w:spacing w:after="0" w:line="261" w:lineRule="auto"/>
        <w:rPr>
          <w:sz w:val="20"/>
          <w:szCs w:val="20"/>
          <w:color w:val="auto"/>
        </w:rPr>
      </w:pPr>
      <w:r>
        <w:rPr>
          <w:rFonts w:ascii="Times New Roman" w:cs="Times New Roman" w:eastAsia="Times New Roman" w:hAnsi="Times New Roman"/>
          <w:sz w:val="18"/>
          <w:szCs w:val="18"/>
          <w:color w:val="auto"/>
        </w:rPr>
        <w:t>We recognized losses of $3.1 million during the three months ended March 31, 2017 from our share of investee losses at Highlife, Caisson and MicroPort and $2.7 million during the three months ended March 31, 2016 due to losses from the same private medical start-up companies as well as Respicardia. We accounted for Respicardia as an equity method investment through November 2016, and then due to a loss of our significant influence over Respicardia, we began accounting for our investment in Respicardia as a cost method investment.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6" w:lineRule="exact"/>
        <w:rPr>
          <w:sz w:val="20"/>
          <w:szCs w:val="20"/>
          <w:color w:val="auto"/>
        </w:rPr>
      </w:pPr>
    </w:p>
    <w:p>
      <w:pPr>
        <w:jc w:val="both"/>
        <w:ind w:right="240" w:firstLine="162"/>
        <w:spacing w:after="0" w:line="257" w:lineRule="auto"/>
        <w:rPr>
          <w:sz w:val="20"/>
          <w:szCs w:val="20"/>
          <w:color w:val="auto"/>
        </w:rPr>
      </w:pPr>
      <w:r>
        <w:rPr>
          <w:rFonts w:ascii="Times New Roman" w:cs="Times New Roman" w:eastAsia="Times New Roman" w:hAnsi="Times New Roman"/>
          <w:sz w:val="18"/>
          <w:szCs w:val="18"/>
          <w:color w:val="auto"/>
        </w:rPr>
        <w:t>Based on our current business plan, we believe that our existing cash and cash equivalents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6.</w:t>
      </w:r>
    </w:p>
    <w:p>
      <w:pPr>
        <w:spacing w:after="0" w:line="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this Quarterly Report on Form 10-Q.</w:t>
      </w:r>
    </w:p>
    <w:p>
      <w:pPr>
        <w:spacing w:after="0" w:line="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No provision has been made for income taxes on unremitted earnings of our foreign controlled subsidiaries (non-U.K. locations) as of March 31, 2017.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9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12"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080" w:type="dxa"/>
            <w:vAlign w:val="bottom"/>
          </w:tcPr>
          <w:p>
            <w:pPr>
              <w:spacing w:after="0"/>
              <w:rPr>
                <w:sz w:val="21"/>
                <w:szCs w:val="21"/>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76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46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33,207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1,272</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w:t>
            </w:r>
          </w:p>
        </w:tc>
        <w:tc>
          <w:tcPr>
            <w:tcW w:w="1460" w:type="dxa"/>
            <w:vAlign w:val="bottom"/>
            <w:tcBorders>
              <w:bottom w:val="single" w:sz="8" w:color="CCEEFF"/>
            </w:tcBorders>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Activities</w:t>
      </w:r>
    </w:p>
    <w:p>
      <w:pPr>
        <w:spacing w:after="0" w:line="112" w:lineRule="exact"/>
        <w:rPr>
          <w:sz w:val="20"/>
          <w:szCs w:val="20"/>
          <w:color w:val="auto"/>
        </w:rPr>
      </w:pPr>
    </w:p>
    <w:p>
      <w:pPr>
        <w:ind w:right="500" w:firstLine="162"/>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during the three months ended March 31, 2017 as compared to the same prior year period, is primarily the result of an increase in net income partially offset by cash payments for prior period restructuring activities during the three months ended March 31, 2017.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Investing Activities</w:t>
      </w:r>
    </w:p>
    <w:p>
      <w:pPr>
        <w:spacing w:after="0" w:line="112"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The decrease in cash used in investing activities during the the three months ended March 31, 2017, as compared to the same prior year period, is primarily the result of proceeds of $3.2 million received from the sale of a cost method investment during the quarter.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Activities</w:t>
      </w:r>
    </w:p>
    <w:p>
      <w:pPr>
        <w:spacing w:after="0" w:line="112"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The decrease in cash used in financing activities during the three months ended March 31, 2017 as compared to the same prior year period is primarily the result of the repayment of trade receivable advances and the net repayment of short-term borrowings during the same prior year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QUANTITATIVE AND QUALITATIVE DISCLOURES ABOUT MARKET RISK</w:t>
      </w:r>
    </w:p>
    <w:p>
      <w:pPr>
        <w:spacing w:after="0" w:line="116" w:lineRule="exact"/>
        <w:rPr>
          <w:sz w:val="20"/>
          <w:szCs w:val="20"/>
          <w:color w:val="auto"/>
        </w:rPr>
      </w:pPr>
    </w:p>
    <w:p>
      <w:pPr>
        <w:ind w:right="160" w:firstLine="162"/>
        <w:spacing w:after="0" w:line="258" w:lineRule="auto"/>
        <w:rPr>
          <w:sz w:val="20"/>
          <w:szCs w:val="20"/>
          <w:color w:val="auto"/>
        </w:rPr>
      </w:pPr>
      <w:r>
        <w:rPr>
          <w:rFonts w:ascii="Times New Roman" w:cs="Times New Roman" w:eastAsia="Times New Roman" w:hAnsi="Times New Roman"/>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our 2016 Form 10-K in “Part II, Item 7A Management’s Discussion and Analysis of Financial Condition and Results of Operations.” There have been no material changes from the information provided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 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73" w:lineRule="exact"/>
        <w:rPr>
          <w:sz w:val="20"/>
          <w:szCs w:val="20"/>
          <w:color w:val="auto"/>
        </w:rPr>
      </w:pPr>
    </w:p>
    <w:p>
      <w:pPr>
        <w:ind w:right="60" w:firstLine="162"/>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March 31, 2017.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73" w:lineRule="exact"/>
        <w:rPr>
          <w:sz w:val="20"/>
          <w:szCs w:val="20"/>
          <w:color w:val="auto"/>
        </w:rPr>
      </w:pPr>
    </w:p>
    <w:p>
      <w:pPr>
        <w:ind w:right="100" w:firstLine="162"/>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15d-5(f) under the Exchange Act) occurred during the quarter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9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i w:val="1"/>
          <w:iCs w:val="1"/>
          <w:color w:val="auto"/>
        </w:rPr>
        <w:t>LEGAL PROCEEDINGS</w:t>
      </w:r>
    </w:p>
    <w:p>
      <w:pPr>
        <w:spacing w:after="0" w:line="11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and regulatory proceedings and settlements, refer to “Note 8. Commitments and Contingencies – </w:t>
      </w:r>
      <w:r>
        <w:rPr>
          <w:rFonts w:ascii="Times New Roman" w:cs="Times New Roman" w:eastAsia="Times New Roman" w:hAnsi="Times New Roman"/>
          <w:sz w:val="18"/>
          <w:szCs w:val="18"/>
          <w:i w:val="1"/>
          <w:iCs w:val="1"/>
          <w:color w:val="auto"/>
        </w:rPr>
        <w:t>Litigation and Regulatory Proceedings</w:t>
      </w:r>
      <w:r>
        <w:rPr>
          <w:rFonts w:ascii="Times New Roman" w:cs="Times New Roman" w:eastAsia="Times New Roman" w:hAnsi="Times New Roman"/>
          <w:sz w:val="18"/>
          <w:szCs w:val="18"/>
          <w:color w:val="auto"/>
        </w:rPr>
        <w:t>” in our condensed consolidated financial statements included in this Report on Form 10-Q.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116" w:lineRule="exact"/>
        <w:rPr>
          <w:sz w:val="20"/>
          <w:szCs w:val="20"/>
          <w:color w:val="auto"/>
        </w:rPr>
      </w:pPr>
    </w:p>
    <w:p>
      <w:pPr>
        <w:ind w:right="80" w:firstLine="162"/>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referenced below or elsewhere in this Report on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 additional detailed discussion of risk factors that should be understood by any investor contemplating investment in our stock, please refer to “Part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 in our 2016 Form 10-K and elsewhere as described in this Report on Form 10-Q.</w:t>
      </w:r>
    </w:p>
    <w:p>
      <w:pPr>
        <w:spacing w:after="0" w:line="10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results of the United Kingdom’s referendum on withdrawal from the European Union may have a negative effect on global economic conditions, financial markets and our business, which could reduce the price of our ordinary shares.</w:t>
      </w:r>
    </w:p>
    <w:p>
      <w:pPr>
        <w:spacing w:after="0" w:line="147" w:lineRule="exact"/>
        <w:rPr>
          <w:sz w:val="20"/>
          <w:szCs w:val="20"/>
          <w:color w:val="auto"/>
        </w:rPr>
      </w:pPr>
    </w:p>
    <w:p>
      <w:pPr>
        <w:ind w:firstLine="162"/>
        <w:spacing w:after="0" w:line="256" w:lineRule="auto"/>
        <w:rPr>
          <w:sz w:val="20"/>
          <w:szCs w:val="20"/>
          <w:color w:val="auto"/>
        </w:rPr>
      </w:pPr>
      <w:r>
        <w:rPr>
          <w:rFonts w:ascii="Times New Roman" w:cs="Times New Roman" w:eastAsia="Times New Roman" w:hAnsi="Times New Roman"/>
          <w:sz w:val="18"/>
          <w:szCs w:val="18"/>
          <w:color w:val="auto"/>
        </w:rPr>
        <w:t>On June 23, 2016, the United Kingdom (the “UK”) held a referendum in which voters approved an exit from the European Union (the “EU”), commonly referred to as “Brexit.” On March 29, 2017, the UK Government gave formal notice of its intention to leave the EU, formally commencing the negotiations regarding the terms of withdrawal between the UK and the EU. The withdrawal must occur within two years, unless the deadline is extended or a withdrawal agreement is negotiated sooner.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134" w:lineRule="exact"/>
        <w:rPr>
          <w:sz w:val="20"/>
          <w:szCs w:val="20"/>
          <w:color w:val="auto"/>
        </w:rPr>
      </w:pPr>
    </w:p>
    <w:p>
      <w:pPr>
        <w:ind w:right="220" w:firstLine="162"/>
        <w:spacing w:after="0" w:line="261" w:lineRule="auto"/>
        <w:rPr>
          <w:sz w:val="20"/>
          <w:szCs w:val="20"/>
          <w:color w:val="auto"/>
        </w:rPr>
      </w:pPr>
      <w:r>
        <w:rPr>
          <w:rFonts w:ascii="Times New Roman" w:cs="Times New Roman" w:eastAsia="Times New Roman" w:hAnsi="Times New Roman"/>
          <w:sz w:val="18"/>
          <w:szCs w:val="18"/>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the withdrawal of the U.K. from the EU will have and how Brexit may affect us, our customers, suppliers, vendors, or our industry.</w:t>
      </w:r>
    </w:p>
    <w:p>
      <w:pPr>
        <w:spacing w:after="0" w:line="126"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Several of our wholly owned subsidiaries that are domiciled either in the UK, various EU Member States, or in the United Sates, and our holding company, LivaNova PLC, are party to intercompany transactions and agreements under which LivaNova receives various tax reliefs and exemptions. If certain treaties applicable to our transactions and agreements are not renegotiated or replaced with new treaties containing terms, conditions and attributes similar to those of the existing treaties, the departure of the UK from the EU may have a material adverse impact on our future financial results and results of operations. During the two-year negotiation period, LivaNova will monitor and assess the potential impact of this event and explore possible tax planning strategies that may mitigate or eliminate any such potential adverse impact. LivaNova will not account for the impact of Brexit in our income tax provisions until changes in tax laws or treaties between the UK and the EU or individual EU Member States are enacted or the withdrawal becomes effective.</w:t>
      </w:r>
    </w:p>
    <w:p>
      <w:pPr>
        <w:spacing w:after="0" w:line="1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attract and retain qualified personnel and any changes in our key personnel, including officers, could adversely affect our operations.</w:t>
      </w:r>
    </w:p>
    <w:p>
      <w:pPr>
        <w:spacing w:after="0" w:line="39" w:lineRule="exact"/>
        <w:rPr>
          <w:sz w:val="20"/>
          <w:szCs w:val="20"/>
          <w:color w:val="auto"/>
        </w:rPr>
      </w:pPr>
    </w:p>
    <w:p>
      <w:pPr>
        <w:ind w:right="100" w:firstLine="162"/>
        <w:spacing w:after="0" w:line="274" w:lineRule="auto"/>
        <w:rPr>
          <w:sz w:val="20"/>
          <w:szCs w:val="20"/>
          <w:color w:val="auto"/>
        </w:rPr>
      </w:pPr>
      <w:r>
        <w:rPr>
          <w:rFonts w:ascii="Times New Roman" w:cs="Times New Roman" w:eastAsia="Times New Roman" w:hAnsi="Times New Roman"/>
          <w:sz w:val="17"/>
          <w:szCs w:val="17"/>
          <w:color w:val="auto"/>
        </w:rPr>
        <w:t>Our employees are vital to our success and our ability to grow in the future will depend upon our ability to attract, hire and retain highly qualified employees. On March 31, 2017, we announced the resignation of Vivid Sehgal, our Chief Financial Officer, effective May 31, 2017. We are currently engaged in an ongoing effort to identify and hire a successor. We believe that we have thus far been successful in attracting and retaining qualified personnel in a highly-competitive labor market due, in large part, to our competitive compensation and benefits and our rewarding work environment, fostering employee professional training and development and providing employees with opportunities to contribute to our continued growth and success. However, our failure to attract and retain qualified personnel and any changes in our key personnel, including officers, could adversely affect our operations.</w:t>
      </w: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689"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color w:val="auto"/>
        </w:rPr>
        <w:t xml:space="preserve">ITEM 2. </w:t>
      </w:r>
      <w:r>
        <w:rPr>
          <w:rFonts w:ascii="Times New Roman" w:cs="Times New Roman" w:eastAsia="Times New Roman" w:hAnsi="Times New Roman"/>
          <w:sz w:val="19"/>
          <w:szCs w:val="19"/>
          <w:b w:val="1"/>
          <w:bCs w:val="1"/>
          <w:i w:val="1"/>
          <w:iCs w:val="1"/>
          <w:color w:val="auto"/>
        </w:rPr>
        <w:t>UNREGISTERED SALES OF EQUITY SECURITIES AND USE OF PROCEEDS</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DEFAULTS UPON SENIOR SECURITIES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OTHER INFORMATION</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219"/>
          </w:cols>
          <w:pgMar w:left="240" w:top="69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i w:val="1"/>
          <w:iCs w:val="1"/>
          <w:color w:val="auto"/>
        </w:rPr>
        <w:t>EXHIBITS</w:t>
      </w:r>
    </w:p>
    <w:p>
      <w:pPr>
        <w:spacing w:after="0" w:line="116" w:lineRule="exact"/>
        <w:rPr>
          <w:sz w:val="20"/>
          <w:szCs w:val="20"/>
          <w:color w:val="auto"/>
        </w:rPr>
      </w:pPr>
    </w:p>
    <w:p>
      <w:pPr>
        <w:ind w:right="100" w:firstLine="324"/>
        <w:spacing w:after="0" w:line="313" w:lineRule="auto"/>
        <w:rPr>
          <w:sz w:val="20"/>
          <w:szCs w:val="20"/>
          <w:color w:val="auto"/>
        </w:rPr>
      </w:pPr>
      <w:r>
        <w:rPr>
          <w:rFonts w:ascii="Times New Roman" w:cs="Times New Roman" w:eastAsia="Times New Roman" w:hAnsi="Times New Roman"/>
          <w:sz w:val="17"/>
          <w:szCs w:val="17"/>
          <w:color w:val="auto"/>
        </w:rPr>
        <w:t>The exhibits marked with the asterisk symbol (*) are filed or furnished (in the case of Exhibit 32.1) with this Report on Form 10-Q. The exhibits marked with the cross symbol (†) are management contracts or compensatory plans or arrangements filed pursuant to Item 601(b)(10)(iii) of Regulation S-K.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14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4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48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31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Report or Registration Statement</w:t>
            </w:r>
          </w:p>
        </w:tc>
        <w:tc>
          <w:tcPr>
            <w:tcW w:w="1140" w:type="dxa"/>
            <w:vAlign w:val="bottom"/>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3"/>
        </w:trPr>
        <w:tc>
          <w:tcPr>
            <w:tcW w:w="8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2.1</w:t>
            </w: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Agreement, dated March 23, 2015, by and among</w:t>
            </w: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LivaNova PLC Registration Statement</w:t>
            </w:r>
          </w:p>
        </w:tc>
        <w:tc>
          <w:tcPr>
            <w:tcW w:w="11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333-203510</w:t>
            </w:r>
          </w:p>
        </w:tc>
        <w:tc>
          <w:tcPr>
            <w:tcW w:w="14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LivaNova PLC (f/k/a Sand Holdco Limited), Cyberonics, Inc.,</w:t>
            </w: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on Form S-4, filed on April 20, 2015, as</w:t>
            </w: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Sorin S.p.A. and Cypher Merger Sub, Inc.</w:t>
            </w:r>
          </w:p>
        </w:tc>
        <w:tc>
          <w:tcPr>
            <w:tcW w:w="3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w:t>
            </w:r>
          </w:p>
        </w:tc>
        <w:tc>
          <w:tcPr>
            <w:tcW w:w="1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3.1</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 of LivaNova PLC</w:t>
            </w:r>
          </w:p>
        </w:tc>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LivaNova PLC Current Report on Form 001-37599</w:t>
            </w:r>
          </w:p>
        </w:tc>
        <w:tc>
          <w:tcPr>
            <w:tcW w:w="148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 filed on October 19, 2015</w:t>
            </w: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p>
      <w:pPr>
        <w:spacing w:after="0" w:line="36" w:lineRule="exact"/>
        <w:rPr>
          <w:sz w:val="20"/>
          <w:szCs w:val="20"/>
          <w:color w:val="auto"/>
        </w:rPr>
      </w:pPr>
    </w:p>
    <w:p>
      <w:pPr>
        <w:ind w:left="960" w:hanging="917"/>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10.62†</w:t>
      </w:r>
      <w:r>
        <w:rPr>
          <w:sz w:val="20"/>
          <w:szCs w:val="20"/>
          <w:color w:val="auto"/>
        </w:rPr>
        <w:tab/>
      </w:r>
      <w:r>
        <w:rPr>
          <w:rFonts w:ascii="Times New Roman" w:cs="Times New Roman" w:eastAsia="Times New Roman" w:hAnsi="Times New Roman"/>
          <w:sz w:val="18"/>
          <w:szCs w:val="18"/>
          <w:color w:val="auto"/>
        </w:rPr>
        <w:t>CEO Employment Agreement effective January 1, 2017 between LivaNova Plc and Mr. Damien McDonald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LivaNova Plc Currrent Report on Form 001-37599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8-K filed on February 28, 2017</w:t>
            </w:r>
          </w:p>
        </w:tc>
        <w:tc>
          <w:tcPr>
            <w:tcW w:w="540" w:type="dxa"/>
            <w:vAlign w:val="bottom"/>
          </w:tcPr>
          <w:p>
            <w:pPr>
              <w:spacing w:after="0"/>
              <w:rPr>
                <w:sz w:val="20"/>
                <w:szCs w:val="20"/>
                <w:color w:val="auto"/>
              </w:rPr>
            </w:pPr>
          </w:p>
        </w:tc>
      </w:tr>
    </w:tbl>
    <w:p>
      <w:pPr>
        <w:spacing w:after="0" w:line="36" w:lineRule="exact"/>
        <w:rPr>
          <w:sz w:val="20"/>
          <w:szCs w:val="20"/>
          <w:color w:val="auto"/>
        </w:rPr>
      </w:pPr>
    </w:p>
    <w:p>
      <w:pPr>
        <w:sectPr>
          <w:pgSz w:w="11900" w:h="16838" w:orient="portrait"/>
          <w:cols w:equalWidth="0" w:num="2">
            <w:col w:w="5640" w:space="240"/>
            <w:col w:w="5540"/>
          </w:cols>
          <w:pgMar w:left="240" w:top="693" w:right="239" w:bottom="1440" w:gutter="0" w:footer="0" w:header="0"/>
          <w:type w:val="continuous"/>
        </w:sectPr>
      </w:pPr>
    </w:p>
    <w:p>
      <w:pPr>
        <w:ind w:left="960" w:hanging="917"/>
        <w:spacing w:after="0" w:line="276" w:lineRule="auto"/>
        <w:tabs>
          <w:tab w:leader="none" w:pos="940" w:val="left"/>
        </w:tabs>
        <w:rPr>
          <w:sz w:val="20"/>
          <w:szCs w:val="20"/>
          <w:color w:val="auto"/>
        </w:rPr>
      </w:pPr>
      <w:r>
        <w:rPr>
          <w:rFonts w:ascii="Times New Roman" w:cs="Times New Roman" w:eastAsia="Times New Roman" w:hAnsi="Times New Roman"/>
          <w:sz w:val="18"/>
          <w:szCs w:val="18"/>
          <w:color w:val="auto"/>
        </w:rPr>
        <w:t>10.63†</w:t>
      </w:r>
      <w:r>
        <w:rPr>
          <w:sz w:val="20"/>
          <w:szCs w:val="20"/>
          <w:color w:val="auto"/>
        </w:rPr>
        <w:tab/>
      </w:r>
      <w:r>
        <w:rPr>
          <w:rFonts w:ascii="Times New Roman" w:cs="Times New Roman" w:eastAsia="Times New Roman" w:hAnsi="Times New Roman"/>
          <w:sz w:val="18"/>
          <w:szCs w:val="18"/>
          <w:color w:val="auto"/>
        </w:rPr>
        <w:t>Side Letter dated January 1, 2017 between LivaNova Plc and Mr. Damien McDonald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LivaNova Plc Current Report on Form  001-37599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8-K filed on February 28, 2017</w:t>
            </w:r>
          </w:p>
        </w:tc>
        <w:tc>
          <w:tcPr>
            <w:tcW w:w="54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2">
            <w:col w:w="5660" w:space="220"/>
            <w:col w:w="554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10.64†</w:t>
            </w: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2017 Short-Term Incentive Plan</w:t>
            </w:r>
          </w:p>
        </w:tc>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LivaNova Plc Current Report on Form</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001-37599</w:t>
            </w:r>
          </w:p>
        </w:tc>
        <w:tc>
          <w:tcPr>
            <w:tcW w:w="15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10.1</w:t>
            </w:r>
          </w:p>
        </w:tc>
      </w:tr>
      <w:tr>
        <w:trPr>
          <w:trHeight w:val="241"/>
        </w:trPr>
        <w:tc>
          <w:tcPr>
            <w:tcW w:w="7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8-K filed on February 28, 2017</w:t>
            </w: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10.65†</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Agreement dated April 3, 2017 between LivaNova</w:t>
            </w:r>
          </w:p>
        </w:tc>
        <w:tc>
          <w:tcPr>
            <w:tcW w:w="2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LivaNova Plc Current Report on Form</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001-37599</w:t>
            </w:r>
          </w:p>
        </w:tc>
        <w:tc>
          <w:tcPr>
            <w:tcW w:w="15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7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Plc and Mr. Jacques Gutedel</w:t>
            </w:r>
          </w:p>
        </w:tc>
        <w:tc>
          <w:tcPr>
            <w:tcW w:w="2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April 6, 2017</w:t>
            </w: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10.66†</w:t>
            </w: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Description of Payment Under the 2016 Bonus Plan</w:t>
            </w:r>
          </w:p>
        </w:tc>
        <w:tc>
          <w:tcPr>
            <w:tcW w:w="2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LivaNova Plc Current Report on Form</w:t>
            </w: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001-37599</w:t>
            </w:r>
          </w:p>
        </w:tc>
        <w:tc>
          <w:tcPr>
            <w:tcW w:w="15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8-K filed on April 25, 2017</w:t>
            </w: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10.67†*</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termination agreement of the employment contract and</w:t>
            </w:r>
          </w:p>
        </w:tc>
        <w:tc>
          <w:tcPr>
            <w:tcW w:w="2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 settlement, effective February 8, 2017, between LivaNova</w:t>
            </w:r>
          </w:p>
        </w:tc>
        <w:tc>
          <w:tcPr>
            <w:tcW w:w="2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PLC - Italian branch and Mr. Brian Sheridan</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3"/>
        </w:trPr>
        <w:tc>
          <w:tcPr>
            <w:tcW w:w="7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5"/>
        </w:trPr>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10.68†*</w:t>
            </w: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Consultancy Agreement, effective February 8, 2017, between</w:t>
            </w:r>
          </w:p>
        </w:tc>
        <w:tc>
          <w:tcPr>
            <w:tcW w:w="2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and Mr. Brian Sheridan</w:t>
            </w:r>
          </w:p>
        </w:tc>
        <w:tc>
          <w:tcPr>
            <w:tcW w:w="29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10.69†*</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Agreement effective May 31, 2017 between LivaNova</w:t>
            </w:r>
          </w:p>
        </w:tc>
        <w:tc>
          <w:tcPr>
            <w:tcW w:w="2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PLC and Vivid Sehgal</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List of Subsidiaries of LivaNova PLC</w:t>
            </w:r>
          </w:p>
        </w:tc>
        <w:tc>
          <w:tcPr>
            <w:tcW w:w="29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2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w:t>
            </w:r>
          </w:p>
        </w:tc>
        <w:tc>
          <w:tcPr>
            <w:tcW w:w="2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w:t>
            </w:r>
          </w:p>
        </w:tc>
        <w:tc>
          <w:tcPr>
            <w:tcW w:w="2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1"/>
        </w:trPr>
        <w:tc>
          <w:tcPr>
            <w:tcW w:w="7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29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5"/>
        </w:trPr>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2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 of LivaNova PLC pursuant to Section 906 of the</w:t>
            </w:r>
          </w:p>
        </w:tc>
        <w:tc>
          <w:tcPr>
            <w:tcW w:w="2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93" w:right="239" w:bottom="1440" w:gutter="0" w:footer="0" w:header="0"/>
          <w:type w:val="continuous"/>
        </w:sectPr>
      </w:pPr>
    </w:p>
    <w:bookmarkStart w:id="39" w:name="page40"/>
    <w:bookmarkEnd w:id="39"/>
    <w:p>
      <w:pPr>
        <w:ind w:left="920" w:right="4559" w:hanging="919"/>
        <w:spacing w:after="0" w:line="269" w:lineRule="auto"/>
        <w:tabs>
          <w:tab w:leader="none" w:pos="90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406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t>101*</w:t>
      </w:r>
      <w:r>
        <w:rPr>
          <w:sz w:val="20"/>
          <w:szCs w:val="20"/>
          <w:color w:val="auto"/>
        </w:rPr>
        <w:tab/>
      </w:r>
      <w:r>
        <w:rPr>
          <w:rFonts w:ascii="Times New Roman" w:cs="Times New Roman" w:eastAsia="Times New Roman" w:hAnsi="Times New Roman"/>
          <w:sz w:val="17"/>
          <w:szCs w:val="17"/>
          <w:color w:val="auto"/>
        </w:rPr>
        <w:t>Interactive Data Files Pursuant to Rule 405 of Regulation S-T: (i) the Condensed Consolidated Statement of Income (Loss) for the three months ended March 31, 2017 and March 31, 2016, (ii) the Condensed Consolidated Statement of Comprehensive Income for the three months ended March 31, 2017 and March 31, 2016,</w:t>
      </w:r>
    </w:p>
    <w:p>
      <w:pPr>
        <w:spacing w:after="0" w:line="3" w:lineRule="exact"/>
        <w:rPr>
          <w:sz w:val="20"/>
          <w:szCs w:val="20"/>
          <w:color w:val="auto"/>
        </w:rPr>
      </w:pPr>
    </w:p>
    <w:p>
      <w:pPr>
        <w:jc w:val="both"/>
        <w:ind w:left="920" w:right="4639" w:hanging="7"/>
        <w:spacing w:after="0" w:line="253" w:lineRule="auto"/>
        <w:tabs>
          <w:tab w:leader="none" w:pos="12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as of March 31, 2017 and December 31, 2016, (iv) the Condensed Consolidated Statement of Cash Flows for the three months ended March 31, 2017 and March 31, 2016, and (vi)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179"/>
          </w:cols>
          <w:pgMar w:left="280" w:top="850" w:right="1440" w:bottom="1440" w:gutter="0" w:footer="0" w:header="0"/>
        </w:sectPr>
      </w:pPr>
    </w:p>
    <w:bookmarkStart w:id="40" w:name="page41"/>
    <w:bookmarkEnd w:id="4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279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Damien McDonald</w:t>
      </w:r>
    </w:p>
    <w:p>
      <w:pPr>
        <w:spacing w:after="0" w:line="6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279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240" w:top="684" w:right="3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10.67</w:t>
      </w:r>
    </w:p>
    <w:p>
      <w:pPr>
        <w:spacing w:after="0" w:line="22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Mutual termination agreement of the employment contract and full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entered into on 8 February 2017 (the “</w:t>
      </w:r>
      <w:r>
        <w:rPr>
          <w:rFonts w:ascii="Arial" w:cs="Arial" w:eastAsia="Arial" w:hAnsi="Arial"/>
          <w:sz w:val="18"/>
          <w:szCs w:val="18"/>
          <w:b w:val="1"/>
          <w:bCs w:val="1"/>
          <w:color w:val="auto"/>
        </w:rPr>
        <w:t>Effective Date”</w:t>
      </w:r>
      <w:r>
        <w:rPr>
          <w:rFonts w:ascii="Arial" w:cs="Arial" w:eastAsia="Arial" w:hAnsi="Arial"/>
          <w:sz w:val="18"/>
          <w:szCs w:val="18"/>
          <w:color w:val="auto"/>
        </w:rPr>
        <w:t>), in Milan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LivaNova PLC - Italian branch</w:t>
      </w:r>
      <w:r>
        <w:rPr>
          <w:rFonts w:ascii="Arial" w:cs="Arial" w:eastAsia="Arial" w:hAnsi="Arial"/>
          <w:sz w:val="18"/>
          <w:szCs w:val="18"/>
          <w:color w:val="auto"/>
        </w:rPr>
        <w:t>, with registered office in Milan, Via Benigno Crespi 17, in person of Giorgio Cottura, as legal representative</w:t>
      </w:r>
    </w:p>
    <w:p>
      <w:pPr>
        <w:spacing w:after="0" w:line="229" w:lineRule="exact"/>
        <w:rPr>
          <w:sz w:val="20"/>
          <w:szCs w:val="20"/>
          <w:color w:val="auto"/>
        </w:rPr>
      </w:pPr>
    </w:p>
    <w:p>
      <w:pPr>
        <w:ind w:left="9140"/>
        <w:spacing w:after="0"/>
        <w:rPr>
          <w:sz w:val="20"/>
          <w:szCs w:val="20"/>
          <w:color w:val="auto"/>
        </w:rPr>
      </w:pPr>
      <w:r>
        <w:rPr>
          <w:rFonts w:ascii="Arial" w:cs="Arial" w:eastAsia="Arial" w:hAnsi="Arial"/>
          <w:sz w:val="17"/>
          <w:szCs w:val="17"/>
          <w:i w:val="1"/>
          <w:iCs w:val="1"/>
          <w:color w:val="auto"/>
        </w:rPr>
        <w:t>hereinafter, «The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Mr. Brian Sheridan</w:t>
      </w:r>
      <w:r>
        <w:rPr>
          <w:rFonts w:ascii="Arial" w:cs="Arial" w:eastAsia="Arial" w:hAnsi="Arial"/>
          <w:sz w:val="18"/>
          <w:szCs w:val="18"/>
          <w:color w:val="auto"/>
        </w:rPr>
        <w:t>, born in Hastings, UK on 27/09/1970, resident in Milan, Tax Code C.F. SHRBND70P27Z114V</w:t>
      </w:r>
    </w:p>
    <w:p>
      <w:pPr>
        <w:spacing w:after="0" w:line="200" w:lineRule="exact"/>
        <w:rPr>
          <w:sz w:val="20"/>
          <w:szCs w:val="20"/>
          <w:color w:val="auto"/>
        </w:rPr>
      </w:pPr>
    </w:p>
    <w:p>
      <w:pPr>
        <w:spacing w:after="0" w:line="245" w:lineRule="exact"/>
        <w:rPr>
          <w:sz w:val="20"/>
          <w:szCs w:val="20"/>
          <w:color w:val="auto"/>
        </w:rPr>
      </w:pPr>
    </w:p>
    <w:p>
      <w:pPr>
        <w:ind w:left="9120"/>
        <w:spacing w:after="0"/>
        <w:rPr>
          <w:sz w:val="20"/>
          <w:szCs w:val="20"/>
          <w:color w:val="auto"/>
        </w:rPr>
      </w:pPr>
      <w:r>
        <w:rPr>
          <w:rFonts w:ascii="Arial" w:cs="Arial" w:eastAsia="Arial" w:hAnsi="Arial"/>
          <w:sz w:val="17"/>
          <w:szCs w:val="17"/>
          <w:i w:val="1"/>
          <w:iCs w:val="1"/>
          <w:color w:val="auto"/>
        </w:rPr>
        <w:t>hereinafter, «The Executive»</w:t>
      </w:r>
    </w:p>
    <w:p>
      <w:pPr>
        <w:spacing w:after="0" w:line="200" w:lineRule="exact"/>
        <w:rPr>
          <w:sz w:val="20"/>
          <w:szCs w:val="20"/>
          <w:color w:val="auto"/>
        </w:rPr>
      </w:pPr>
    </w:p>
    <w:p>
      <w:pPr>
        <w:spacing w:after="0" w:line="25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This contract sets forth the terms and conditions of the mutual termination and the full settlement of the employment contract between the Company and the Executive.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3" w:lineRule="exact"/>
        <w:rPr>
          <w:sz w:val="20"/>
          <w:szCs w:val="20"/>
          <w:color w:val="auto"/>
        </w:rPr>
      </w:pPr>
    </w:p>
    <w:p>
      <w:pPr>
        <w:jc w:val="both"/>
        <w:ind w:left="660" w:hanging="328"/>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parties entered into an employment contract as </w:t>
      </w:r>
      <w:r>
        <w:rPr>
          <w:rFonts w:ascii="Arial" w:cs="Arial" w:eastAsia="Arial" w:hAnsi="Arial"/>
          <w:sz w:val="18"/>
          <w:szCs w:val="18"/>
          <w:i w:val="1"/>
          <w:iCs w:val="1"/>
          <w:color w:val="auto"/>
        </w:rPr>
        <w:t>dirigente</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w:t>
      </w:r>
      <w:r>
        <w:rPr>
          <w:rFonts w:ascii="Arial" w:cs="Arial" w:eastAsia="Arial" w:hAnsi="Arial"/>
          <w:sz w:val="18"/>
          <w:szCs w:val="18"/>
          <w:color w:val="auto"/>
        </w:rPr>
        <w:t>”) effective from 17 November 2003, pursuant to the CBA for executives of the industry sector (the “</w:t>
      </w:r>
      <w:r>
        <w:rPr>
          <w:rFonts w:ascii="Arial" w:cs="Arial" w:eastAsia="Arial" w:hAnsi="Arial"/>
          <w:sz w:val="18"/>
          <w:szCs w:val="18"/>
          <w:b w:val="1"/>
          <w:bCs w:val="1"/>
          <w:color w:val="auto"/>
        </w:rPr>
        <w:t>CBA</w:t>
      </w:r>
      <w:r>
        <w:rPr>
          <w:rFonts w:ascii="Arial" w:cs="Arial" w:eastAsia="Arial" w:hAnsi="Arial"/>
          <w:sz w:val="18"/>
          <w:szCs w:val="18"/>
          <w:color w:val="auto"/>
        </w:rPr>
        <w:t>”). In the course of the Employment, the Executive has been appointed as Director Corporate Legal Affairs and, finally, General Counsel, Chief Compliance Officer and Company Secretary. The Executive has also been appointed as member of the BoD of Cardiosolutions Inc., in July 2012, of Caisson Inc in July 2012, of LivaNova IP Ltd, on 23 May 2016, and as proxy holder of LivaNova Italia S.r.l from 30 september 2015, of Sorin S.p.A. from January 2004 to October 2015 (the “</w:t>
      </w:r>
      <w:r>
        <w:rPr>
          <w:rFonts w:ascii="Arial" w:cs="Arial" w:eastAsia="Arial" w:hAnsi="Arial"/>
          <w:sz w:val="18"/>
          <w:szCs w:val="18"/>
          <w:b w:val="1"/>
          <w:bCs w:val="1"/>
          <w:color w:val="auto"/>
        </w:rPr>
        <w:t>Existing Offices</w:t>
      </w:r>
      <w:r>
        <w:rPr>
          <w:rFonts w:ascii="Arial" w:cs="Arial" w:eastAsia="Arial" w:hAnsi="Arial"/>
          <w:sz w:val="18"/>
          <w:szCs w:val="18"/>
          <w:color w:val="auto"/>
        </w:rPr>
        <w:t>”). The Executive has been also appointed as member of the BoD of Sorin Group UK Limited from 29 March 2012 until 26 August 2015, of Sorin CRM Sas from 13 December 2007 to 21 December 2016 and as member of the BoD of Sand Holdco Limited from 20 February 2015 to 14 September 2015 (the “</w:t>
      </w:r>
      <w:r>
        <w:rPr>
          <w:rFonts w:ascii="Arial" w:cs="Arial" w:eastAsia="Arial" w:hAnsi="Arial"/>
          <w:sz w:val="18"/>
          <w:szCs w:val="18"/>
          <w:b w:val="1"/>
          <w:bCs w:val="1"/>
          <w:color w:val="auto"/>
        </w:rPr>
        <w:t>Offices</w:t>
      </w:r>
      <w:r>
        <w:rPr>
          <w:rFonts w:ascii="Arial" w:cs="Arial" w:eastAsia="Arial" w:hAnsi="Arial"/>
          <w:sz w:val="18"/>
          <w:szCs w:val="18"/>
          <w:color w:val="auto"/>
        </w:rPr>
        <w:t>”);</w:t>
      </w:r>
    </w:p>
    <w:p>
      <w:pPr>
        <w:spacing w:after="0" w:line="1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performing the Employment, the Executive has been entitled to participate in the incentive plans of the Company.</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70" w:lineRule="auto"/>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parties have declared their will to find an agreement for the termination of the Employment and to settle, once and for all, and to avoid any present or future claims which may arise in connection with the termination of the Employment and the Offices as regulated below, thus avoiding any legal claim in this respect.</w:t>
      </w:r>
    </w:p>
    <w:p>
      <w:pPr>
        <w:sectPr>
          <w:pgSz w:w="11900" w:h="16838" w:orient="portrait"/>
          <w:cols w:equalWidth="0" w:num="1">
            <w:col w:w="11420"/>
          </w:cols>
          <w:pgMar w:left="240" w:top="576" w:right="239" w:bottom="1440" w:gutter="0" w:footer="0" w:header="0"/>
        </w:sectPr>
      </w:pPr>
    </w:p>
    <w:bookmarkStart w:id="42" w:name="page43"/>
    <w:bookmarkEnd w:id="42"/>
    <w:p>
      <w:pPr>
        <w:ind w:left="355" w:hanging="328"/>
        <w:spacing w:after="0"/>
        <w:tabs>
          <w:tab w:leader="none" w:pos="355"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Preamble</w:t>
      </w:r>
    </w:p>
    <w:p>
      <w:pPr>
        <w:spacing w:after="0" w:line="32" w:lineRule="exact"/>
        <w:rPr>
          <w:rFonts w:ascii="Times New Roman" w:cs="Times New Roman" w:eastAsia="Times New Roman" w:hAnsi="Times New Roman"/>
          <w:sz w:val="18"/>
          <w:szCs w:val="18"/>
          <w:color w:val="auto"/>
        </w:rPr>
      </w:pPr>
    </w:p>
    <w:p>
      <w:pPr>
        <w:ind w:left="415" w:hanging="415"/>
        <w:spacing w:after="0"/>
        <w:tabs>
          <w:tab w:leader="none" w:pos="41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preamble shall form an integral part of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8" w:lineRule="exact"/>
        <w:rPr>
          <w:rFonts w:ascii="Times New Roman" w:cs="Times New Roman" w:eastAsia="Times New Roman" w:hAnsi="Times New Roman"/>
          <w:sz w:val="18"/>
          <w:szCs w:val="18"/>
          <w:color w:val="auto"/>
        </w:rPr>
      </w:pPr>
    </w:p>
    <w:p>
      <w:pPr>
        <w:ind w:left="355" w:hanging="328"/>
        <w:spacing w:after="0"/>
        <w:tabs>
          <w:tab w:leader="none" w:pos="355"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Mutual termination of the Employment</w:t>
      </w:r>
    </w:p>
    <w:p>
      <w:pPr>
        <w:spacing w:after="0" w:line="8" w:lineRule="exact"/>
        <w:rPr>
          <w:sz w:val="20"/>
          <w:szCs w:val="20"/>
          <w:color w:val="auto"/>
        </w:rPr>
      </w:pPr>
    </w:p>
    <w:p>
      <w:pPr>
        <w:jc w:val="both"/>
        <w:ind w:left="415" w:right="20" w:hanging="415"/>
        <w:spacing w:after="0" w:line="250" w:lineRule="auto"/>
        <w:tabs>
          <w:tab w:leader="none" w:pos="41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consideration of the obligation under clause 5 and 6 below, the parties hereby declare and agree that the employment will terminate on a mutual consent basis on 30 June, 2017 (the " </w:t>
      </w:r>
      <w:r>
        <w:rPr>
          <w:rFonts w:ascii="Arial" w:cs="Arial" w:eastAsia="Arial" w:hAnsi="Arial"/>
          <w:sz w:val="18"/>
          <w:szCs w:val="18"/>
          <w:b w:val="1"/>
          <w:bCs w:val="1"/>
          <w:color w:val="auto"/>
        </w:rPr>
        <w:t>Termination Date</w:t>
      </w:r>
      <w:r>
        <w:rPr>
          <w:rFonts w:ascii="Arial" w:cs="Arial" w:eastAsia="Arial" w:hAnsi="Arial"/>
          <w:sz w:val="18"/>
          <w:szCs w:val="18"/>
          <w:color w:val="auto"/>
        </w:rPr>
        <w:t>") with mutual waiver to the notice period and/or the payment of the indemnity in lieu of notice.</w:t>
      </w:r>
    </w:p>
    <w:p>
      <w:pPr>
        <w:jc w:val="both"/>
        <w:ind w:left="415" w:hanging="415"/>
        <w:spacing w:after="0" w:line="250" w:lineRule="auto"/>
        <w:tabs>
          <w:tab w:leader="none" w:pos="41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Should the Executive intend to start a new employment before the Termination Date, the Executive will be entitled to resign from the Employment with 15 days written notice (the “</w:t>
      </w:r>
      <w:r>
        <w:rPr>
          <w:rFonts w:ascii="Arial" w:cs="Arial" w:eastAsia="Arial" w:hAnsi="Arial"/>
          <w:sz w:val="18"/>
          <w:szCs w:val="18"/>
          <w:b w:val="1"/>
          <w:bCs w:val="1"/>
          <w:color w:val="auto"/>
        </w:rPr>
        <w:t>Date of Early Termination</w:t>
      </w:r>
      <w:r>
        <w:rPr>
          <w:rFonts w:ascii="Arial" w:cs="Arial" w:eastAsia="Arial" w:hAnsi="Arial"/>
          <w:sz w:val="18"/>
          <w:szCs w:val="18"/>
          <w:color w:val="auto"/>
        </w:rPr>
        <w:t>”). Without prejudice to the obligations under this Agreement, all the mutual obligations related to the Employment will be terminated at the Termination Date or the Date of Early Termination.</w:t>
      </w:r>
    </w:p>
    <w:p>
      <w:pPr>
        <w:jc w:val="both"/>
        <w:ind w:left="415" w:hanging="415"/>
        <w:spacing w:after="0" w:line="250" w:lineRule="auto"/>
        <w:tabs>
          <w:tab w:leader="none" w:pos="41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Between the Effective Date of this Agreement and the Termination Date or the Date of Early Termination, the Executive will perform the Employment towards the Company and the other companies of the Group, in relation to the specific projects which will be communicated from time to time. Lacking any communication from the Company and/or other companies belonging to the Group, the Executive will be exempt from work and presence at the office. It is hereby expressly agreed that, until the Termination Date, the Executive will not be permitted to perform any activities of subordinate nature, even if not in competition with the Company’s business for any other employer. During the Employment the Executive will be permitted to perform activities of autonomous or as an entrepreneur, towards third parties not in competition with the Company.</w:t>
      </w:r>
    </w:p>
    <w:p>
      <w:pPr>
        <w:spacing w:after="0" w:line="2" w:lineRule="exact"/>
        <w:rPr>
          <w:rFonts w:ascii="Times New Roman" w:cs="Times New Roman" w:eastAsia="Times New Roman" w:hAnsi="Times New Roman"/>
          <w:sz w:val="18"/>
          <w:szCs w:val="18"/>
          <w:color w:val="auto"/>
        </w:rPr>
      </w:pPr>
    </w:p>
    <w:p>
      <w:pPr>
        <w:ind w:left="415" w:hanging="415"/>
        <w:spacing w:after="0" w:line="250" w:lineRule="auto"/>
        <w:tabs>
          <w:tab w:leader="none" w:pos="41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Executive will collect his personal belongings from LivaNova PLC London office and from the Company’s offices in Milan, not later than February 24, 2017.</w:t>
      </w:r>
    </w:p>
    <w:p>
      <w:pPr>
        <w:ind w:left="415" w:hanging="415"/>
        <w:spacing w:after="0"/>
        <w:tabs>
          <w:tab w:leader="none" w:pos="41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No event, including - but not limited to - the Executive’s sickness, will have an impact on the Termination Date.</w:t>
      </w:r>
    </w:p>
    <w:p>
      <w:pPr>
        <w:spacing w:after="0" w:line="8" w:lineRule="exact"/>
        <w:rPr>
          <w:rFonts w:ascii="Times New Roman" w:cs="Times New Roman" w:eastAsia="Times New Roman" w:hAnsi="Times New Roman"/>
          <w:sz w:val="18"/>
          <w:szCs w:val="18"/>
          <w:color w:val="auto"/>
        </w:rPr>
      </w:pPr>
    </w:p>
    <w:p>
      <w:pPr>
        <w:ind w:left="355" w:hanging="328"/>
        <w:spacing w:after="0"/>
        <w:tabs>
          <w:tab w:leader="none" w:pos="355" w:val="left"/>
        </w:tabs>
        <w:numPr>
          <w:ilvl w:val="1"/>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Payments up to the Termination Date</w:t>
      </w:r>
    </w:p>
    <w:p>
      <w:pPr>
        <w:spacing w:after="0" w:line="8" w:lineRule="exact"/>
        <w:rPr>
          <w:sz w:val="20"/>
          <w:szCs w:val="20"/>
          <w:color w:val="auto"/>
        </w:rPr>
      </w:pPr>
    </w:p>
    <w:p>
      <w:pPr>
        <w:ind w:left="415" w:hanging="415"/>
        <w:spacing w:after="0"/>
        <w:tabs>
          <w:tab w:leader="none" w:pos="415"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Executive will receive his ordinary salary until the Termination Date.</w:t>
      </w:r>
    </w:p>
    <w:p>
      <w:pPr>
        <w:spacing w:after="0" w:line="8" w:lineRule="exact"/>
        <w:rPr>
          <w:rFonts w:ascii="Times New Roman" w:cs="Times New Roman" w:eastAsia="Times New Roman" w:hAnsi="Times New Roman"/>
          <w:sz w:val="18"/>
          <w:szCs w:val="18"/>
          <w:color w:val="auto"/>
        </w:rPr>
      </w:pPr>
    </w:p>
    <w:p>
      <w:pPr>
        <w:ind w:left="415" w:hanging="415"/>
        <w:spacing w:after="0"/>
        <w:tabs>
          <w:tab w:leader="none" w:pos="415"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Executive shall receive after (and due to) the termination:</w:t>
      </w:r>
    </w:p>
    <w:p>
      <w:pPr>
        <w:spacing w:after="0" w:line="8" w:lineRule="exact"/>
        <w:rPr>
          <w:rFonts w:ascii="Times New Roman" w:cs="Times New Roman" w:eastAsia="Times New Roman" w:hAnsi="Times New Roman"/>
          <w:sz w:val="18"/>
          <w:szCs w:val="18"/>
          <w:color w:val="auto"/>
        </w:rPr>
      </w:pPr>
    </w:p>
    <w:p>
      <w:pPr>
        <w:ind w:left="955" w:hanging="388"/>
        <w:spacing w:after="0"/>
        <w:tabs>
          <w:tab w:leader="none" w:pos="955" w:val="left"/>
        </w:tabs>
        <w:numPr>
          <w:ilvl w:val="1"/>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TFR;</w:t>
      </w:r>
    </w:p>
    <w:p>
      <w:pPr>
        <w:spacing w:after="0" w:line="8" w:lineRule="exact"/>
        <w:rPr>
          <w:rFonts w:ascii="Times New Roman" w:cs="Times New Roman" w:eastAsia="Times New Roman" w:hAnsi="Times New Roman"/>
          <w:sz w:val="18"/>
          <w:szCs w:val="18"/>
          <w:color w:val="auto"/>
        </w:rPr>
      </w:pPr>
    </w:p>
    <w:p>
      <w:pPr>
        <w:ind w:left="955" w:hanging="388"/>
        <w:spacing w:after="0"/>
        <w:tabs>
          <w:tab w:leader="none" w:pos="955" w:val="left"/>
        </w:tabs>
        <w:numPr>
          <w:ilvl w:val="1"/>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portion of the monthly instalments;</w:t>
      </w:r>
    </w:p>
    <w:p>
      <w:pPr>
        <w:spacing w:after="0" w:line="8" w:lineRule="exact"/>
        <w:rPr>
          <w:rFonts w:ascii="Times New Roman" w:cs="Times New Roman" w:eastAsia="Times New Roman" w:hAnsi="Times New Roman"/>
          <w:sz w:val="18"/>
          <w:szCs w:val="18"/>
          <w:color w:val="auto"/>
        </w:rPr>
      </w:pPr>
    </w:p>
    <w:p>
      <w:pPr>
        <w:ind w:left="955" w:hanging="388"/>
        <w:spacing w:after="0"/>
        <w:tabs>
          <w:tab w:leader="none" w:pos="955" w:val="left"/>
        </w:tabs>
        <w:numPr>
          <w:ilvl w:val="1"/>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payment in lieu of any unused holidays and leaves accrued at the Termination Date.</w:t>
      </w:r>
    </w:p>
    <w:p>
      <w:pPr>
        <w:sectPr>
          <w:pgSz w:w="11900" w:h="16838" w:orient="portrait"/>
          <w:cols w:equalWidth="0" w:num="1">
            <w:col w:w="11115"/>
          </w:cols>
          <w:pgMar w:left="545" w:top="574" w:right="239" w:bottom="1440" w:gutter="0" w:footer="0" w:header="0"/>
        </w:sectPr>
      </w:pPr>
    </w:p>
    <w:bookmarkStart w:id="43" w:name="page44"/>
    <w:bookmarkEnd w:id="43"/>
    <w:p>
      <w:pPr>
        <w:ind w:left="415" w:hanging="415"/>
        <w:spacing w:after="0" w:line="262" w:lineRule="auto"/>
        <w:tabs>
          <w:tab w:leader="none" w:pos="415"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under clause 3.2 above will be calculated at the Termination Date. The Executive reserves his right to verify and check the correct calculation of the above amounts pursuant to the law and the CBA.</w:t>
      </w:r>
    </w:p>
    <w:p>
      <w:pPr>
        <w:spacing w:after="0" w:line="1" w:lineRule="exact"/>
        <w:rPr>
          <w:rFonts w:ascii="Times New Roman" w:cs="Times New Roman" w:eastAsia="Times New Roman" w:hAnsi="Times New Roman"/>
          <w:sz w:val="18"/>
          <w:szCs w:val="18"/>
          <w:color w:val="auto"/>
        </w:rPr>
      </w:pPr>
    </w:p>
    <w:p>
      <w:pPr>
        <w:ind w:left="415" w:hanging="415"/>
        <w:spacing w:after="0" w:line="264" w:lineRule="auto"/>
        <w:tabs>
          <w:tab w:leader="none" w:pos="415"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Together with the payment of the April monthly salary, the Company will pay to the Executive the bonus granted to the ELT executives, in compliance with the terms and conditions set forth by the relevant plans and subject to the verification of the targets achieved.</w:t>
      </w:r>
    </w:p>
    <w:p>
      <w:pPr>
        <w:spacing w:after="0" w:line="1" w:lineRule="exact"/>
        <w:rPr>
          <w:rFonts w:ascii="Times New Roman" w:cs="Times New Roman" w:eastAsia="Times New Roman" w:hAnsi="Times New Roman"/>
          <w:sz w:val="17"/>
          <w:szCs w:val="17"/>
          <w:color w:val="auto"/>
        </w:rPr>
      </w:pPr>
    </w:p>
    <w:p>
      <w:pPr>
        <w:ind w:left="355" w:hanging="328"/>
        <w:spacing w:after="0"/>
        <w:tabs>
          <w:tab w:leader="none" w:pos="355" w:val="left"/>
        </w:tabs>
        <w:numPr>
          <w:ilvl w:val="1"/>
          <w:numId w:val="2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Full settlement</w:t>
      </w:r>
    </w:p>
    <w:p>
      <w:pPr>
        <w:spacing w:after="0" w:line="8" w:lineRule="exact"/>
        <w:rPr>
          <w:sz w:val="20"/>
          <w:szCs w:val="20"/>
          <w:color w:val="auto"/>
        </w:rPr>
      </w:pPr>
    </w:p>
    <w:p>
      <w:pPr>
        <w:jc w:val="both"/>
        <w:ind w:left="415" w:hanging="415"/>
        <w:spacing w:after="0" w:line="250" w:lineRule="auto"/>
        <w:tabs>
          <w:tab w:leader="none" w:pos="415"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Without prejudice to the full and correct execution of the Agreement by the Company, the Executive, pursuant to the «</w:t>
      </w:r>
      <w:r>
        <w:rPr>
          <w:rFonts w:ascii="Arial" w:cs="Arial" w:eastAsia="Arial" w:hAnsi="Arial"/>
          <w:sz w:val="18"/>
          <w:szCs w:val="18"/>
          <w:i w:val="1"/>
          <w:iCs w:val="1"/>
          <w:color w:val="auto"/>
        </w:rPr>
        <w:t>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novative settlement agreement</w:t>
      </w:r>
      <w:r>
        <w:rPr>
          <w:rFonts w:ascii="Arial" w:cs="Arial" w:eastAsia="Arial" w:hAnsi="Arial"/>
          <w:sz w:val="18"/>
          <w:szCs w:val="18"/>
          <w:color w:val="auto"/>
        </w:rPr>
        <w:t>» as provided for by Article 1975 and 1976 of the Italian Civil Code, waives towards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towards any other company of the group to which the Company belongs, all claims or rights of any nature or kind whatsoever relating to or caused by the Employment and its termination, including those related to the letter issued by Sorin S.p.A. on February 26, 2015 re the severance agreement, claims relating a different skill or length of service, salary differences, bonus and commissions, indemnity in lieu of holidays, fringe benefits, travel allowances, reimbursement of expenses, changing in job positions as well as any kind of incidence on direct and indirect remuneration. The Executive also waives any prospective claims for damages including extra-contractual and/or non-material in terms of articles 2043, 2059, 2087, 2103 of the Italian Civil Code. The parties expressly acknowledge that the following rights are not covered by (and thus not waived according to) the Agreement: (i) the obligations of the Company according to the Agreement; (ii) the calculation check under point 3.3. above; (iii) the application of point 6.2; (iii) section 15 of the CBA; (iv) Sorin S.p.A. indemnification letter issued on October 5, 2010, “</w:t>
      </w:r>
      <w:r>
        <w:rPr>
          <w:rFonts w:ascii="Arial" w:cs="Arial" w:eastAsia="Arial" w:hAnsi="Arial"/>
          <w:sz w:val="18"/>
          <w:szCs w:val="18"/>
          <w:i w:val="1"/>
          <w:iCs w:val="1"/>
          <w:color w:val="auto"/>
        </w:rPr>
        <w:t>Irrevocable Indemnification and Hold Harmless for</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of Your Duties to Sorin S.p.A. and its affiliates with particular regard to USA affiliation”</w:t>
      </w:r>
      <w:r>
        <w:rPr>
          <w:rFonts w:ascii="Arial" w:cs="Arial" w:eastAsia="Arial" w:hAnsi="Arial"/>
          <w:sz w:val="18"/>
          <w:szCs w:val="18"/>
          <w:color w:val="auto"/>
        </w:rPr>
        <w:t>, whose provisions will remain fully</w:t>
      </w:r>
      <w:r>
        <w:rPr>
          <w:rFonts w:ascii="Arial" w:cs="Arial" w:eastAsia="Arial" w:hAnsi="Arial"/>
          <w:sz w:val="18"/>
          <w:szCs w:val="18"/>
          <w:i w:val="1"/>
          <w:iCs w:val="1"/>
          <w:color w:val="auto"/>
        </w:rPr>
        <w:t xml:space="preserve"> </w:t>
      </w:r>
      <w:r>
        <w:rPr>
          <w:rFonts w:ascii="Arial" w:cs="Arial" w:eastAsia="Arial" w:hAnsi="Arial"/>
          <w:sz w:val="18"/>
          <w:szCs w:val="18"/>
          <w:color w:val="auto"/>
        </w:rPr>
        <w:t>valid and enforceable.</w:t>
      </w:r>
    </w:p>
    <w:p>
      <w:pPr>
        <w:spacing w:after="0" w:line="5" w:lineRule="exact"/>
        <w:rPr>
          <w:rFonts w:ascii="Times New Roman" w:cs="Times New Roman" w:eastAsia="Times New Roman" w:hAnsi="Times New Roman"/>
          <w:sz w:val="18"/>
          <w:szCs w:val="18"/>
          <w:color w:val="auto"/>
        </w:rPr>
      </w:pPr>
    </w:p>
    <w:p>
      <w:pPr>
        <w:jc w:val="both"/>
        <w:ind w:left="415" w:right="20" w:hanging="415"/>
        <w:spacing w:after="0" w:line="250" w:lineRule="auto"/>
        <w:tabs>
          <w:tab w:leader="none" w:pos="415"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accepts the above mentioned waivers and, in connection with such waivers, waives - also on behalf of any company belonging to the Group - to any claim whatsoever vis-à-vis the Executive related to the Employment and the Offices, excluding the case of fraud by the Executive ascertained with a final judgement.</w:t>
      </w:r>
    </w:p>
    <w:p>
      <w:pPr>
        <w:jc w:val="both"/>
        <w:ind w:left="415" w:hanging="415"/>
        <w:spacing w:after="0" w:line="250" w:lineRule="auto"/>
        <w:tabs>
          <w:tab w:leader="none" w:pos="415"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Furthermore the Company, excluding the case of fraud by the Executive ascertained with a final judgement, undertakes (i) not to start any liability action towards the Executive in relation to the Existing Offices; (ii) not to start any judicial action towards the Executive in relation to the Offices; (iii) to hold harmless the Executive in respect of any claims (irrespective of the relevant amount) by the companies (including their shareholders and third parties) where the Executive was appointed pursuant to the Offices, including claims by public authorities (irrespective of the nationality). The Company will bear any legal expenses borne by the Executive in relation to legal proceedings referred to the above claims.</w:t>
      </w:r>
    </w:p>
    <w:p>
      <w:pPr>
        <w:spacing w:after="0" w:line="2" w:lineRule="exact"/>
        <w:rPr>
          <w:rFonts w:ascii="Times New Roman" w:cs="Times New Roman" w:eastAsia="Times New Roman" w:hAnsi="Times New Roman"/>
          <w:sz w:val="18"/>
          <w:szCs w:val="18"/>
          <w:color w:val="auto"/>
        </w:rPr>
      </w:pPr>
    </w:p>
    <w:p>
      <w:pPr>
        <w:ind w:left="415" w:right="20" w:hanging="415"/>
        <w:spacing w:after="0" w:line="250" w:lineRule="auto"/>
        <w:tabs>
          <w:tab w:leader="none" w:pos="415"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as a payment for the «</w:t>
      </w:r>
      <w:r>
        <w:rPr>
          <w:rFonts w:ascii="Arial" w:cs="Arial" w:eastAsia="Arial" w:hAnsi="Arial"/>
          <w:sz w:val="18"/>
          <w:szCs w:val="18"/>
          <w:i w:val="1"/>
          <w:iCs w:val="1"/>
          <w:color w:val="auto"/>
        </w:rPr>
        <w:t>general novative settlement agreement</w:t>
      </w:r>
      <w:r>
        <w:rPr>
          <w:rFonts w:ascii="Arial" w:cs="Arial" w:eastAsia="Arial" w:hAnsi="Arial"/>
          <w:sz w:val="18"/>
          <w:szCs w:val="18"/>
          <w:color w:val="auto"/>
        </w:rPr>
        <w:t>», undertakes to pay the Executive the gross amount of EUR 15.000,00 (fifteen thousand/00). The Executive accepts the above waivers and the amount offered by the Company.</w:t>
      </w:r>
    </w:p>
    <w:p>
      <w:pPr>
        <w:ind w:left="355" w:hanging="328"/>
        <w:spacing w:after="0"/>
        <w:tabs>
          <w:tab w:leader="none" w:pos="355" w:val="left"/>
        </w:tabs>
        <w:numPr>
          <w:ilvl w:val="1"/>
          <w:numId w:val="2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Incentive to leave</w:t>
      </w:r>
    </w:p>
    <w:p>
      <w:pPr>
        <w:spacing w:after="0" w:line="8" w:lineRule="exact"/>
        <w:rPr>
          <w:sz w:val="20"/>
          <w:szCs w:val="20"/>
          <w:color w:val="auto"/>
        </w:rPr>
      </w:pPr>
    </w:p>
    <w:p>
      <w:pPr>
        <w:ind w:left="415" w:hanging="415"/>
        <w:spacing w:after="0" w:line="250" w:lineRule="auto"/>
        <w:tabs>
          <w:tab w:leader="none" w:pos="415"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to obtain mutual agreement on the termination undertakes to pay the Executive the gross amount of EUR 1.025,000 (one million twenty five thousand /00).</w:t>
      </w:r>
    </w:p>
    <w:p>
      <w:pPr>
        <w:jc w:val="both"/>
        <w:ind w:left="415" w:hanging="415"/>
        <w:spacing w:after="0" w:line="250" w:lineRule="auto"/>
        <w:tabs>
          <w:tab w:leader="none" w:pos="415"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under point 5.1 above, is not subject to social security charges, as provided for by Article 12(4.b) of the law 30 April 1969, No. 153, as modified by Article 6 of D.Lgs. 2 September 1997, No. 314, it shall be subject to I.R.Pe.F., calculated according to Articles 17 and 19 T.U.I.R., with the limitations set forth by Article 24, par. 31, D.L. 6 December 2011 n. 201, as converted in law 22 December 2011, n. 214.</w:t>
      </w:r>
    </w:p>
    <w:p>
      <w:pPr>
        <w:spacing w:after="0" w:line="1" w:lineRule="exact"/>
        <w:rPr>
          <w:rFonts w:ascii="Times New Roman" w:cs="Times New Roman" w:eastAsia="Times New Roman" w:hAnsi="Times New Roman"/>
          <w:sz w:val="18"/>
          <w:szCs w:val="18"/>
          <w:color w:val="auto"/>
        </w:rPr>
      </w:pPr>
    </w:p>
    <w:p>
      <w:pPr>
        <w:ind w:left="355" w:hanging="328"/>
        <w:spacing w:after="0"/>
        <w:tabs>
          <w:tab w:leader="none" w:pos="355" w:val="left"/>
        </w:tabs>
        <w:numPr>
          <w:ilvl w:val="1"/>
          <w:numId w:val="2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LTI</w:t>
      </w:r>
    </w:p>
    <w:p>
      <w:pPr>
        <w:spacing w:after="0" w:line="8" w:lineRule="exact"/>
        <w:rPr>
          <w:sz w:val="20"/>
          <w:szCs w:val="20"/>
          <w:color w:val="auto"/>
        </w:rPr>
      </w:pPr>
    </w:p>
    <w:p>
      <w:pPr>
        <w:ind w:left="415" w:hanging="415"/>
        <w:spacing w:after="0"/>
        <w:tabs>
          <w:tab w:leader="none" w:pos="415"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As to the LTI plans currently granted to the Executive the parties agree that:</w:t>
      </w:r>
    </w:p>
    <w:p>
      <w:pPr>
        <w:spacing w:after="0" w:line="202" w:lineRule="exact"/>
        <w:rPr>
          <w:rFonts w:ascii="Times New Roman" w:cs="Times New Roman" w:eastAsia="Times New Roman" w:hAnsi="Times New Roman"/>
          <w:sz w:val="18"/>
          <w:szCs w:val="18"/>
          <w:color w:val="auto"/>
        </w:rPr>
      </w:pPr>
    </w:p>
    <w:p>
      <w:pPr>
        <w:ind w:left="415"/>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6.1.1  The 2069 RSU related to the “legacy Sorin” plans will vest on February 27, 2017.</w:t>
      </w:r>
    </w:p>
    <w:p>
      <w:pPr>
        <w:spacing w:after="0" w:line="225" w:lineRule="exact"/>
        <w:rPr>
          <w:rFonts w:ascii="Times New Roman" w:cs="Times New Roman" w:eastAsia="Times New Roman" w:hAnsi="Times New Roman"/>
          <w:sz w:val="18"/>
          <w:szCs w:val="18"/>
          <w:color w:val="auto"/>
        </w:rPr>
      </w:pPr>
    </w:p>
    <w:p>
      <w:pPr>
        <w:ind w:left="415"/>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6.1.2  The 5,209 RSU related to the first tranche of the RSU grant of March 11, 2016 will vest on March 11, 2017.</w:t>
      </w:r>
    </w:p>
    <w:p>
      <w:pPr>
        <w:spacing w:after="0" w:line="225" w:lineRule="exact"/>
        <w:rPr>
          <w:rFonts w:ascii="Times New Roman" w:cs="Times New Roman" w:eastAsia="Times New Roman" w:hAnsi="Times New Roman"/>
          <w:sz w:val="18"/>
          <w:szCs w:val="18"/>
          <w:color w:val="auto"/>
        </w:rPr>
      </w:pPr>
    </w:p>
    <w:p>
      <w:pPr>
        <w:jc w:val="both"/>
        <w:ind w:left="415"/>
        <w:spacing w:after="0" w:line="271" w:lineRule="auto"/>
        <w:rPr>
          <w:rFonts w:ascii="Times New Roman" w:cs="Times New Roman" w:eastAsia="Times New Roman" w:hAnsi="Times New Roman"/>
          <w:sz w:val="18"/>
          <w:szCs w:val="18"/>
          <w:color w:val="auto"/>
        </w:rPr>
      </w:pPr>
      <w:r>
        <w:rPr>
          <w:rFonts w:ascii="Arial" w:cs="Arial" w:eastAsia="Arial" w:hAnsi="Arial"/>
          <w:sz w:val="18"/>
          <w:szCs w:val="18"/>
          <w:color w:val="auto"/>
        </w:rPr>
        <w:t>6.1.3 the remaining tranches related to the RSU grant of March 11, 2016 will vest at the dates set forth by the relevant plans, in the course of the performance of the Consultancy Contract under par. 9 below. Should the Consultancy Contract be terminated, the unvested RSU will be cancelled.</w:t>
      </w:r>
    </w:p>
    <w:p>
      <w:pPr>
        <w:spacing w:after="0" w:line="163" w:lineRule="exact"/>
        <w:rPr>
          <w:rFonts w:ascii="Times New Roman" w:cs="Times New Roman" w:eastAsia="Times New Roman" w:hAnsi="Times New Roman"/>
          <w:sz w:val="18"/>
          <w:szCs w:val="18"/>
          <w:color w:val="auto"/>
        </w:rPr>
      </w:pPr>
    </w:p>
    <w:p>
      <w:pPr>
        <w:ind w:left="415"/>
        <w:spacing w:after="0" w:line="292" w:lineRule="auto"/>
        <w:rPr>
          <w:rFonts w:ascii="Times New Roman" w:cs="Times New Roman" w:eastAsia="Times New Roman" w:hAnsi="Times New Roman"/>
          <w:sz w:val="18"/>
          <w:szCs w:val="18"/>
          <w:color w:val="auto"/>
        </w:rPr>
      </w:pPr>
      <w:r>
        <w:rPr>
          <w:rFonts w:ascii="Arial" w:cs="Arial" w:eastAsia="Arial" w:hAnsi="Arial"/>
          <w:sz w:val="18"/>
          <w:szCs w:val="18"/>
          <w:color w:val="auto"/>
        </w:rPr>
        <w:t>6.1.4 The 6,262 SARs with strike price 51.34 USD related to the “legacy Sorin”, already vested, will be exercisable until 28 February 2018.</w:t>
      </w:r>
    </w:p>
    <w:p>
      <w:pPr>
        <w:sectPr>
          <w:pgSz w:w="11900" w:h="16838" w:orient="portrait"/>
          <w:cols w:equalWidth="0" w:num="1">
            <w:col w:w="11115"/>
          </w:cols>
          <w:pgMar w:left="545" w:top="576" w:right="239" w:bottom="1440" w:gutter="0" w:footer="0" w:header="0"/>
        </w:sectPr>
      </w:pPr>
    </w:p>
    <w:bookmarkStart w:id="44" w:name="page45"/>
    <w:bookmarkEnd w:id="44"/>
    <w:p>
      <w:pPr>
        <w:jc w:val="both"/>
        <w:ind w:left="415"/>
        <w:spacing w:after="0" w:line="264" w:lineRule="auto"/>
        <w:rPr>
          <w:sz w:val="20"/>
          <w:szCs w:val="20"/>
          <w:color w:val="auto"/>
        </w:rPr>
      </w:pPr>
      <w:r>
        <w:rPr>
          <w:rFonts w:ascii="Arial" w:cs="Arial" w:eastAsia="Arial" w:hAnsi="Arial"/>
          <w:sz w:val="18"/>
          <w:szCs w:val="18"/>
          <w:color w:val="auto"/>
        </w:rPr>
        <w:t>6.1.5 The 29,717 SARs with strike price 69.39 USD will vest on October 19, 2017 and will be exercisable until the date set forth by the relevant plan, in the course of the performance of the Consultancy Contract under par. 9 below. Should the Consultancy Contract be terminated at the expiration of the initial 24 months, the unexercised SAR will be exercisable for a maximum period of 12 months following the termination of the Consultancy Contract or the third anniversary, whichever occurs first.</w:t>
      </w:r>
    </w:p>
    <w:p>
      <w:pPr>
        <w:spacing w:after="0" w:line="170" w:lineRule="exact"/>
        <w:rPr>
          <w:sz w:val="20"/>
          <w:szCs w:val="20"/>
          <w:color w:val="auto"/>
        </w:rPr>
      </w:pPr>
    </w:p>
    <w:p>
      <w:pPr>
        <w:jc w:val="both"/>
        <w:ind w:left="415"/>
        <w:spacing w:after="0" w:line="256" w:lineRule="auto"/>
        <w:rPr>
          <w:sz w:val="20"/>
          <w:szCs w:val="20"/>
          <w:color w:val="auto"/>
        </w:rPr>
      </w:pPr>
      <w:r>
        <w:rPr>
          <w:rFonts w:ascii="Arial" w:cs="Arial" w:eastAsia="Arial" w:hAnsi="Arial"/>
          <w:sz w:val="18"/>
          <w:szCs w:val="18"/>
          <w:color w:val="auto"/>
        </w:rPr>
        <w:t>6.1.6 the 29,718 SAR already vested on October 19, 2016, will be exercisable until the date set forth by the relevant plan, in the course of the performance of the Consultancy Contract under par. 9 below. Should the Consultancy Contract be terminated at the expiration of the initial 24 months, the unexercised SAR will be exercisable for a maximum period of 12 months following the termination of the Consultancy Contract or the third anniversary, whichever occurs first.</w:t>
      </w:r>
    </w:p>
    <w:p>
      <w:pPr>
        <w:spacing w:after="0" w:line="3" w:lineRule="exact"/>
        <w:rPr>
          <w:sz w:val="20"/>
          <w:szCs w:val="20"/>
          <w:color w:val="auto"/>
        </w:rPr>
      </w:pPr>
    </w:p>
    <w:p>
      <w:pPr>
        <w:ind w:left="415" w:right="20" w:hanging="415"/>
        <w:spacing w:after="0" w:line="250" w:lineRule="auto"/>
        <w:tabs>
          <w:tab w:leader="none" w:pos="41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22222"/>
        </w:rPr>
        <w:t>Except as provided by the preceding points 6.1 .; 6.1.1; 6.1.2; 6.1.3; 6.1.4; 6.1.5; 6.1.6; the Executive will retain any other rights related to participation in the plans indicated in the table attached to this Agreement (Annex A).</w:t>
      </w:r>
    </w:p>
    <w:p>
      <w:pPr>
        <w:jc w:val="both"/>
        <w:ind w:left="415" w:hanging="415"/>
        <w:spacing w:after="0" w:line="250" w:lineRule="auto"/>
        <w:tabs>
          <w:tab w:leader="none" w:pos="41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0D0D0D"/>
        </w:rPr>
        <w:t>The parties agree that, after the date of this agreement, the Executive will not be eligible to receive any new long-term incentive award, including, but not limited to, any stock option, stock appreciation right, restricted stock, restricted stock unit, cash award, or any other award contemplated by the LivaNova 2015 Incentive Award Plan on top of what is stated in points 6.1.1. to 6.1.6. of this agreement.</w:t>
      </w:r>
    </w:p>
    <w:p>
      <w:pPr>
        <w:spacing w:after="0" w:line="1" w:lineRule="exact"/>
        <w:rPr>
          <w:rFonts w:ascii="Times New Roman" w:cs="Times New Roman" w:eastAsia="Times New Roman" w:hAnsi="Times New Roman"/>
          <w:sz w:val="18"/>
          <w:szCs w:val="18"/>
          <w:color w:val="auto"/>
        </w:rPr>
      </w:pPr>
    </w:p>
    <w:p>
      <w:pPr>
        <w:ind w:left="355" w:hanging="328"/>
        <w:spacing w:after="0"/>
        <w:tabs>
          <w:tab w:leader="none" w:pos="355" w:val="left"/>
        </w:tabs>
        <w:numPr>
          <w:ilvl w:val="1"/>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Miscellaneous</w:t>
      </w:r>
    </w:p>
    <w:p>
      <w:pPr>
        <w:spacing w:after="0" w:line="8" w:lineRule="exact"/>
        <w:rPr>
          <w:sz w:val="20"/>
          <w:szCs w:val="20"/>
          <w:color w:val="auto"/>
        </w:rPr>
      </w:pPr>
    </w:p>
    <w:p>
      <w:pPr>
        <w:jc w:val="both"/>
        <w:ind w:left="415" w:hanging="415"/>
        <w:spacing w:after="0" w:line="250" w:lineRule="auto"/>
        <w:tabs>
          <w:tab w:leader="none" w:pos="415"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Within 30 days of the Termination Date or the Date of Early Termination, the company will pay to the Executive 60,000 EUR net as overall reimbursement for the school fees of his children for academic years 2017/2018 and 2018/2019. The Company will pay directly to the relevant schools the unpaid balance related to the school fees agreed for the on-going academic year.</w:t>
      </w:r>
    </w:p>
    <w:p>
      <w:pPr>
        <w:jc w:val="both"/>
        <w:ind w:left="415" w:hanging="415"/>
        <w:spacing w:after="0" w:line="250" w:lineRule="auto"/>
        <w:tabs>
          <w:tab w:leader="none" w:pos="415"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After the Effective Date of this Agreement, the Company will notify the withdrawal from the lease of the apartment currently used by the Executive in London. The Executive will be allowed to use the apartment until the lease terminates at the existing conditions. The Company will bear the costs of the Executive’s travels Milan/London and London/Milan only to the extent that these travels are expressly requested by this Agreement or by the Company for the performance of the Employment and duly documented by the Executive.</w:t>
      </w:r>
    </w:p>
    <w:p>
      <w:pPr>
        <w:spacing w:after="0" w:line="1" w:lineRule="exact"/>
        <w:rPr>
          <w:rFonts w:ascii="Times New Roman" w:cs="Times New Roman" w:eastAsia="Times New Roman" w:hAnsi="Times New Roman"/>
          <w:sz w:val="18"/>
          <w:szCs w:val="18"/>
          <w:color w:val="auto"/>
        </w:rPr>
      </w:pPr>
    </w:p>
    <w:p>
      <w:pPr>
        <w:ind w:left="415" w:hanging="415"/>
        <w:spacing w:after="0"/>
        <w:tabs>
          <w:tab w:leader="none" w:pos="415"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will pay to the Executive 5,000 EUR net as reimbursement for his relocation costs.</w:t>
      </w:r>
    </w:p>
    <w:p>
      <w:pPr>
        <w:spacing w:after="0" w:line="8" w:lineRule="exact"/>
        <w:rPr>
          <w:rFonts w:ascii="Times New Roman" w:cs="Times New Roman" w:eastAsia="Times New Roman" w:hAnsi="Times New Roman"/>
          <w:sz w:val="18"/>
          <w:szCs w:val="18"/>
          <w:color w:val="auto"/>
        </w:rPr>
      </w:pPr>
    </w:p>
    <w:p>
      <w:pPr>
        <w:ind w:left="415" w:hanging="415"/>
        <w:spacing w:after="0"/>
        <w:tabs>
          <w:tab w:leader="none" w:pos="415"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Executive will be allowed to use the company car until the Termination Date, at the existing conditions.</w:t>
      </w:r>
    </w:p>
    <w:p>
      <w:pPr>
        <w:spacing w:after="0" w:line="8" w:lineRule="exact"/>
        <w:rPr>
          <w:rFonts w:ascii="Times New Roman" w:cs="Times New Roman" w:eastAsia="Times New Roman" w:hAnsi="Times New Roman"/>
          <w:sz w:val="18"/>
          <w:szCs w:val="18"/>
          <w:color w:val="auto"/>
        </w:rPr>
      </w:pPr>
    </w:p>
    <w:p>
      <w:pPr>
        <w:ind w:left="355" w:hanging="328"/>
        <w:spacing w:after="0"/>
        <w:tabs>
          <w:tab w:leader="none" w:pos="355" w:val="left"/>
        </w:tabs>
        <w:numPr>
          <w:ilvl w:val="1"/>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Payments terms</w:t>
      </w:r>
    </w:p>
    <w:p>
      <w:pPr>
        <w:spacing w:after="0" w:line="8" w:lineRule="exact"/>
        <w:rPr>
          <w:sz w:val="20"/>
          <w:szCs w:val="20"/>
          <w:color w:val="auto"/>
        </w:rPr>
      </w:pPr>
    </w:p>
    <w:p>
      <w:pPr>
        <w:jc w:val="both"/>
        <w:ind w:left="415" w:hanging="415"/>
        <w:spacing w:after="0" w:line="250" w:lineRule="auto"/>
        <w:tabs>
          <w:tab w:leader="none" w:pos="415"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amounts under point 4.4 and 5.1 above shall be paid, by bank transfer to the account specified by the Executive, within maximum 30 days from the Termination Date or the Date of Early Termination, subject to the previous execution of the </w:t>
      </w:r>
      <w:r>
        <w:rPr>
          <w:rFonts w:ascii="Arial" w:cs="Arial" w:eastAsia="Arial" w:hAnsi="Arial"/>
          <w:sz w:val="18"/>
          <w:szCs w:val="18"/>
          <w:i w:val="1"/>
          <w:iCs w:val="1"/>
          <w:color w:val="auto"/>
        </w:rPr>
        <w:t>Verbale di conciliazione</w:t>
      </w:r>
      <w:r>
        <w:rPr>
          <w:rFonts w:ascii="Arial" w:cs="Arial" w:eastAsia="Arial" w:hAnsi="Arial"/>
          <w:sz w:val="18"/>
          <w:szCs w:val="18"/>
          <w:color w:val="auto"/>
        </w:rPr>
        <w:t xml:space="preserve"> under point 11 below.</w:t>
      </w:r>
    </w:p>
    <w:p>
      <w:pPr>
        <w:ind w:left="415" w:right="20" w:hanging="415"/>
        <w:spacing w:after="0" w:line="250" w:lineRule="auto"/>
        <w:tabs>
          <w:tab w:leader="none" w:pos="415"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amount under point 7.3 above will be paid, by bank transfer to the account specified by the Executive, within 30 days from the execution of the </w:t>
      </w:r>
      <w:r>
        <w:rPr>
          <w:rFonts w:ascii="Arial" w:cs="Arial" w:eastAsia="Arial" w:hAnsi="Arial"/>
          <w:sz w:val="18"/>
          <w:szCs w:val="18"/>
          <w:i w:val="1"/>
          <w:iCs w:val="1"/>
          <w:color w:val="auto"/>
        </w:rPr>
        <w:t>Verbale di conciliazione</w:t>
      </w:r>
      <w:r>
        <w:rPr>
          <w:rFonts w:ascii="Arial" w:cs="Arial" w:eastAsia="Arial" w:hAnsi="Arial"/>
          <w:sz w:val="18"/>
          <w:szCs w:val="18"/>
          <w:color w:val="auto"/>
        </w:rPr>
        <w:t xml:space="preserve"> under point 11 below.</w:t>
      </w:r>
    </w:p>
    <w:p>
      <w:pPr>
        <w:ind w:left="355" w:hanging="328"/>
        <w:spacing w:after="0"/>
        <w:tabs>
          <w:tab w:leader="none" w:pos="355"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Confidentiality</w:t>
      </w:r>
    </w:p>
    <w:p>
      <w:pPr>
        <w:spacing w:after="0" w:line="8" w:lineRule="exact"/>
        <w:rPr>
          <w:sz w:val="20"/>
          <w:szCs w:val="20"/>
          <w:color w:val="auto"/>
        </w:rPr>
      </w:pPr>
    </w:p>
    <w:p>
      <w:pPr>
        <w:jc w:val="both"/>
        <w:ind w:left="415" w:hanging="415"/>
        <w:spacing w:after="0" w:line="250" w:lineRule="auto"/>
        <w:tabs>
          <w:tab w:leader="none" w:pos="41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the Termination Date or the Date of Early Termination and compatibly with the obligations arising from the performance of the Consultancy Contact, the Executive (except for the obligations set forth by the law) shall not use, disclose or communicate to any person any confidential information which he shall have come to know or have received or obtained at any time by reason of or in connection with his service with the Company or any other company of the group the Company belongs to, or copy, reproduce or store in any form or by any media or device or allow others access to or to copy or reproduce recorded information whether or not in documentary form containing or referring to confidential information.</w:t>
      </w:r>
    </w:p>
    <w:p>
      <w:pPr>
        <w:spacing w:after="0" w:line="2" w:lineRule="exact"/>
        <w:rPr>
          <w:rFonts w:ascii="Times New Roman" w:cs="Times New Roman" w:eastAsia="Times New Roman" w:hAnsi="Times New Roman"/>
          <w:sz w:val="18"/>
          <w:szCs w:val="18"/>
          <w:color w:val="auto"/>
        </w:rPr>
      </w:pPr>
    </w:p>
    <w:p>
      <w:pPr>
        <w:jc w:val="both"/>
        <w:ind w:left="415" w:hanging="415"/>
        <w:spacing w:after="0" w:line="250" w:lineRule="auto"/>
        <w:tabs>
          <w:tab w:leader="none" w:pos="41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«Confidential Information» in point 9.1 and 9.3 includes any information that may have been given in confidence or be of a confidential nature related to the business or prospective business or internal affairs of the Company or other companies of the group which the Company belongs to, not of public domain.</w:t>
      </w:r>
    </w:p>
    <w:p>
      <w:pPr>
        <w:ind w:left="415" w:hanging="415"/>
        <w:spacing w:after="0" w:line="250" w:lineRule="auto"/>
        <w:tabs>
          <w:tab w:leader="none" w:pos="41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Executive undertakes not to disclose confidential information regarding the organization of the Company, nor misuse such information so as to cause damage.</w:t>
      </w:r>
    </w:p>
    <w:p>
      <w:pPr>
        <w:ind w:left="415" w:hanging="415"/>
        <w:spacing w:after="0" w:line="250" w:lineRule="auto"/>
        <w:tabs>
          <w:tab w:leader="none" w:pos="415"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parties also agree not to disclose to any third parties, except to the extent required by applicable Law, the terms of this Agreement.</w:t>
      </w:r>
    </w:p>
    <w:p>
      <w:pPr>
        <w:ind w:left="355" w:hanging="328"/>
        <w:spacing w:after="0"/>
        <w:tabs>
          <w:tab w:leader="none" w:pos="355" w:val="left"/>
        </w:tabs>
        <w:numPr>
          <w:ilvl w:val="1"/>
          <w:numId w:val="3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Legal fees</w:t>
      </w:r>
    </w:p>
    <w:p>
      <w:pPr>
        <w:spacing w:after="0" w:line="8" w:lineRule="exact"/>
        <w:rPr>
          <w:sz w:val="20"/>
          <w:szCs w:val="20"/>
          <w:color w:val="auto"/>
        </w:rPr>
      </w:pPr>
    </w:p>
    <w:p>
      <w:pPr>
        <w:jc w:val="both"/>
        <w:ind w:left="415" w:hanging="415"/>
        <w:spacing w:after="0" w:line="250" w:lineRule="auto"/>
        <w:tabs>
          <w:tab w:leader="none" w:pos="415"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Company undertakes to pay Mr. Renato Scorcelli, as a contribution towards legal fees borne by the Executive, the amount of Euro 20.000,00 plus VAT, deducted of withholding tax (R.A.), within maximum 30 days from the signing of the </w:t>
      </w:r>
      <w:r>
        <w:rPr>
          <w:rFonts w:ascii="Arial" w:cs="Arial" w:eastAsia="Arial" w:hAnsi="Arial"/>
          <w:sz w:val="18"/>
          <w:szCs w:val="18"/>
          <w:i w:val="1"/>
          <w:iCs w:val="1"/>
          <w:color w:val="auto"/>
        </w:rPr>
        <w:t>Verbale di conciliazione</w:t>
      </w:r>
      <w:r>
        <w:rPr>
          <w:rFonts w:ascii="Arial" w:cs="Arial" w:eastAsia="Arial" w:hAnsi="Arial"/>
          <w:sz w:val="18"/>
          <w:szCs w:val="18"/>
          <w:color w:val="auto"/>
        </w:rPr>
        <w:t xml:space="preserve"> under clause 11 below.</w:t>
      </w:r>
    </w:p>
    <w:p>
      <w:pPr>
        <w:ind w:left="355" w:hanging="328"/>
        <w:spacing w:after="0"/>
        <w:tabs>
          <w:tab w:leader="none" w:pos="355" w:val="left"/>
        </w:tabs>
        <w:numPr>
          <w:ilvl w:val="1"/>
          <w:numId w:val="3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Agreement in accordance with Section 2113 the Italian Civil Code</w:t>
      </w:r>
    </w:p>
    <w:p>
      <w:pPr>
        <w:spacing w:after="0" w:line="8" w:lineRule="exact"/>
        <w:rPr>
          <w:sz w:val="20"/>
          <w:szCs w:val="20"/>
          <w:color w:val="auto"/>
        </w:rPr>
      </w:pPr>
    </w:p>
    <w:p>
      <w:pPr>
        <w:jc w:val="both"/>
        <w:ind w:left="415" w:hanging="415"/>
        <w:spacing w:after="0" w:line="258" w:lineRule="auto"/>
        <w:tabs>
          <w:tab w:leader="none" w:pos="415"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Parties undertake to execute (as soon as possible and in any case within 60 days from the Effective Date of this Agreement) a </w:t>
      </w:r>
      <w:r>
        <w:rPr>
          <w:rFonts w:ascii="Arial" w:cs="Arial" w:eastAsia="Arial" w:hAnsi="Arial"/>
          <w:sz w:val="18"/>
          <w:szCs w:val="18"/>
          <w:i w:val="1"/>
          <w:iCs w:val="1"/>
          <w:color w:val="auto"/>
        </w:rPr>
        <w:t xml:space="preserve">Verbale di conciliazione </w:t>
      </w:r>
      <w:r>
        <w:rPr>
          <w:rFonts w:ascii="Arial" w:cs="Arial" w:eastAsia="Arial" w:hAnsi="Arial"/>
          <w:sz w:val="18"/>
          <w:szCs w:val="18"/>
          <w:color w:val="auto"/>
        </w:rPr>
        <w:t>- in line with applicable Law, and having the same content of the Agreement - before the competent provincial</w:t>
      </w:r>
      <w:r>
        <w:rPr>
          <w:rFonts w:ascii="Arial" w:cs="Arial" w:eastAsia="Arial" w:hAnsi="Arial"/>
          <w:sz w:val="18"/>
          <w:szCs w:val="18"/>
          <w:i w:val="1"/>
          <w:iCs w:val="1"/>
          <w:color w:val="auto"/>
        </w:rPr>
        <w:t xml:space="preserve"> </w:t>
      </w:r>
      <w:r>
        <w:rPr>
          <w:rFonts w:ascii="Arial" w:cs="Arial" w:eastAsia="Arial" w:hAnsi="Arial"/>
          <w:sz w:val="18"/>
          <w:szCs w:val="18"/>
          <w:color w:val="auto"/>
        </w:rPr>
        <w:t>labor office or any other competent venue. The Company</w:t>
      </w:r>
    </w:p>
    <w:p>
      <w:pPr>
        <w:sectPr>
          <w:pgSz w:w="11900" w:h="16838" w:orient="portrait"/>
          <w:cols w:equalWidth="0" w:num="1">
            <w:col w:w="11115"/>
          </w:cols>
          <w:pgMar w:left="545" w:top="792" w:right="239" w:bottom="1440" w:gutter="0" w:footer="0" w:header="0"/>
        </w:sectPr>
      </w:pPr>
    </w:p>
    <w:bookmarkStart w:id="45" w:name="page46"/>
    <w:bookmarkEnd w:id="45"/>
    <w:p>
      <w:pPr>
        <w:ind w:left="480"/>
        <w:spacing w:after="0"/>
        <w:rPr>
          <w:sz w:val="20"/>
          <w:szCs w:val="20"/>
          <w:color w:val="auto"/>
        </w:rPr>
      </w:pPr>
      <w:r>
        <w:rPr>
          <w:rFonts w:ascii="Arial" w:cs="Arial" w:eastAsia="Arial" w:hAnsi="Arial"/>
          <w:sz w:val="18"/>
          <w:szCs w:val="18"/>
          <w:color w:val="auto"/>
        </w:rPr>
        <w:t>undertakes to request the relevant meeting by 28 February 2017.</w:t>
      </w:r>
    </w:p>
    <w:p>
      <w:pPr>
        <w:spacing w:after="0" w:line="36" w:lineRule="exact"/>
        <w:rPr>
          <w:sz w:val="20"/>
          <w:szCs w:val="20"/>
          <w:color w:val="auto"/>
        </w:rPr>
      </w:pPr>
    </w:p>
    <w:p>
      <w:pPr>
        <w:ind w:left="420" w:hanging="328"/>
        <w:spacing w:after="0"/>
        <w:tabs>
          <w:tab w:leader="none" w:pos="4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Final provisions</w:t>
      </w:r>
    </w:p>
    <w:p>
      <w:pPr>
        <w:spacing w:after="0" w:line="211" w:lineRule="exact"/>
        <w:rPr>
          <w:sz w:val="20"/>
          <w:szCs w:val="20"/>
          <w:color w:val="auto"/>
        </w:rPr>
      </w:pPr>
    </w:p>
    <w:p>
      <w:pPr>
        <w:ind w:left="420"/>
        <w:spacing w:after="0" w:line="292" w:lineRule="auto"/>
        <w:rPr>
          <w:sz w:val="20"/>
          <w:szCs w:val="20"/>
          <w:color w:val="auto"/>
        </w:rPr>
      </w:pPr>
      <w:r>
        <w:rPr>
          <w:rFonts w:ascii="Arial" w:cs="Arial" w:eastAsia="Arial" w:hAnsi="Arial"/>
          <w:sz w:val="18"/>
          <w:szCs w:val="18"/>
          <w:color w:val="auto"/>
        </w:rPr>
        <w:t>Consequently, with the signing of this Agreement, the parties declare that they no longer have any claim against each other, for any reason or cause.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LivaNova PLC - Italian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Mr. Brian Sheridan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ectPr>
          <w:pgSz w:w="11900" w:h="16838" w:orient="portrait"/>
          <w:cols w:equalWidth="0" w:num="1">
            <w:col w:w="11180"/>
          </w:cols>
          <w:pgMar w:left="480" w:top="603"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BRIAN SHERIDAN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CONSULTANCY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on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February 2017.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104" w:lineRule="exact"/>
        <w:rPr>
          <w:sz w:val="20"/>
          <w:szCs w:val="20"/>
          <w:color w:val="auto"/>
        </w:rPr>
      </w:pPr>
    </w:p>
    <w:p>
      <w:pPr>
        <w:ind w:left="620" w:right="20" w:hanging="612"/>
        <w:spacing w:after="0" w:line="253"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LIVANOVA PLC</w:t>
      </w:r>
      <w:r>
        <w:rPr>
          <w:rFonts w:ascii="Times New Roman" w:cs="Times New Roman" w:eastAsia="Times New Roman" w:hAnsi="Times New Roman"/>
          <w:sz w:val="20"/>
          <w:szCs w:val="20"/>
          <w:color w:val="auto"/>
        </w:rPr>
        <w:t>, a company registered in England with registered number 09451374 and having its registered office at 20 Eastbourne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Terrace, London, England W2 6LG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w:t>
      </w:r>
    </w:p>
    <w:p>
      <w:pPr>
        <w:ind w:left="620" w:hanging="612"/>
        <w:spacing w:after="0" w:line="212"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BRIAN SHERIDAN</w:t>
      </w:r>
      <w:r>
        <w:rPr>
          <w:rFonts w:ascii="Times New Roman" w:cs="Times New Roman" w:eastAsia="Times New Roman" w:hAnsi="Times New Roman"/>
          <w:sz w:val="20"/>
          <w:szCs w:val="20"/>
          <w:color w:val="auto"/>
        </w:rPr>
        <w:t>, born in Hastings (UK), on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September 1970, residing at via Panfilo Castaldi 33, Milan, Italy, C.F: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SHRBND70P27Z114V (the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1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wishes to benefit from the skills and abilities of the Consultant and the Consultant is an independent contractor who has agreed to provide his services to the Company, upon the terms and subject to the conditions set out in this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DEFINITIONS AND INTERPRETATION</w:t>
      </w:r>
    </w:p>
    <w:p>
      <w:pPr>
        <w:spacing w:after="0" w:line="26" w:lineRule="exact"/>
        <w:rPr>
          <w:sz w:val="20"/>
          <w:szCs w:val="20"/>
          <w:color w:val="auto"/>
        </w:rPr>
      </w:pPr>
    </w:p>
    <w:p>
      <w:pPr>
        <w:ind w:left="620" w:hanging="612"/>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Definitions</w:t>
      </w:r>
    </w:p>
    <w:p>
      <w:pPr>
        <w:spacing w:after="0" w:line="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Agreement, unless the context otherwise requires:</w:t>
      </w:r>
    </w:p>
    <w:p>
      <w:pPr>
        <w:sectPr>
          <w:pgSz w:w="11900" w:h="16838" w:orient="portrait"/>
          <w:cols w:equalWidth="0" w:num="1">
            <w:col w:w="11420"/>
          </w:cols>
          <w:pgMar w:left="240" w:top="792" w:right="239" w:bottom="1440" w:gutter="0" w:footer="0" w:header="0"/>
        </w:sectPr>
      </w:pPr>
    </w:p>
    <w:bookmarkStart w:id="47" w:name="page48"/>
    <w:bookmarkEnd w:id="47"/>
    <w:p>
      <w:pPr>
        <w:ind w:left="1212"/>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83"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“Appointment”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“Confidential</w:t>
      </w:r>
    </w:p>
    <w:p>
      <w:pPr>
        <w:spacing w:after="0" w:line="26"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Information”</w:t>
      </w:r>
    </w:p>
    <w:p>
      <w:pPr>
        <w:spacing w:after="0" w:line="200" w:lineRule="exact"/>
        <w:rPr>
          <w:sz w:val="20"/>
          <w:szCs w:val="20"/>
          <w:color w:val="auto"/>
        </w:rPr>
      </w:pPr>
    </w:p>
    <w:p>
      <w:pPr>
        <w:spacing w:after="0" w:line="287"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“Group”</w:t>
      </w:r>
    </w:p>
    <w:p>
      <w:pPr>
        <w:spacing w:after="0" w:line="283"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“Group Company”</w:t>
      </w:r>
    </w:p>
    <w:p>
      <w:pPr>
        <w:spacing w:after="0" w:line="108"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“Initial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“Minority Holder”</w:t>
      </w:r>
    </w:p>
    <w:p>
      <w:pPr>
        <w:spacing w:after="0" w:line="200" w:lineRule="exact"/>
        <w:rPr>
          <w:sz w:val="20"/>
          <w:szCs w:val="20"/>
          <w:color w:val="auto"/>
        </w:rPr>
      </w:pPr>
    </w:p>
    <w:p>
      <w:pPr>
        <w:spacing w:after="0" w:line="313"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“Protected Business”</w:t>
      </w:r>
    </w:p>
    <w:p>
      <w:pPr>
        <w:spacing w:after="0" w:line="283"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“Restricted Area”</w:t>
      </w:r>
    </w:p>
    <w:p>
      <w:pPr>
        <w:spacing w:after="0" w:line="283"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“Services”</w:t>
      </w:r>
    </w:p>
    <w:p>
      <w:pPr>
        <w:spacing w:after="0" w:line="54"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color w:val="auto"/>
        </w:rPr>
        <w:t>“Termination Date”</w:t>
      </w:r>
    </w:p>
    <w:p>
      <w:pPr>
        <w:spacing w:after="0" w:line="32" w:lineRule="exact"/>
        <w:rPr>
          <w:sz w:val="20"/>
          <w:szCs w:val="20"/>
          <w:color w:val="auto"/>
        </w:rPr>
      </w:pPr>
    </w:p>
    <w:p>
      <w:pPr>
        <w:ind w:left="612" w:hanging="612"/>
        <w:spacing w:after="0"/>
        <w:tabs>
          <w:tab w:leader="none" w:pos="61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Interpretation and construction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means this contract</w:t>
      </w:r>
    </w:p>
    <w:p>
      <w:pPr>
        <w:spacing w:after="0" w:line="5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0"/>
          <w:szCs w:val="20"/>
          <w:color w:val="auto"/>
        </w:rPr>
        <w:t>means the engagement of the Consultant under this Agreement, or, as the context requires, the duration of that engagement</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means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June 2017, or such earlier date on which Consultant’s employment by LivaNova PLC - Italian Branch terminates, simultaneous with the termination of employment</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w:t>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employees and their terms of employment;</w:t>
      </w:r>
    </w:p>
    <w:p>
      <w:pPr>
        <w:spacing w:after="0" w:line="22" w:lineRule="exact"/>
        <w:rPr>
          <w:sz w:val="20"/>
          <w:szCs w:val="20"/>
          <w:color w:val="auto"/>
        </w:rPr>
      </w:pPr>
    </w:p>
    <w:p>
      <w:pPr>
        <w:ind w:left="1260"/>
        <w:spacing w:after="0" w:line="239" w:lineRule="auto"/>
        <w:rPr>
          <w:sz w:val="20"/>
          <w:szCs w:val="20"/>
          <w:color w:val="auto"/>
        </w:rPr>
      </w:pPr>
      <w:r>
        <w:rPr>
          <w:rFonts w:ascii="Times New Roman" w:cs="Times New Roman" w:eastAsia="Times New Roman" w:hAnsi="Times New Roman"/>
          <w:sz w:val="20"/>
          <w:szCs w:val="20"/>
          <w:color w:val="auto"/>
        </w:rPr>
        <w:t>customers and potential customers, their requirements and their terms of business with the Company/Group; and</w:t>
      </w:r>
    </w:p>
    <w:p>
      <w:pPr>
        <w:spacing w:after="0" w:line="1" w:lineRule="exact"/>
        <w:rPr>
          <w:sz w:val="20"/>
          <w:szCs w:val="20"/>
          <w:color w:val="auto"/>
        </w:rPr>
      </w:pPr>
    </w:p>
    <w:p>
      <w:pPr>
        <w:ind w:left="1260" w:right="20"/>
        <w:spacing w:after="0" w:line="246" w:lineRule="auto"/>
        <w:rPr>
          <w:sz w:val="20"/>
          <w:szCs w:val="20"/>
          <w:color w:val="auto"/>
        </w:rPr>
      </w:pPr>
      <w:r>
        <w:rPr>
          <w:rFonts w:ascii="Times New Roman" w:cs="Times New Roman" w:eastAsia="Times New Roman" w:hAnsi="Times New Roman"/>
          <w:sz w:val="20"/>
          <w:szCs w:val="20"/>
          <w:color w:val="auto"/>
        </w:rPr>
        <w:t>suppliers and potential suppliers and their terms of business (all whether or not recorded in writing or in electronic or other format)</w:t>
      </w:r>
    </w:p>
    <w:p>
      <w:pPr>
        <w:spacing w:after="0" w:line="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means the Company, any presently existing holding company or undertaking of the Company and subsidiaries and subsidiary undertakings of the Company or such holding company or undertaking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any company within the Group</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means the period beginning on the Commencement Date and ending on the second anniversary of the Commencement Date</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means a person who either solely or jointly holds (directly or through nominees )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Consultant’s partner and/or his or his partner’s children under the age of 18, exceed 3% of the shares or loan capital of the class concerned for the time being issued</w:t>
      </w:r>
    </w:p>
    <w:p>
      <w:pPr>
        <w:spacing w:after="0" w:line="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means any business pertaining to (i) a product marketed and sold or under substantial development by the Company during the term of this Agreement, and (ii) trans-catheter mitral valve repair and replacement</w:t>
      </w:r>
    </w:p>
    <w:p>
      <w:pPr>
        <w:spacing w:after="0" w:line="13"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20"/>
          <w:szCs w:val="20"/>
          <w:color w:val="auto"/>
        </w:rPr>
        <w:t>means any country in the world where, during the term of this Agreement, the Company is engaged in a Protected Business</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means the services, work and other tasks to be provided by the Consultant to the Company in accordance with this Agreement as described in Clause 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the date of termination of the Appointment</w:t>
      </w:r>
    </w:p>
    <w:p>
      <w:pPr>
        <w:spacing w:after="0" w:line="277" w:lineRule="exact"/>
        <w:rPr>
          <w:sz w:val="20"/>
          <w:szCs w:val="20"/>
          <w:color w:val="auto"/>
        </w:rPr>
      </w:pPr>
    </w:p>
    <w:p>
      <w:pPr>
        <w:sectPr>
          <w:pgSz w:w="11900" w:h="16838" w:orient="portrait"/>
          <w:cols w:equalWidth="0" w:num="2">
            <w:col w:w="3292" w:space="180"/>
            <w:col w:w="6740"/>
          </w:cols>
          <w:pgMar w:left="248" w:top="734" w:right="1439" w:bottom="1440" w:gutter="0" w:footer="0" w:header="0"/>
        </w:sectPr>
      </w:pPr>
    </w:p>
    <w:p>
      <w:pPr>
        <w:ind w:left="612"/>
        <w:spacing w:after="0"/>
        <w:rPr>
          <w:sz w:val="20"/>
          <w:szCs w:val="20"/>
          <w:color w:val="auto"/>
        </w:rPr>
      </w:pPr>
      <w:r>
        <w:rPr>
          <w:rFonts w:ascii="Times New Roman" w:cs="Times New Roman" w:eastAsia="Times New Roman" w:hAnsi="Times New Roman"/>
          <w:sz w:val="19"/>
          <w:szCs w:val="19"/>
          <w:color w:val="auto"/>
        </w:rPr>
        <w:t>Save to the extent that the context or the express provisions of this Agreement require otherwise, in this Agreement:</w:t>
      </w:r>
    </w:p>
    <w:p>
      <w:pPr>
        <w:spacing w:after="0" w:line="178" w:lineRule="exact"/>
        <w:rPr>
          <w:sz w:val="20"/>
          <w:szCs w:val="20"/>
          <w:color w:val="auto"/>
        </w:rPr>
      </w:pPr>
    </w:p>
    <w:p>
      <w:pPr>
        <w:ind w:left="1252" w:hanging="644"/>
        <w:spacing w:after="0"/>
        <w:tabs>
          <w:tab w:leader="none" w:pos="12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words importing the singular shall include the plural and vice versa;</w:t>
      </w:r>
    </w:p>
    <w:p>
      <w:pPr>
        <w:sectPr>
          <w:pgSz w:w="11900" w:h="16838" w:orient="portrait"/>
          <w:cols w:equalWidth="0" w:num="1">
            <w:col w:w="10212"/>
          </w:cols>
          <w:pgMar w:left="248" w:top="734" w:right="1439" w:bottom="1440" w:gutter="0" w:footer="0" w:header="0"/>
          <w:type w:val="continuous"/>
        </w:sectPr>
      </w:pPr>
    </w:p>
    <w:bookmarkStart w:id="48" w:name="page49"/>
    <w:bookmarkEnd w:id="48"/>
    <w:p>
      <w:pPr>
        <w:ind w:left="1252" w:hanging="644"/>
        <w:spacing w:after="0"/>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words importing any gender shall include all other genders;</w:t>
      </w:r>
    </w:p>
    <w:p>
      <w:pPr>
        <w:spacing w:after="0" w:line="21" w:lineRule="exact"/>
        <w:rPr>
          <w:rFonts w:ascii="Times New Roman" w:cs="Times New Roman" w:eastAsia="Times New Roman" w:hAnsi="Times New Roman"/>
          <w:sz w:val="18"/>
          <w:szCs w:val="18"/>
          <w:color w:val="auto"/>
        </w:rPr>
      </w:pPr>
    </w:p>
    <w:p>
      <w:pPr>
        <w:ind w:left="1252" w:right="20"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reference to a Clause, the Schedule or Part of the Schedule is to the relevant Clause, Schedule or part of the Schedule of or to this Agreement unless otherwise specified;</w:t>
      </w:r>
    </w:p>
    <w:p>
      <w:pPr>
        <w:spacing w:after="0" w:line="1" w:lineRule="exact"/>
        <w:rPr>
          <w:rFonts w:ascii="Times New Roman" w:cs="Times New Roman" w:eastAsia="Times New Roman" w:hAnsi="Times New Roman"/>
          <w:sz w:val="18"/>
          <w:szCs w:val="18"/>
          <w:color w:val="auto"/>
        </w:rPr>
      </w:pPr>
    </w:p>
    <w:p>
      <w:pPr>
        <w:ind w:left="1252" w:right="20"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this Agreement or to any other document shall be construed as references to this Agreement or to that other document as modified, amended, varied, supplemented, assigned, novated or replaced from time to time;</w:t>
      </w:r>
    </w:p>
    <w:p>
      <w:pPr>
        <w:spacing w:after="0" w:line="1"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any statute or statutory provision (including any subordinate legislation) includes any statute or statutory provision which amends, extends, consolidates or replaces the same, or which has been amended, extended, consolidated or replaced by the same, and shall include any orders, regulations, instruments or other subordinate legislation made under the relevant statute or statutory provision;</w:t>
      </w:r>
    </w:p>
    <w:p>
      <w:pPr>
        <w:spacing w:after="0" w:line="2"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 w:lineRule="exact"/>
        <w:rPr>
          <w:rFonts w:ascii="Times New Roman" w:cs="Times New Roman" w:eastAsia="Times New Roman" w:hAnsi="Times New Roman"/>
          <w:sz w:val="18"/>
          <w:szCs w:val="18"/>
          <w:color w:val="auto"/>
        </w:rPr>
      </w:pPr>
    </w:p>
    <w:p>
      <w:pPr>
        <w:ind w:left="1252" w:hanging="644"/>
        <w:spacing w:after="0" w:line="239" w:lineRule="auto"/>
        <w:tabs>
          <w:tab w:leader="none" w:pos="12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words “other” and “otherwise” shall not be construed eiusdem generis with any foregoing words where a wider construction is possible.</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Headings</w:t>
      </w:r>
    </w:p>
    <w:p>
      <w:pPr>
        <w:ind w:left="61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of contents and the headings in this Agreement are included for convenience only and shall be ignored in construing this Agreement.</w:t>
      </w:r>
    </w:p>
    <w:p>
      <w:pPr>
        <w:spacing w:after="0" w:line="151" w:lineRule="exact"/>
        <w:rPr>
          <w:sz w:val="20"/>
          <w:szCs w:val="20"/>
          <w:color w:val="auto"/>
        </w:rPr>
      </w:pPr>
    </w:p>
    <w:p>
      <w:pPr>
        <w:ind w:left="612" w:hanging="612"/>
        <w:spacing w:after="0"/>
        <w:tabs>
          <w:tab w:leader="none" w:pos="6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Appointment shall commence on the Commencement Date and shall continue for a fixed period of five years, unless earlier terminated by one party giving to the other not less than one months’ prior written notice of termination; provided, however, that the Appointment shall not be terminable by the Company during the Initial Period, except as provided otherwise in Clause 9.1. No fees shall accrue and be payable after the date of termination of the Appointment.</w:t>
      </w:r>
    </w:p>
    <w:p>
      <w:pPr>
        <w:spacing w:after="0" w:line="157"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SERVICES</w:t>
      </w:r>
    </w:p>
    <w:p>
      <w:pPr>
        <w:spacing w:after="0" w:line="25" w:lineRule="exact"/>
        <w:rPr>
          <w:sz w:val="20"/>
          <w:szCs w:val="20"/>
          <w:color w:val="auto"/>
        </w:rPr>
      </w:pPr>
    </w:p>
    <w:p>
      <w:pPr>
        <w:ind w:left="612" w:hanging="612"/>
        <w:spacing w:after="0"/>
        <w:tabs>
          <w:tab w:leader="none" w:pos="6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Provision of Services</w:t>
      </w:r>
    </w:p>
    <w:p>
      <w:pPr>
        <w:jc w:val="both"/>
        <w:ind w:left="1252" w:hanging="644"/>
        <w:spacing w:after="0" w:line="239" w:lineRule="auto"/>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effect from the Commencement Date, the Consultant shall, on request by any representative of the Company, designated as such by the Company’s Chief Executive Officer, provide with regard to litigation brought by or against a Group Company the Services, including holding himself available to act as a witness if called so to serve, together with such other services as the Company and the Consultant may from time to time mutually agree including, providing services to any Group Company. Save with regard to the Services with regard to litigation any specific Services to be provided shall be determined by mutual consent and may include support on projects that may be assigned by the Company.</w:t>
      </w:r>
    </w:p>
    <w:p>
      <w:pPr>
        <w:spacing w:after="0" w:line="3"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may engage another person to perform any administrative, clerical or secretarial functions that are reasonably incidental to the provision of the Services provided that the Consultant accepts all liability for the terms of engagement and shall indemnify the Company from and against any claims or liability arising from that engagement. The Company will not provide the Consultant with any administrative, clerical or secretarial functions, unless agreed expressly with the CEO from time to time.</w:t>
      </w:r>
    </w:p>
    <w:p>
      <w:pPr>
        <w:spacing w:after="0" w:line="2"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will perform the Services in compliance with all applicable laws, rules and regulations and, in addition, the</w:t>
      </w:r>
    </w:p>
    <w:p>
      <w:pPr>
        <w:ind w:left="1252"/>
        <w:spacing w:after="0" w:line="239" w:lineRule="auto"/>
        <w:rPr>
          <w:sz w:val="20"/>
          <w:szCs w:val="20"/>
          <w:color w:val="auto"/>
        </w:rPr>
      </w:pPr>
      <w:r>
        <w:rPr>
          <w:rFonts w:ascii="Times New Roman" w:cs="Times New Roman" w:eastAsia="Times New Roman" w:hAnsi="Times New Roman"/>
          <w:sz w:val="20"/>
          <w:szCs w:val="20"/>
          <w:color w:val="auto"/>
        </w:rPr>
        <w:t>Consultant will comply with all internal policies and regulations of the Group as are identified to the Consultant from time to time in writing, including, but not limited to, the Company’s Code of Conduct and its supporting policies and procedures.</w:t>
      </w:r>
    </w:p>
    <w:p>
      <w:pPr>
        <w:spacing w:after="0" w:line="1" w:lineRule="exact"/>
        <w:rPr>
          <w:sz w:val="20"/>
          <w:szCs w:val="20"/>
          <w:color w:val="auto"/>
        </w:rPr>
      </w:pPr>
    </w:p>
    <w:p>
      <w:pPr>
        <w:ind w:left="612" w:hanging="612"/>
        <w:spacing w:after="0"/>
        <w:tabs>
          <w:tab w:leader="none" w:pos="6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FEES</w:t>
      </w:r>
    </w:p>
    <w:p>
      <w:pPr>
        <w:ind w:left="612" w:hanging="612"/>
        <w:spacing w:after="0"/>
        <w:tabs>
          <w:tab w:leader="none" w:pos="6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Fee rate</w:t>
      </w:r>
    </w:p>
    <w:p>
      <w:pPr>
        <w:ind w:left="612" w:hanging="612"/>
        <w:spacing w:after="0" w:line="246" w:lineRule="auto"/>
        <w:tabs>
          <w:tab w:leader="none" w:pos="6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consideration of the Consultant providing the Services referred to in Clause 3.1 in accordance with this Agreement, the Company agrees to pay the Consultant the following fees:</w:t>
      </w:r>
    </w:p>
    <w:p>
      <w:pPr>
        <w:sectPr>
          <w:pgSz w:w="11900" w:h="16838" w:orient="portrait"/>
          <w:cols w:equalWidth="0" w:num="1">
            <w:col w:w="11412"/>
          </w:cols>
          <w:pgMar w:left="248" w:top="576" w:right="239" w:bottom="1440" w:gutter="0" w:footer="0" w:header="0"/>
        </w:sectPr>
      </w:pPr>
    </w:p>
    <w:bookmarkStart w:id="49" w:name="page50"/>
    <w:bookmarkEnd w:id="49"/>
    <w:p>
      <w:pPr>
        <w:jc w:val="both"/>
        <w:ind w:left="1252" w:hanging="644"/>
        <w:spacing w:after="0" w:line="244" w:lineRule="auto"/>
        <w:tabs>
          <w:tab w:leader="none" w:pos="125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Initial Period, the Company agrees to compensate the Consultant at an hourly rate of 250 euros for the first 40 hours of Services each month, and an hourly rate of 275 euros for each hour in excess of 40 hours of Services each month, with a maximum of eight billable hours on any one day. Also during the Initial Period, the Company will pay Consultant a monthly, non-refundable retainer in the amount of 10,000 euros (the “Retainer”) to remunerate Consultant for his first 40 hours of Services each month.</w:t>
      </w:r>
    </w:p>
    <w:p>
      <w:pPr>
        <w:ind w:left="1252" w:hanging="644"/>
        <w:spacing w:after="0" w:line="239" w:lineRule="auto"/>
        <w:tabs>
          <w:tab w:leader="none" w:pos="125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After the Initial Period, the Company agrees to compensate the Consultant at an hourly rate of 275 euros for each hour of Services each month, with a maximum of eight billable hours on any one day.</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Expenses</w:t>
      </w: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reimburse to the Consultant monthly (against receipts or other appropriate evidence) the amount of all out-of-pocket expenses approved in advance by the Company and reasonably and properly incurred by the Consultant in the proper discharge of the Services.</w:t>
      </w:r>
    </w:p>
    <w:p>
      <w:pPr>
        <w:spacing w:after="0" w:line="15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Invoices</w:t>
      </w:r>
    </w:p>
    <w:p>
      <w:pPr>
        <w:spacing w:after="0" w:line="25" w:lineRule="exact"/>
        <w:rPr>
          <w:rFonts w:ascii="Times New Roman" w:cs="Times New Roman" w:eastAsia="Times New Roman" w:hAnsi="Times New Roman"/>
          <w:sz w:val="18"/>
          <w:szCs w:val="18"/>
          <w:color w:val="auto"/>
        </w:rPr>
      </w:pP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invoice the Company monthly for Services, including a brief description of the Services and the hours worked each day. The Company shall pay the Consultant’s invoice for Services in excess of the Retainer within 60 days of receipt of the invoice.</w:t>
      </w:r>
    </w:p>
    <w:p>
      <w:pPr>
        <w:spacing w:after="0" w:line="15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Obligation to pay tax</w:t>
      </w:r>
    </w:p>
    <w:p>
      <w:pPr>
        <w:spacing w:after="0" w:line="25" w:lineRule="exact"/>
        <w:rPr>
          <w:rFonts w:ascii="Times New Roman" w:cs="Times New Roman" w:eastAsia="Times New Roman" w:hAnsi="Times New Roman"/>
          <w:sz w:val="18"/>
          <w:szCs w:val="18"/>
          <w:color w:val="auto"/>
        </w:rPr>
      </w:pP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at all times pay any income tax, National Insurance contributions, VAT and other contributions required by law to be paid by him in relation to the provision of the Services, or receipt by him of the fees, or both (including any interest or penalties imposed in respect of such payments).</w:t>
      </w:r>
    </w:p>
    <w:p>
      <w:pPr>
        <w:spacing w:after="0" w:line="15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Tax indemnity</w:t>
      </w:r>
    </w:p>
    <w:p>
      <w:pPr>
        <w:spacing w:after="0" w:line="25" w:lineRule="exact"/>
        <w:rPr>
          <w:rFonts w:ascii="Times New Roman" w:cs="Times New Roman" w:eastAsia="Times New Roman" w:hAnsi="Times New Roman"/>
          <w:sz w:val="18"/>
          <w:szCs w:val="18"/>
          <w:color w:val="auto"/>
        </w:rPr>
      </w:pP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indemnify and keep indemnified the Company and each Group Company for all time on demand from and against any and all costs, claims, penalties, liabilities and expenses incurred in respect of income tax, National Insurance or other contributions due by the Consultant in relation to the provision of the Services.</w:t>
      </w:r>
    </w:p>
    <w:p>
      <w:pPr>
        <w:spacing w:after="0" w:line="15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Deductions</w:t>
      </w:r>
    </w:p>
    <w:p>
      <w:pPr>
        <w:spacing w:after="0" w:line="25" w:lineRule="exact"/>
        <w:rPr>
          <w:rFonts w:ascii="Times New Roman" w:cs="Times New Roman" w:eastAsia="Times New Roman" w:hAnsi="Times New Roman"/>
          <w:sz w:val="18"/>
          <w:szCs w:val="18"/>
          <w:color w:val="auto"/>
        </w:rPr>
      </w:pP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prejudice to the indemnity in Clause 4.6, if for any reason, the Company or any Group Company shall become liable to pay, or shall pay, any taxes or other payments referred to in Clause 4.5, the Company shall be entitled to deduct from any amounts payable to the Consultant all amounts so paid or required to be paid by or in respect of it or any Group Company in that respect.</w:t>
      </w:r>
    </w:p>
    <w:p>
      <w:pPr>
        <w:spacing w:after="0" w:line="156" w:lineRule="exact"/>
        <w:rPr>
          <w:sz w:val="20"/>
          <w:szCs w:val="20"/>
          <w:color w:val="auto"/>
        </w:rPr>
      </w:pPr>
    </w:p>
    <w:p>
      <w:pPr>
        <w:ind w:left="612" w:hanging="612"/>
        <w:spacing w:after="0"/>
        <w:tabs>
          <w:tab w:leader="none" w:pos="6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EMPLOYMENT OR AGENCY</w:t>
      </w:r>
    </w:p>
    <w:p>
      <w:pPr>
        <w:spacing w:after="0" w:line="25" w:lineRule="exact"/>
        <w:rPr>
          <w:sz w:val="20"/>
          <w:szCs w:val="20"/>
          <w:color w:val="auto"/>
        </w:rPr>
      </w:pPr>
    </w:p>
    <w:p>
      <w:pPr>
        <w:ind w:left="612" w:hanging="612"/>
        <w:spacing w:after="0"/>
        <w:tabs>
          <w:tab w:leader="none" w:pos="6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employment, agency or partnership</w:t>
      </w:r>
    </w:p>
    <w:p>
      <w:pPr>
        <w:jc w:val="both"/>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warrants and represents to the Company that he is an independent contractor. Nothing contained in this Agreement shall be construed or have effect as constituting any relationship of employer and employee, partnership or joint venture between the Company or any Group Company and the Consultant, nor shall it constitute the Consultant acting as an agent or a worker of the Company or any Group Company. Unless expressly authorised to do so, the Consultant shall not have any right or power whatsoever to contract on behalf of any Group Company or bind any Group Company in any way in relation to third parties and will not hold itself out as having such authority. The Consultant is supplying the Services to the Company and any Group Company as part of the Consultant’s business undertaking. The Company and any Group Company receiving the Services is/are the Consultant’s clients for these purposes.</w:t>
      </w:r>
    </w:p>
    <w:p>
      <w:pPr>
        <w:spacing w:after="0" w:line="159"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of Other Persons</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be responsible for the payment and/or provision of all remuneration and any benefits due to or in respect of any person whom the Consultant involves in the provision of the Services under their contract of employment or engagement with the Consultant or otherwise, including any national insurance, income tax and any other form of taxation or social security costs in respect of such person's remuneration or benefits, as well as any pension benefits to be provided to or in respect of such person.</w:t>
      </w:r>
    </w:p>
    <w:p>
      <w:pPr>
        <w:sectPr>
          <w:pgSz w:w="11900" w:h="16838" w:orient="portrait"/>
          <w:cols w:equalWidth="0" w:num="1">
            <w:col w:w="11412"/>
          </w:cols>
          <w:pgMar w:left="248" w:top="576" w:right="239" w:bottom="1440" w:gutter="0" w:footer="0" w:header="0"/>
        </w:sectPr>
      </w:pPr>
    </w:p>
    <w:bookmarkStart w:id="50" w:name="page51"/>
    <w:bookmarkEnd w:id="50"/>
    <w:p>
      <w:pPr>
        <w:ind w:left="612" w:hanging="612"/>
        <w:spacing w:after="0"/>
        <w:tabs>
          <w:tab w:leader="none" w:pos="61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indemnity AND INSURANCE</w:t>
      </w:r>
    </w:p>
    <w:p>
      <w:pPr>
        <w:spacing w:after="0" w:line="25" w:lineRule="exact"/>
        <w:rPr>
          <w:sz w:val="20"/>
          <w:szCs w:val="20"/>
          <w:color w:val="auto"/>
        </w:rPr>
      </w:pPr>
    </w:p>
    <w:p>
      <w:pPr>
        <w:ind w:left="612" w:hanging="612"/>
        <w:spacing w:after="0"/>
        <w:tabs>
          <w:tab w:leader="none" w:pos="6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Consultant’s undertaking</w:t>
      </w:r>
    </w:p>
    <w:p>
      <w:pPr>
        <w:ind w:left="612" w:right="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acknowledges that the Company will rely upon his skills and judgement in relation to the Services and undertakes that in providing the Services he will exercise all reasonable skill, care and attention in all matters.</w:t>
      </w:r>
    </w:p>
    <w:p>
      <w:pPr>
        <w:spacing w:after="0" w:line="150"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Indemnification of the Company</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indemnify and keep indemnified the Company and each Group Company for all time on demand from any and all direct or indirect damages, loss, costs, claims, liabilities and expenses incurred in respect of the Consultant’s performance (or non-performance) of the Services including in respect of any act, neglect or default of the Consultant or any person authorised by the Consultant to act on his behalf.</w:t>
      </w:r>
    </w:p>
    <w:p>
      <w:pPr>
        <w:spacing w:after="0" w:line="157"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Consultant to insure</w:t>
      </w:r>
    </w:p>
    <w:p>
      <w:pPr>
        <w:spacing w:after="0" w:line="25" w:lineRule="exact"/>
        <w:rPr>
          <w:rFonts w:ascii="Times New Roman" w:cs="Times New Roman" w:eastAsia="Times New Roman" w:hAnsi="Times New Roman"/>
          <w:sz w:val="18"/>
          <w:szCs w:val="18"/>
          <w:color w:val="auto"/>
        </w:rPr>
      </w:pP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shall maintain, at his own cost, a comprehensive policy of insurance to cover the Consultant’s liability in respect of any act, omission or default for which he may become liable himself, or become liable to indemnify the Company under this Agreement (including, insurance to cover third party, employer’s and professional liability claims).</w:t>
      </w:r>
    </w:p>
    <w:p>
      <w:pPr>
        <w:spacing w:after="0" w:line="156" w:lineRule="exact"/>
        <w:rPr>
          <w:sz w:val="20"/>
          <w:szCs w:val="20"/>
          <w:color w:val="auto"/>
        </w:rPr>
      </w:pPr>
    </w:p>
    <w:p>
      <w:pPr>
        <w:ind w:left="612" w:hanging="612"/>
        <w:spacing w:after="0"/>
        <w:tabs>
          <w:tab w:leader="none" w:pos="61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OTHER INTERESTS</w:t>
      </w:r>
    </w:p>
    <w:p>
      <w:pPr>
        <w:spacing w:after="0" w:line="25" w:lineRule="exact"/>
        <w:rPr>
          <w:sz w:val="20"/>
          <w:szCs w:val="20"/>
          <w:color w:val="auto"/>
        </w:rPr>
      </w:pPr>
    </w:p>
    <w:p>
      <w:pPr>
        <w:ind w:left="612" w:hanging="612"/>
        <w:spacing w:after="0"/>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Restrictions on other activities and interests</w:t>
      </w:r>
    </w:p>
    <w:p>
      <w:pPr>
        <w:ind w:left="61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Appointment, save with regard to the Services related to litigation as provided in Section 3 above, the Consultant may accept to perform engagements from or be employed by other persons, provided that;</w:t>
      </w:r>
    </w:p>
    <w:p>
      <w:pPr>
        <w:spacing w:after="0" w:line="154" w:lineRule="exact"/>
        <w:rPr>
          <w:rFonts w:ascii="Times New Roman" w:cs="Times New Roman" w:eastAsia="Times New Roman" w:hAnsi="Times New Roman"/>
          <w:sz w:val="18"/>
          <w:szCs w:val="18"/>
          <w:color w:val="auto"/>
        </w:rPr>
      </w:pPr>
    </w:p>
    <w:p>
      <w:pPr>
        <w:jc w:val="both"/>
        <w:ind w:left="1252" w:hanging="644"/>
        <w:spacing w:after="0" w:line="245" w:lineRule="auto"/>
        <w:tabs>
          <w:tab w:leader="none" w:pos="12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Initial Period, with regard to projects that the Consultant has been offered and accepted to undertake, the Consultant shall not within the Restricted Area be employed or engaged or at all interested (except as a Minority Holder) in that part of a business which is involved in the Protected Business if it is or seeks to be in competition with the Company or any Group Company; and</w:t>
      </w:r>
    </w:p>
    <w:p>
      <w:pPr>
        <w:spacing w:after="0" w:line="1" w:lineRule="exact"/>
        <w:rPr>
          <w:rFonts w:ascii="Times New Roman" w:cs="Times New Roman" w:eastAsia="Times New Roman" w:hAnsi="Times New Roman"/>
          <w:sz w:val="18"/>
          <w:szCs w:val="18"/>
          <w:color w:val="auto"/>
        </w:rPr>
      </w:pPr>
    </w:p>
    <w:p>
      <w:pPr>
        <w:ind w:left="1252" w:right="20" w:hanging="644"/>
        <w:spacing w:after="0" w:line="239" w:lineRule="auto"/>
        <w:tabs>
          <w:tab w:leader="none" w:pos="12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employment or engagement does not (in the reasonable opinion of the Company) impinge on the Consultant’s ability to provide the Services.</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Severance</w:t>
      </w: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agreed that if the restriction in Clause 7.1 shall be adjudged to go beyond what is reasonable in all the circumstances for the protection of the legitimate interests of the Company or a Group Company but would be adjudged reasonable if some part of it were deleted, the restriction shall apply with such deletion(s) as may be necessary to make it valid and enforceable.</w:t>
      </w:r>
    </w:p>
    <w:p>
      <w:pPr>
        <w:spacing w:after="0" w:line="156"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Conflicts</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the Initial Period, the Consultant shall immediately disclose to the Company any conflict of interest that arises in relation to the provision of the Services as a result of any present or future appointment, employment or other interest of the Consultant and any and all appointments that the Consultant accepts that may impact his ability to perform the Services or dedicate the time necessary to achieve same.</w:t>
      </w:r>
    </w:p>
    <w:p>
      <w:pPr>
        <w:spacing w:after="0" w:line="158" w:lineRule="exact"/>
        <w:rPr>
          <w:sz w:val="20"/>
          <w:szCs w:val="20"/>
          <w:color w:val="auto"/>
        </w:rPr>
      </w:pPr>
    </w:p>
    <w:p>
      <w:pPr>
        <w:ind w:left="612" w:hanging="612"/>
        <w:spacing w:after="0"/>
        <w:tabs>
          <w:tab w:leader="none" w:pos="6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CONFIDENTIAL INFORMATION</w:t>
      </w:r>
    </w:p>
    <w:p>
      <w:pPr>
        <w:spacing w:after="0" w:line="25" w:lineRule="exact"/>
        <w:rPr>
          <w:sz w:val="20"/>
          <w:szCs w:val="20"/>
          <w:color w:val="auto"/>
        </w:rPr>
      </w:pPr>
    </w:p>
    <w:p>
      <w:pPr>
        <w:ind w:left="612" w:hanging="612"/>
        <w:spacing w:after="0"/>
        <w:tabs>
          <w:tab w:leader="none" w:pos="6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Restrictions on disclosure/use of Confidential Information</w:t>
      </w:r>
    </w:p>
    <w:p>
      <w:pPr>
        <w:ind w:left="61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must not either during the Appointment (except in the proper performance of the Services) or at any time (without limit) after the Termination Date:</w:t>
      </w:r>
    </w:p>
    <w:p>
      <w:pPr>
        <w:spacing w:after="0" w:line="154"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divulge or communicate to any person;</w:t>
      </w:r>
    </w:p>
    <w:p>
      <w:pPr>
        <w:spacing w:after="0" w:line="2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for his own purposes or for any purposes other than those of the Company or any Group Company; or</w:t>
      </w:r>
    </w:p>
    <w:p>
      <w:pPr>
        <w:ind w:left="1252" w:hanging="644"/>
        <w:spacing w:after="0"/>
        <w:tabs>
          <w:tab w:leader="none" w:pos="12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through any failure to exercise due care and diligence, cause any unauthorised disclosure of</w:t>
      </w:r>
    </w:p>
    <w:p>
      <w:pPr>
        <w:jc w:val="both"/>
        <w:ind w:left="612"/>
        <w:spacing w:after="0" w:line="242" w:lineRule="auto"/>
        <w:rPr>
          <w:sz w:val="20"/>
          <w:szCs w:val="20"/>
          <w:color w:val="auto"/>
        </w:rPr>
      </w:pPr>
      <w:r>
        <w:rPr>
          <w:rFonts w:ascii="Times New Roman" w:cs="Times New Roman" w:eastAsia="Times New Roman" w:hAnsi="Times New Roman"/>
          <w:sz w:val="20"/>
          <w:szCs w:val="20"/>
          <w:color w:val="auto"/>
        </w:rPr>
        <w:t>any Confidential Information. The Consultant must at all times use his best endeavours to prevent publication or disclosure of any Confidential Information. These restrictions shall cease to apply to any information that shall become available to the public generally otherwise than through the default of the Consultant.</w:t>
      </w:r>
    </w:p>
    <w:p>
      <w:pPr>
        <w:sectPr>
          <w:pgSz w:w="11900" w:h="16838" w:orient="portrait"/>
          <w:cols w:equalWidth="0" w:num="1">
            <w:col w:w="11412"/>
          </w:cols>
          <w:pgMar w:left="248" w:top="572" w:right="239" w:bottom="1440" w:gutter="0" w:footer="0" w:header="0"/>
        </w:sectPr>
      </w:pPr>
    </w:p>
    <w:bookmarkStart w:id="51" w:name="page52"/>
    <w:bookmarkEnd w:id="51"/>
    <w:p>
      <w:pPr>
        <w:ind w:left="612" w:hanging="612"/>
        <w:spacing w:after="0"/>
        <w:tabs>
          <w:tab w:leader="none" w:pos="6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Protection of Company documents and materials</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Consultant or otherwise and in whatever medium or format) relating to the business of the Company or any Group Company or any of its or their clients (and any copies of the same):</w:t>
      </w:r>
    </w:p>
    <w:p>
      <w:pPr>
        <w:spacing w:after="0" w:line="16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be and remain the property of the Company or the relevant Group Company or client; and</w:t>
      </w:r>
    </w:p>
    <w:p>
      <w:pPr>
        <w:spacing w:after="0" w:line="21" w:lineRule="exact"/>
        <w:rPr>
          <w:rFonts w:ascii="Times New Roman" w:cs="Times New Roman" w:eastAsia="Times New Roman" w:hAnsi="Times New Roman"/>
          <w:sz w:val="18"/>
          <w:szCs w:val="18"/>
          <w:color w:val="auto"/>
        </w:rPr>
      </w:pPr>
    </w:p>
    <w:p>
      <w:pPr>
        <w:ind w:left="1252" w:hanging="644"/>
        <w:spacing w:after="0" w:line="239" w:lineRule="auto"/>
        <w:tabs>
          <w:tab w:leader="none" w:pos="12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shall be handed over by the Consultant to the Company or relevant Group Company or client on demand and in any event on the termination of the Appointment.</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Consultant undertakes that, he will not at any time during the Appointment or at any time (without limit) after the Termination Date</w:t>
      </w:r>
    </w:p>
    <w:p>
      <w:pPr>
        <w:spacing w:after="0" w:line="11" w:lineRule="exact"/>
        <w:rPr>
          <w:sz w:val="20"/>
          <w:szCs w:val="20"/>
          <w:color w:val="auto"/>
        </w:rPr>
      </w:pPr>
    </w:p>
    <w:p>
      <w:pPr>
        <w:jc w:val="both"/>
        <w:ind w:left="612"/>
        <w:spacing w:after="0" w:line="239" w:lineRule="auto"/>
        <w:rPr>
          <w:sz w:val="20"/>
          <w:szCs w:val="20"/>
          <w:color w:val="auto"/>
        </w:rPr>
      </w:pPr>
      <w:r>
        <w:rPr>
          <w:rFonts w:ascii="Times New Roman" w:cs="Times New Roman" w:eastAsia="Times New Roman" w:hAnsi="Times New Roman"/>
          <w:sz w:val="20"/>
          <w:szCs w:val="20"/>
          <w:color w:val="auto"/>
        </w:rPr>
        <w:t>make or publish or cause to be made or published to anyone in any circumstances any disparaging remarks concerning the Company or any Group Company or any of its or their respective shareholders, officers, employees or agents. The Company undertakes not to make or publish or cause to be made or published to anyone in any circumstances any disparaging remarks concerning the Consultant.</w:t>
      </w:r>
    </w:p>
    <w:p>
      <w:pPr>
        <w:spacing w:after="0" w:line="1" w:lineRule="exact"/>
        <w:rPr>
          <w:sz w:val="20"/>
          <w:szCs w:val="20"/>
          <w:color w:val="auto"/>
        </w:rPr>
      </w:pPr>
    </w:p>
    <w:p>
      <w:pPr>
        <w:ind w:left="612" w:hanging="612"/>
        <w:spacing w:after="0"/>
        <w:tabs>
          <w:tab w:leader="none" w:pos="6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TERMINATION</w:t>
      </w:r>
    </w:p>
    <w:p>
      <w:pPr>
        <w:ind w:left="612" w:hanging="612"/>
        <w:spacing w:after="0"/>
        <w:tabs>
          <w:tab w:leader="none" w:pos="6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Termination events</w:t>
      </w: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the provisions of Clause 2, the Company shall be entitled, but not bound, to terminate the Appointment with immediate effect (and without giving any period of notice or pay in lieu of notice) by giving to the Consultant notice in writing at any time after the occurrence of any one or more of the following events:</w:t>
      </w:r>
    </w:p>
    <w:p>
      <w:pPr>
        <w:spacing w:after="0" w:line="160" w:lineRule="exact"/>
        <w:rPr>
          <w:rFonts w:ascii="Times New Roman" w:cs="Times New Roman" w:eastAsia="Times New Roman" w:hAnsi="Times New Roman"/>
          <w:sz w:val="18"/>
          <w:szCs w:val="18"/>
          <w:color w:val="auto"/>
        </w:rPr>
      </w:pPr>
    </w:p>
    <w:p>
      <w:pPr>
        <w:ind w:left="1252" w:hanging="644"/>
        <w:spacing w:after="0" w:line="251" w:lineRule="auto"/>
        <w:tabs>
          <w:tab w:leader="none" w:pos="12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Consultant commits any material or persistent breach of this Agreement, or fails to perform the Services to the standard required by the Company; or</w:t>
      </w:r>
    </w:p>
    <w:p>
      <w:pPr>
        <w:ind w:left="1252" w:hanging="644"/>
        <w:spacing w:after="0"/>
        <w:tabs>
          <w:tab w:leader="none" w:pos="12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Consultant becomes insolvent or bankrupt or compounds with or grants a trust deed for the benefit of his creditors; or</w:t>
      </w:r>
    </w:p>
    <w:p>
      <w:pPr>
        <w:jc w:val="both"/>
        <w:ind w:left="1252" w:hanging="644"/>
        <w:spacing w:after="0" w:line="239" w:lineRule="auto"/>
        <w:tabs>
          <w:tab w:leader="none" w:pos="12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Consultant’s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w:t>
      </w:r>
    </w:p>
    <w:p>
      <w:pPr>
        <w:spacing w:after="0" w:line="1" w:lineRule="exact"/>
        <w:rPr>
          <w:sz w:val="20"/>
          <w:szCs w:val="20"/>
          <w:color w:val="auto"/>
        </w:rPr>
      </w:pPr>
    </w:p>
    <w:p>
      <w:pPr>
        <w:ind w:left="612" w:hanging="612"/>
        <w:spacing w:after="0"/>
        <w:tabs>
          <w:tab w:leader="none" w:pos="6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DATA PROTECTION</w:t>
      </w:r>
    </w:p>
    <w:p>
      <w:pPr>
        <w:jc w:val="both"/>
        <w:ind w:left="61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By signing this Agreement, the Consultant acknowledges and agrees that the Company is permitted to hold and process personal (and sensitive) information and data about him and any other employees of or service providers to the Consultant who provide the Services from time to time as part of its personnel and other business records; and may use such information in the course of the Company’s business. The Consultant agrees that the Company may disclose such information to third parties, including where they are situated outside the European Economic Area, in the event that such disclosure is in the Company’s view required for the proper conduct of the Company’s business or that of any associated company. This Clause applies to information held, used or disclosed in any medium. The Consultant will procure the consent of any other relevant employee or service provider of the Consultant to the terms of this clause.</w:t>
      </w:r>
    </w:p>
    <w:p>
      <w:pPr>
        <w:spacing w:after="0" w:line="145"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AMENDMENTS, WAIVERS AND REMEDIES</w:t>
      </w:r>
    </w:p>
    <w:p>
      <w:pPr>
        <w:spacing w:after="0" w:line="25" w:lineRule="exact"/>
        <w:rPr>
          <w:sz w:val="20"/>
          <w:szCs w:val="20"/>
          <w:color w:val="auto"/>
        </w:rPr>
      </w:pPr>
    </w:p>
    <w:p>
      <w:pPr>
        <w:ind w:left="612" w:hanging="612"/>
        <w:spacing w:after="0"/>
        <w:tabs>
          <w:tab w:leader="none" w:pos="6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Amendments</w:t>
      </w:r>
    </w:p>
    <w:p>
      <w:pPr>
        <w:ind w:left="61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amendment or variation of this Agreement or any of the documents referred to in it shall be effective unless it is in writing and signed by or on behalf of each of the parties.</w:t>
      </w:r>
    </w:p>
    <w:p>
      <w:pPr>
        <w:spacing w:after="0" w:line="150"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Waivers and remedies cumulative</w:t>
      </w:r>
    </w:p>
    <w:p>
      <w:pPr>
        <w:spacing w:after="0" w:line="25"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rights of each party under this Agreement:</w:t>
      </w:r>
    </w:p>
    <w:p>
      <w:pPr>
        <w:ind w:left="1912" w:hanging="656"/>
        <w:spacing w:after="0"/>
        <w:tabs>
          <w:tab w:leader="none" w:pos="191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may be exercised as often as necessary;</w:t>
      </w:r>
    </w:p>
    <w:p>
      <w:pPr>
        <w:ind w:left="1912" w:hanging="656"/>
        <w:spacing w:after="0"/>
        <w:tabs>
          <w:tab w:leader="none" w:pos="191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are cumulative and not exclusive of its rights under the general law; and</w:t>
      </w:r>
    </w:p>
    <w:p>
      <w:pPr>
        <w:ind w:left="1912" w:hanging="656"/>
        <w:spacing w:after="0"/>
        <w:tabs>
          <w:tab w:leader="none" w:pos="191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may be waived only in writing and specifically.</w:t>
      </w:r>
    </w:p>
    <w:p>
      <w:pPr>
        <w:ind w:left="1252" w:hanging="644"/>
        <w:spacing w:after="0"/>
        <w:tabs>
          <w:tab w:leader="none" w:pos="12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Delay in exercising or non-exercise of any right is not a waiver of that right.</w:t>
      </w:r>
    </w:p>
    <w:p>
      <w:pPr>
        <w:ind w:left="1252" w:right="20" w:hanging="644"/>
        <w:spacing w:after="0" w:line="246" w:lineRule="auto"/>
        <w:tabs>
          <w:tab w:leader="none" w:pos="12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right of rescission conferred upon the Company by this Agreement shall be in addition to and without prejudice to all other rights and remedies available to it.</w:t>
      </w:r>
    </w:p>
    <w:p>
      <w:pPr>
        <w:sectPr>
          <w:pgSz w:w="11900" w:h="16838" w:orient="portrait"/>
          <w:cols w:equalWidth="0" w:num="1">
            <w:col w:w="11412"/>
          </w:cols>
          <w:pgMar w:left="248" w:top="572" w:right="239" w:bottom="1440" w:gutter="0" w:footer="0" w:header="0"/>
        </w:sectPr>
      </w:pPr>
    </w:p>
    <w:bookmarkStart w:id="52" w:name="page53"/>
    <w:bookmarkEnd w:id="52"/>
    <w:p>
      <w:pPr>
        <w:ind w:left="612" w:hanging="612"/>
        <w:spacing w:after="0"/>
        <w:tabs>
          <w:tab w:leader="none" w:pos="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ENTIRE AGREEMENT</w:t>
      </w:r>
    </w:p>
    <w:p>
      <w:pPr>
        <w:spacing w:after="0" w:line="25"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the documents referred to in it and the settlement agreement executed between the Company and the Consultant on even date hereof,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2" w:lineRule="exact"/>
        <w:rPr>
          <w:rFonts w:ascii="Times New Roman" w:cs="Times New Roman" w:eastAsia="Times New Roman" w:hAnsi="Times New Roman"/>
          <w:sz w:val="18"/>
          <w:szCs w:val="18"/>
          <w:color w:val="auto"/>
        </w:rPr>
      </w:pPr>
    </w:p>
    <w:p>
      <w:pPr>
        <w:ind w:left="1252" w:hanging="644"/>
        <w:spacing w:after="0" w:line="252" w:lineRule="auto"/>
        <w:tabs>
          <w:tab w:leader="none" w:pos="125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ind w:left="1252" w:hanging="644"/>
        <w:spacing w:after="0" w:line="239" w:lineRule="auto"/>
        <w:tabs>
          <w:tab w:leader="none" w:pos="12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party agrees that it shall have no claim for innocent or negligent misrepresentation or negligent misstatement based on any statement in this Agreement.</w:t>
      </w:r>
    </w:p>
    <w:p>
      <w:pPr>
        <w:spacing w:after="0" w:line="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Nothing in this clause shall limit or exclude any liability for fraud.</w:t>
      </w:r>
    </w:p>
    <w:p>
      <w:pPr>
        <w:ind w:left="612" w:hanging="612"/>
        <w:spacing w:after="0"/>
        <w:tabs>
          <w:tab w:leader="none" w:pos="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OUTSTANDING CLAIMS</w:t>
      </w: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Consultant hereby acknowledges that he has no outstanding claims of any kind against the Company or any Group Company.</w:t>
      </w:r>
    </w:p>
    <w:p>
      <w:pPr>
        <w:spacing w:after="0" w:line="162"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SEVERANCE</w:t>
      </w:r>
    </w:p>
    <w:p>
      <w:pPr>
        <w:spacing w:after="0" w:line="25" w:lineRule="exact"/>
        <w:rPr>
          <w:rFonts w:ascii="Times New Roman" w:cs="Times New Roman" w:eastAsia="Times New Roman" w:hAnsi="Times New Roman"/>
          <w:sz w:val="18"/>
          <w:szCs w:val="18"/>
          <w:color w:val="auto"/>
        </w:rPr>
      </w:pP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provision of this Agreement is or becomes illegal, invalid or unenforceable in any jurisdiction, that shall not affect:</w:t>
      </w:r>
    </w:p>
    <w:p>
      <w:pPr>
        <w:spacing w:after="0" w:line="166"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legality, validity or enforceability in that jurisdiction of any other provisions of this Agreement; or</w:t>
      </w:r>
    </w:p>
    <w:p>
      <w:pPr>
        <w:spacing w:after="0" w:line="2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legality, validity or enforceability in any other jurisdiction of that or any other provision of this Agreement.</w:t>
      </w:r>
    </w:p>
    <w:p>
      <w:pPr>
        <w:ind w:left="612" w:hanging="612"/>
        <w:spacing w:after="0"/>
        <w:tabs>
          <w:tab w:leader="none" w:pos="6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NOTICE</w:t>
      </w:r>
    </w:p>
    <w:p>
      <w:pPr>
        <w:ind w:left="612" w:hanging="612"/>
        <w:spacing w:after="0"/>
        <w:tabs>
          <w:tab w:leader="none" w:pos="6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Notices and deemed receipt</w:t>
      </w:r>
    </w:p>
    <w:p>
      <w:pPr>
        <w:jc w:val="both"/>
        <w:ind w:left="612"/>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notice hereunder shall be given by either party to the other either personally to its Company Secretary or sent to its registered office for the time being. Any such notice shall be in writing and shall be given by letter delivered by hand or sent by first class prepaid recorded delivery or registered post or by email. Any such notice shall be deemed to have been received:</w:t>
      </w:r>
    </w:p>
    <w:p>
      <w:pPr>
        <w:spacing w:after="0" w:line="160"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delivered personally, at the time of delivery;</w:t>
      </w:r>
    </w:p>
    <w:p>
      <w:pPr>
        <w:spacing w:after="0" w:line="2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pre-paid recorded delivery or registered post, 48 hours from the date of posting; and</w:t>
      </w:r>
    </w:p>
    <w:p>
      <w:pPr>
        <w:ind w:left="1252" w:hanging="644"/>
        <w:spacing w:after="0"/>
        <w:tabs>
          <w:tab w:leader="none" w:pos="12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registered airmail, five days from the date of posting; and</w:t>
      </w:r>
    </w:p>
    <w:p>
      <w:pPr>
        <w:ind w:left="1252" w:hanging="644"/>
        <w:spacing w:after="0"/>
        <w:tabs>
          <w:tab w:leader="none" w:pos="125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email, at the time of transmission;</w:t>
      </w:r>
    </w:p>
    <w:p>
      <w:pPr>
        <w:jc w:val="both"/>
        <w:ind w:left="612"/>
        <w:spacing w:after="0" w:line="241" w:lineRule="auto"/>
        <w:rPr>
          <w:sz w:val="20"/>
          <w:szCs w:val="20"/>
          <w:color w:val="auto"/>
        </w:rPr>
      </w:pPr>
      <w:r>
        <w:rPr>
          <w:rFonts w:ascii="Times New Roman" w:cs="Times New Roman" w:eastAsia="Times New Roman" w:hAnsi="Times New Roman"/>
          <w:sz w:val="20"/>
          <w:szCs w:val="20"/>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which is not a Saturday, a Sunday or a public holiday in the place at or to which the notice is left or sent.</w:t>
      </w:r>
    </w:p>
    <w:p>
      <w:pPr>
        <w:spacing w:after="0" w:line="158" w:lineRule="exact"/>
        <w:rPr>
          <w:sz w:val="20"/>
          <w:szCs w:val="20"/>
          <w:color w:val="auto"/>
        </w:rPr>
      </w:pPr>
    </w:p>
    <w:p>
      <w:pPr>
        <w:ind w:left="612" w:hanging="612"/>
        <w:spacing w:after="0"/>
        <w:tabs>
          <w:tab w:leader="none" w:pos="6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Third party rights</w:t>
      </w:r>
    </w:p>
    <w:p>
      <w:pPr>
        <w:spacing w:after="0" w:line="25"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Nothing in this Agreement is intended to confer on any person any right to enforce any term of this Agreement which that person would not have had but for the Contracts (Rights of Third Parties) Act 1999. No right of any Party to agree any amendment, variation, waiver or settlement under or arising from or in respect of this Agreement, or to terminate this Agreement, shall be subject to the consent of any person who has rights under this Agreement by virtue of the Contracts (Rights of Third Parties) Act 1999.</w:t>
      </w:r>
    </w:p>
    <w:p>
      <w:pPr>
        <w:spacing w:after="0" w:line="157"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Assignment</w:t>
      </w:r>
    </w:p>
    <w:p>
      <w:pPr>
        <w:spacing w:after="0" w:line="25" w:lineRule="exact"/>
        <w:rPr>
          <w:rFonts w:ascii="Times New Roman" w:cs="Times New Roman" w:eastAsia="Times New Roman" w:hAnsi="Times New Roman"/>
          <w:sz w:val="18"/>
          <w:szCs w:val="18"/>
          <w:color w:val="auto"/>
        </w:rPr>
      </w:pPr>
    </w:p>
    <w:p>
      <w:pPr>
        <w:ind w:left="612"/>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Party may assign the benefit of its rights under this Agreement, whether absolutely or by way of security, or deal in any way with any interest it has under this Agreement.</w:t>
      </w:r>
    </w:p>
    <w:p>
      <w:pPr>
        <w:spacing w:after="0" w:line="150"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GOVERNING LAW AND JURISDICTION</w:t>
      </w:r>
    </w:p>
    <w:p>
      <w:pPr>
        <w:spacing w:after="0" w:line="25" w:lineRule="exact"/>
        <w:rPr>
          <w:sz w:val="20"/>
          <w:szCs w:val="20"/>
          <w:color w:val="auto"/>
        </w:rPr>
      </w:pPr>
    </w:p>
    <w:p>
      <w:pPr>
        <w:ind w:left="612" w:hanging="612"/>
        <w:spacing w:after="0"/>
        <w:tabs>
          <w:tab w:leader="none" w:pos="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Governing law</w:t>
      </w: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shall is governed by and to be construed in accordance with English law.</w:t>
      </w:r>
    </w:p>
    <w:p>
      <w:pPr>
        <w:sectPr>
          <w:pgSz w:w="11900" w:h="16838" w:orient="portrait"/>
          <w:cols w:equalWidth="0" w:num="1">
            <w:col w:w="11412"/>
          </w:cols>
          <w:pgMar w:left="248" w:top="572" w:right="239" w:bottom="1440" w:gutter="0" w:footer="0" w:header="0"/>
        </w:sectPr>
      </w:pPr>
    </w:p>
    <w:bookmarkStart w:id="53" w:name="page54"/>
    <w:bookmarkEnd w:id="53"/>
    <w:p>
      <w:pPr>
        <w:ind w:left="620" w:hanging="612"/>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Jurisdiction</w:t>
      </w:r>
    </w:p>
    <w:p>
      <w:pPr>
        <w:spacing w:after="0" w:line="25" w:lineRule="exact"/>
        <w:rPr>
          <w:rFonts w:ascii="Times New Roman" w:cs="Times New Roman" w:eastAsia="Times New Roman" w:hAnsi="Times New Roman"/>
          <w:sz w:val="18"/>
          <w:szCs w:val="18"/>
          <w:color w:val="auto"/>
        </w:rPr>
      </w:pPr>
    </w:p>
    <w:p>
      <w:pPr>
        <w:ind w:left="6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t>
      </w:r>
      <w:r>
        <w:rPr>
          <w:rFonts w:ascii="Times New Roman" w:cs="Times New Roman" w:eastAsia="Times New Roman" w:hAnsi="Times New Roman"/>
          <w:sz w:val="20"/>
          <w:szCs w:val="20"/>
          <w:color w:val="auto"/>
        </w:rPr>
        <w:t>of which this Agreement has been executed and delivered as a deed on the first date written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EXECUTED by</w:t>
            </w:r>
          </w:p>
        </w:tc>
        <w:tc>
          <w:tcPr>
            <w:tcW w:w="5860" w:type="dxa"/>
            <w:vAlign w:val="bottom"/>
          </w:tcPr>
          <w:p>
            <w:pPr>
              <w:spacing w:after="0"/>
              <w:rPr>
                <w:sz w:val="22"/>
                <w:szCs w:val="22"/>
                <w:color w:val="auto"/>
              </w:rPr>
            </w:pPr>
          </w:p>
        </w:tc>
      </w:tr>
      <w:tr>
        <w:trPr>
          <w:trHeight w:val="446"/>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Brian Sheridan</w:t>
            </w:r>
          </w:p>
        </w:tc>
        <w:tc>
          <w:tcPr>
            <w:tcW w:w="5860" w:type="dxa"/>
            <w:vAlign w:val="bottom"/>
          </w:tcPr>
          <w:p>
            <w:pPr>
              <w:spacing w:after="0"/>
              <w:rPr>
                <w:sz w:val="24"/>
                <w:szCs w:val="24"/>
                <w:color w:val="auto"/>
              </w:rPr>
            </w:pPr>
          </w:p>
        </w:tc>
      </w:tr>
      <w:tr>
        <w:trPr>
          <w:trHeight w:val="446"/>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5860" w:type="dxa"/>
            <w:vAlign w:val="bottom"/>
          </w:tcPr>
          <w:p>
            <w:pPr>
              <w:spacing w:after="0"/>
              <w:rPr>
                <w:sz w:val="24"/>
                <w:szCs w:val="24"/>
                <w:color w:val="auto"/>
              </w:rPr>
            </w:pPr>
          </w:p>
        </w:tc>
      </w:tr>
      <w:tr>
        <w:trPr>
          <w:trHeight w:val="446"/>
        </w:trPr>
        <w:tc>
          <w:tcPr>
            <w:tcW w:w="2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Witness Signature:</w:t>
            </w:r>
          </w:p>
        </w:tc>
        <w:tc>
          <w:tcPr>
            <w:tcW w:w="586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__________________________________</w:t>
            </w:r>
          </w:p>
        </w:tc>
      </w:tr>
      <w:tr>
        <w:trPr>
          <w:trHeight w:val="446"/>
        </w:trPr>
        <w:tc>
          <w:tcPr>
            <w:tcW w:w="2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Full Name:</w:t>
            </w:r>
          </w:p>
        </w:tc>
        <w:tc>
          <w:tcPr>
            <w:tcW w:w="586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__________________________________</w:t>
            </w:r>
          </w:p>
        </w:tc>
      </w:tr>
      <w:tr>
        <w:trPr>
          <w:trHeight w:val="446"/>
        </w:trPr>
        <w:tc>
          <w:tcPr>
            <w:tcW w:w="2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5860" w:type="dxa"/>
            <w:vAlign w:val="bottom"/>
          </w:tcPr>
          <w:p>
            <w:pPr>
              <w:jc w:val="right"/>
              <w:ind w:right="1201"/>
              <w:spacing w:after="0"/>
              <w:rPr>
                <w:sz w:val="20"/>
                <w:szCs w:val="20"/>
                <w:color w:val="auto"/>
              </w:rPr>
            </w:pPr>
            <w:r>
              <w:rPr>
                <w:rFonts w:ascii="Times New Roman" w:cs="Times New Roman" w:eastAsia="Times New Roman" w:hAnsi="Times New Roman"/>
                <w:sz w:val="20"/>
                <w:szCs w:val="20"/>
                <w:color w:val="auto"/>
              </w:rPr>
              <w:t>__________________________________</w:t>
            </w:r>
          </w:p>
        </w:tc>
      </w:tr>
      <w:tr>
        <w:trPr>
          <w:trHeight w:val="446"/>
        </w:trPr>
        <w:tc>
          <w:tcPr>
            <w:tcW w:w="2680" w:type="dxa"/>
            <w:vAlign w:val="bottom"/>
          </w:tcPr>
          <w:p>
            <w:pPr>
              <w:spacing w:after="0"/>
              <w:rPr>
                <w:sz w:val="24"/>
                <w:szCs w:val="24"/>
                <w:color w:val="auto"/>
              </w:rPr>
            </w:pPr>
          </w:p>
        </w:tc>
        <w:tc>
          <w:tcPr>
            <w:tcW w:w="5860" w:type="dxa"/>
            <w:vAlign w:val="bottom"/>
          </w:tcPr>
          <w:p>
            <w:pPr>
              <w:jc w:val="right"/>
              <w:ind w:right="1221"/>
              <w:spacing w:after="0"/>
              <w:rPr>
                <w:sz w:val="20"/>
                <w:szCs w:val="20"/>
                <w:color w:val="auto"/>
              </w:rPr>
            </w:pPr>
            <w:r>
              <w:rPr>
                <w:rFonts w:ascii="Times New Roman" w:cs="Times New Roman" w:eastAsia="Times New Roman" w:hAnsi="Times New Roman"/>
                <w:sz w:val="20"/>
                <w:szCs w:val="20"/>
                <w:color w:val="auto"/>
              </w:rPr>
              <w:t>__________________________________</w:t>
            </w:r>
          </w:p>
        </w:tc>
      </w:tr>
      <w:tr>
        <w:trPr>
          <w:trHeight w:val="446"/>
        </w:trPr>
        <w:tc>
          <w:tcPr>
            <w:tcW w:w="268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__________________________________</w:t>
            </w:r>
          </w:p>
        </w:tc>
      </w:tr>
    </w:tbl>
    <w:p>
      <w:pPr>
        <w:spacing w:after="0" w:line="200" w:lineRule="exact"/>
        <w:rPr>
          <w:sz w:val="20"/>
          <w:szCs w:val="20"/>
          <w:color w:val="auto"/>
        </w:rPr>
      </w:pPr>
    </w:p>
    <w:p>
      <w:pPr>
        <w:sectPr>
          <w:pgSz w:w="11900" w:h="16838" w:orient="portrait"/>
          <w:cols w:equalWidth="0" w:num="1">
            <w:col w:w="11420"/>
          </w:cols>
          <w:pgMar w:left="240" w:top="5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as a Deed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by LivaNova PLC acting by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Damien McDonald,</w:t>
      </w: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w:t>
      </w:r>
    </w:p>
    <w:p>
      <w:pPr>
        <w:spacing w:after="0" w:line="686" w:lineRule="exact"/>
        <w:rPr>
          <w:sz w:val="20"/>
          <w:szCs w:val="20"/>
          <w:color w:val="auto"/>
        </w:rPr>
      </w:pPr>
    </w:p>
    <w:p>
      <w:pPr>
        <w:sectPr>
          <w:pgSz w:w="11900" w:h="16838" w:orient="portrait"/>
          <w:cols w:equalWidth="0" w:num="2">
            <w:col w:w="3160" w:space="720"/>
            <w:col w:w="7540"/>
          </w:cols>
          <w:pgMar w:left="240" w:top="5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In the presence of:</w:t>
      </w:r>
    </w:p>
    <w:p>
      <w:pPr>
        <w:sectPr>
          <w:pgSz w:w="11900" w:h="16838" w:orient="portrait"/>
          <w:cols w:equalWidth="0" w:num="1">
            <w:col w:w="11420"/>
          </w:cols>
          <w:pgMar w:left="240" w:top="572" w:right="239" w:bottom="1440" w:gutter="0" w:footer="0" w:header="0"/>
          <w:type w:val="continuous"/>
        </w:sect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Witness Signature: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ectPr>
          <w:pgSz w:w="11900" w:h="16838" w:orient="portrait"/>
          <w:cols w:equalWidth="0" w:num="2">
            <w:col w:w="3160" w:space="720"/>
            <w:col w:w="7540"/>
          </w:cols>
          <w:pgMar w:left="240" w:top="572" w:right="2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Full Name: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w:t>
      </w:r>
    </w:p>
    <w:p>
      <w:pPr>
        <w:spacing w:after="0" w:line="200" w:lineRule="exact"/>
        <w:rPr>
          <w:sz w:val="20"/>
          <w:szCs w:val="20"/>
          <w:color w:val="auto"/>
        </w:rPr>
      </w:pPr>
    </w:p>
    <w:p>
      <w:pPr>
        <w:sectPr>
          <w:pgSz w:w="11900" w:h="16838" w:orient="portrait"/>
          <w:cols w:equalWidth="0" w:num="2">
            <w:col w:w="3160" w:space="720"/>
            <w:col w:w="7540"/>
          </w:cols>
          <w:pgMar w:left="240" w:top="572" w:right="2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ectPr>
          <w:pgSz w:w="11900" w:h="16838" w:orient="portrait"/>
          <w:cols w:equalWidth="0" w:num="2">
            <w:col w:w="3160" w:space="720"/>
            <w:col w:w="7540"/>
          </w:cols>
          <w:pgMar w:left="240" w:top="572" w:right="239" w:bottom="1440" w:gutter="0" w:footer="0" w:header="0"/>
          <w:type w:val="continuous"/>
        </w:sectPr>
      </w:pP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__________________________________</w:t>
      </w:r>
    </w:p>
    <w:p>
      <w:pPr>
        <w:sectPr>
          <w:pgSz w:w="11900" w:h="16838" w:orient="portrait"/>
          <w:cols w:equalWidth="0" w:num="1">
            <w:col w:w="11420"/>
          </w:cols>
          <w:pgMar w:left="240" w:top="572" w:right="23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10.69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___ April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Vivid Sehgal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160" w:firstLine="3154"/>
        <w:spacing w:after="0" w:line="386" w:lineRule="auto"/>
        <w:rPr>
          <w:sz w:val="20"/>
          <w:szCs w:val="20"/>
          <w:color w:val="auto"/>
        </w:rPr>
      </w:pPr>
      <w:r>
        <w:rPr>
          <w:rFonts w:ascii="Times New Roman" w:cs="Times New Roman" w:eastAsia="Times New Roman" w:hAnsi="Times New Roman"/>
          <w:sz w:val="20"/>
          <w:szCs w:val="20"/>
          <w:b w:val="1"/>
          <w:bCs w:val="1"/>
          <w:color w:val="auto"/>
        </w:rPr>
        <w:t xml:space="preserve">WITHOUT PREJUDICE AND SUBJECT TO CONTRACT THIS AGREEMENT </w:t>
      </w:r>
      <w:r>
        <w:rPr>
          <w:rFonts w:ascii="Times New Roman" w:cs="Times New Roman" w:eastAsia="Times New Roman" w:hAnsi="Times New Roman"/>
          <w:sz w:val="20"/>
          <w:szCs w:val="20"/>
          <w:color w:val="auto"/>
        </w:rPr>
        <w:t>is made on ___ April 2017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189" w:lineRule="exact"/>
        <w:rPr>
          <w:sz w:val="20"/>
          <w:szCs w:val="20"/>
          <w:color w:val="auto"/>
        </w:rPr>
      </w:pPr>
    </w:p>
    <w:p>
      <w:pPr>
        <w:ind w:left="620" w:right="20" w:hanging="612"/>
        <w:spacing w:after="0" w:line="253" w:lineRule="auto"/>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LIVANOVA PLC</w:t>
      </w:r>
      <w:r>
        <w:rPr>
          <w:rFonts w:ascii="Times New Roman" w:cs="Times New Roman" w:eastAsia="Times New Roman" w:hAnsi="Times New Roman"/>
          <w:sz w:val="20"/>
          <w:szCs w:val="20"/>
          <w:color w:val="auto"/>
        </w:rPr>
        <w:t>, a company registered in England with registered number 09451374 and having its registered office at 20 Eastbourne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Terrace, London W2 6LG, England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w:t>
      </w:r>
    </w:p>
    <w:p>
      <w:pPr>
        <w:ind w:left="620" w:hanging="612"/>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VIVID SEHGAL</w:t>
      </w:r>
      <w:r>
        <w:rPr>
          <w:rFonts w:ascii="Times New Roman" w:cs="Times New Roman" w:eastAsia="Times New Roman" w:hAnsi="Times New Roman"/>
          <w:sz w:val="20"/>
          <w:szCs w:val="20"/>
          <w:color w:val="auto"/>
        </w:rPr>
        <w:t>, residing at 35 Kent Avenue, Ealing, London W13 8BE, England (the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167" w:lineRule="exact"/>
        <w:rPr>
          <w:sz w:val="20"/>
          <w:szCs w:val="20"/>
          <w:color w:val="auto"/>
        </w:rPr>
      </w:pPr>
    </w:p>
    <w:p>
      <w:pPr>
        <w:ind w:left="620" w:hanging="612"/>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Executive’s employment with the Company will terminate on 31 May 2017;</w:t>
      </w:r>
    </w:p>
    <w:p>
      <w:pPr>
        <w:spacing w:after="0" w:line="2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Executive believes he has the Claims (as that term is defined below) arising out of the termination of his employment or otherwise;</w:t>
      </w:r>
    </w:p>
    <w:p>
      <w:pPr>
        <w:spacing w:after="0" w:line="11" w:lineRule="exact"/>
        <w:rPr>
          <w:rFonts w:ascii="Times New Roman" w:cs="Times New Roman" w:eastAsia="Times New Roman" w:hAnsi="Times New Roman"/>
          <w:sz w:val="17"/>
          <w:szCs w:val="17"/>
          <w:color w:val="auto"/>
        </w:rPr>
      </w:pPr>
    </w:p>
    <w:p>
      <w:pPr>
        <w:jc w:val="both"/>
        <w:ind w:left="620" w:hanging="612"/>
        <w:spacing w:after="0" w:line="252"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parties have entered into this Agreement for the purposes of recording and implementing the terms that they have agreed as full and final settlement of the Claims and any and all other claims that the Executive has and/or may have against the Company and any Group Company (as defined below) whether or not they are or could be in the contemplation of the parties at the date of this Agreement;</w:t>
      </w:r>
    </w:p>
    <w:p>
      <w:pPr>
        <w:ind w:left="620" w:hanging="612"/>
        <w:spacing w:after="0" w:line="239" w:lineRule="auto"/>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agree that the conditions regulating settlement agreements under the Acts (as defined below) are satisfied by this Agreement; and</w:t>
      </w:r>
    </w:p>
    <w:p>
      <w:pPr>
        <w:spacing w:after="0" w:line="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entering into this Agreement for itself and for all Group Companies, and is duly authorised to do so in that respect.</w:t>
      </w: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82" w:lineRule="exact"/>
        <w:rPr>
          <w:sz w:val="20"/>
          <w:szCs w:val="20"/>
          <w:color w:val="auto"/>
        </w:rPr>
      </w:pPr>
    </w:p>
    <w:p>
      <w:pPr>
        <w:ind w:left="620" w:hanging="612"/>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Definitions and interpretation</w:t>
      </w:r>
    </w:p>
    <w:p>
      <w:pPr>
        <w:spacing w:after="0" w:line="26" w:lineRule="exact"/>
        <w:rPr>
          <w:sz w:val="20"/>
          <w:szCs w:val="20"/>
          <w:color w:val="auto"/>
        </w:rPr>
      </w:pPr>
    </w:p>
    <w:p>
      <w:pPr>
        <w:ind w:left="620" w:hanging="612"/>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Definitions</w:t>
      </w:r>
    </w:p>
    <w:p>
      <w:pPr>
        <w:sectPr>
          <w:pgSz w:w="11900" w:h="16838" w:orient="portrait"/>
          <w:cols w:equalWidth="0" w:num="1">
            <w:col w:w="11420"/>
          </w:cols>
          <w:pgMar w:left="240" w:top="576" w:right="239" w:bottom="1440" w:gutter="0" w:footer="0" w:header="0"/>
        </w:sectPr>
      </w:pPr>
    </w:p>
    <w:bookmarkStart w:id="55" w:name="page56"/>
    <w:bookmarkEnd w:id="55"/>
    <w:p>
      <w:pPr>
        <w:ind w:left="632"/>
        <w:spacing w:after="0"/>
        <w:rPr>
          <w:sz w:val="20"/>
          <w:szCs w:val="20"/>
          <w:color w:val="auto"/>
        </w:rPr>
      </w:pPr>
      <w:r>
        <w:rPr>
          <w:rFonts w:ascii="Times New Roman" w:cs="Times New Roman" w:eastAsia="Times New Roman" w:hAnsi="Times New Roman"/>
          <w:sz w:val="19"/>
          <w:szCs w:val="19"/>
          <w:color w:val="auto"/>
        </w:rPr>
        <w:t>In this Agreement, unless the context otherwise requires:</w:t>
      </w:r>
    </w:p>
    <w:p>
      <w:pPr>
        <w:sectPr>
          <w:pgSz w:w="11900" w:h="16838" w:orient="portrait"/>
          <w:cols w:equalWidth="0" w:num="1">
            <w:col w:w="11412"/>
          </w:cols>
          <w:pgMar w:left="248" w:top="589" w:right="239" w:bottom="1440" w:gutter="0" w:footer="0" w:header="0"/>
        </w:sectPr>
      </w:pPr>
    </w:p>
    <w:p>
      <w:pPr>
        <w:spacing w:after="0" w:line="304"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the Acts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Claims”</w:t>
      </w:r>
    </w:p>
    <w:p>
      <w:pPr>
        <w:spacing w:after="0" w:line="283"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Company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Schedule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0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1020"/>
        <w:spacing w:after="0" w:line="267" w:lineRule="auto"/>
        <w:rPr>
          <w:sz w:val="20"/>
          <w:szCs w:val="20"/>
          <w:color w:val="auto"/>
        </w:rPr>
      </w:pPr>
      <w:r>
        <w:rPr>
          <w:rFonts w:ascii="Times New Roman" w:cs="Times New Roman" w:eastAsia="Times New Roman" w:hAnsi="Times New Roman"/>
          <w:sz w:val="20"/>
          <w:szCs w:val="20"/>
          <w:color w:val="auto"/>
        </w:rPr>
        <w:t>means the Employment Rights Act 1996 section 203(3) and the Equality Act 2010, section 147</w:t>
      </w:r>
    </w:p>
    <w:p>
      <w:pPr>
        <w:spacing w:after="0" w:line="1" w:lineRule="exact"/>
        <w:rPr>
          <w:sz w:val="20"/>
          <w:szCs w:val="20"/>
          <w:color w:val="auto"/>
        </w:rPr>
      </w:pPr>
    </w:p>
    <w:p>
      <w:pPr>
        <w:jc w:val="both"/>
        <w:ind w:right="1020"/>
        <w:spacing w:after="0" w:line="254" w:lineRule="auto"/>
        <w:rPr>
          <w:sz w:val="20"/>
          <w:szCs w:val="20"/>
          <w:color w:val="auto"/>
        </w:rPr>
      </w:pPr>
      <w:r>
        <w:rPr>
          <w:rFonts w:ascii="Times New Roman" w:cs="Times New Roman" w:eastAsia="Times New Roman" w:hAnsi="Times New Roman"/>
          <w:sz w:val="20"/>
          <w:szCs w:val="20"/>
          <w:color w:val="auto"/>
        </w:rPr>
        <w:t>means the claims that the Executive believes that he has against the Company or any Group Company or against any of its or their respective shareholders, officers, employees or agents, being:</w:t>
      </w:r>
    </w:p>
    <w:p>
      <w:pPr>
        <w:spacing w:after="0" w:line="67" w:lineRule="exact"/>
        <w:rPr>
          <w:sz w:val="20"/>
          <w:szCs w:val="20"/>
          <w:color w:val="auto"/>
        </w:rPr>
      </w:pPr>
    </w:p>
    <w:p>
      <w:pPr>
        <w:ind w:left="400" w:right="1020"/>
        <w:spacing w:after="0" w:line="251" w:lineRule="auto"/>
        <w:rPr>
          <w:sz w:val="20"/>
          <w:szCs w:val="20"/>
          <w:color w:val="auto"/>
        </w:rPr>
      </w:pPr>
      <w:r>
        <w:rPr>
          <w:rFonts w:ascii="Times New Roman" w:cs="Times New Roman" w:eastAsia="Times New Roman" w:hAnsi="Times New Roman"/>
          <w:sz w:val="20"/>
          <w:szCs w:val="20"/>
          <w:color w:val="auto"/>
        </w:rPr>
        <w:t>for breach of contract arising out of his employment, or termination of the employment, or otherwise;</w:t>
      </w:r>
    </w:p>
    <w:p>
      <w:pPr>
        <w:ind w:left="400" w:right="2620"/>
        <w:spacing w:after="0" w:line="239" w:lineRule="auto"/>
        <w:rPr>
          <w:sz w:val="20"/>
          <w:szCs w:val="20"/>
          <w:color w:val="auto"/>
        </w:rPr>
      </w:pPr>
      <w:r>
        <w:rPr>
          <w:rFonts w:ascii="Times New Roman" w:cs="Times New Roman" w:eastAsia="Times New Roman" w:hAnsi="Times New Roman"/>
          <w:sz w:val="20"/>
          <w:szCs w:val="20"/>
          <w:color w:val="auto"/>
        </w:rPr>
        <w:t>for unfair dismissal under the Employment Rights Act 1996; in relation to unauthorized deductions from wages;</w:t>
      </w:r>
    </w:p>
    <w:p>
      <w:pPr>
        <w:spacing w:after="0" w:line="1" w:lineRule="exact"/>
        <w:rPr>
          <w:sz w:val="20"/>
          <w:szCs w:val="20"/>
          <w:color w:val="auto"/>
        </w:rPr>
      </w:pPr>
    </w:p>
    <w:p>
      <w:pPr>
        <w:ind w:left="400" w:right="1020"/>
        <w:spacing w:after="0"/>
        <w:rPr>
          <w:sz w:val="20"/>
          <w:szCs w:val="20"/>
          <w:color w:val="auto"/>
        </w:rPr>
      </w:pPr>
      <w:r>
        <w:rPr>
          <w:rFonts w:ascii="Times New Roman" w:cs="Times New Roman" w:eastAsia="Times New Roman" w:hAnsi="Times New Roman"/>
          <w:sz w:val="20"/>
          <w:szCs w:val="20"/>
          <w:color w:val="auto"/>
        </w:rPr>
        <w:t>for discrimination, harassment or victimisation on the grounds of age, sex, race or nationality or any other unlawful ground, pursuant to the Equality Act 2010; for breach of contract or any other rights to or in respect of shares or other securities or securities based incentives in the Company or any Group Company; for unlawful detriment under the Employment Rights Act 1996; and under the Public Interest Disclosure Act 1998.</w:t>
      </w:r>
    </w:p>
    <w:p>
      <w:pPr>
        <w:spacing w:after="0" w:line="30" w:lineRule="exact"/>
        <w:rPr>
          <w:sz w:val="20"/>
          <w:szCs w:val="20"/>
          <w:color w:val="auto"/>
        </w:rPr>
      </w:pPr>
    </w:p>
    <w:p>
      <w:pPr>
        <w:jc w:val="both"/>
        <w:ind w:right="1020"/>
        <w:spacing w:after="0" w:line="267" w:lineRule="auto"/>
        <w:rPr>
          <w:sz w:val="20"/>
          <w:szCs w:val="20"/>
          <w:color w:val="auto"/>
        </w:rPr>
      </w:pPr>
      <w:r>
        <w:rPr>
          <w:rFonts w:ascii="Times New Roman" w:cs="Times New Roman" w:eastAsia="Times New Roman" w:hAnsi="Times New Roman"/>
          <w:sz w:val="20"/>
          <w:szCs w:val="20"/>
          <w:color w:val="auto"/>
        </w:rPr>
        <w:t>means the duly appointed compensation committee of the board of directors of the Company</w:t>
      </w:r>
    </w:p>
    <w:p>
      <w:pPr>
        <w:spacing w:after="0" w:line="1" w:lineRule="exact"/>
        <w:rPr>
          <w:sz w:val="20"/>
          <w:szCs w:val="20"/>
          <w:color w:val="auto"/>
        </w:rPr>
      </w:pPr>
    </w:p>
    <w:p>
      <w:pPr>
        <w:jc w:val="both"/>
        <w:ind w:right="1020"/>
        <w:spacing w:after="0" w:line="247" w:lineRule="auto"/>
        <w:rPr>
          <w:sz w:val="20"/>
          <w:szCs w:val="20"/>
          <w:color w:val="auto"/>
        </w:rPr>
      </w:pPr>
      <w:r>
        <w:rPr>
          <w:rFonts w:ascii="Times New Roman" w:cs="Times New Roman" w:eastAsia="Times New Roman" w:hAnsi="Times New Roman"/>
          <w:sz w:val="20"/>
          <w:szCs w:val="20"/>
          <w:color w:val="auto"/>
        </w:rPr>
        <w:t>means the Company, any presently existing or future holding company or undertaking of the Company and any presently existing or future subsidiaries and subsidiary undertakings of the Company or such holding company or undertaking (and the words “subsidiary” and “holding company” shall have the meanings given to them in section 1159 in the Companies Act 2006)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any company within the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a schedule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means the 31 May 2017</w:t>
      </w:r>
    </w:p>
    <w:p>
      <w:pPr>
        <w:spacing w:after="0" w:line="200" w:lineRule="exact"/>
        <w:rPr>
          <w:sz w:val="20"/>
          <w:szCs w:val="20"/>
          <w:color w:val="auto"/>
        </w:rPr>
      </w:pPr>
    </w:p>
    <w:p>
      <w:pPr>
        <w:sectPr>
          <w:pgSz w:w="11900" w:h="16838" w:orient="portrait"/>
          <w:cols w:equalWidth="0" w:num="2">
            <w:col w:w="3412" w:space="160"/>
            <w:col w:w="7840"/>
          </w:cols>
          <w:pgMar w:left="248" w:top="589" w:right="239" w:bottom="1440" w:gutter="0" w:footer="0" w:header="0"/>
          <w:type w:val="continuous"/>
        </w:sectPr>
      </w:pPr>
    </w:p>
    <w:p>
      <w:pPr>
        <w:spacing w:after="0" w:line="228" w:lineRule="exact"/>
        <w:rPr>
          <w:sz w:val="20"/>
          <w:szCs w:val="20"/>
          <w:color w:val="auto"/>
        </w:rPr>
      </w:pPr>
    </w:p>
    <w:p>
      <w:pPr>
        <w:ind w:left="612" w:hanging="612"/>
        <w:spacing w:after="0"/>
        <w:tabs>
          <w:tab w:leader="none" w:pos="6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Interpretation and Construction</w:t>
      </w:r>
    </w:p>
    <w:p>
      <w:pPr>
        <w:spacing w:after="0" w:line="25" w:lineRule="exact"/>
        <w:rPr>
          <w:rFonts w:ascii="Times New Roman" w:cs="Times New Roman" w:eastAsia="Times New Roman" w:hAnsi="Times New Roman"/>
          <w:sz w:val="18"/>
          <w:szCs w:val="18"/>
          <w:color w:val="auto"/>
        </w:rPr>
      </w:pP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Save to the extent that the context or the express provisions of this Agreement require otherwise, in this Agreement:</w:t>
      </w:r>
    </w:p>
    <w:p>
      <w:pPr>
        <w:spacing w:after="0" w:line="166"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words importing the singular shall include the plural and vice versa;</w:t>
      </w:r>
    </w:p>
    <w:p>
      <w:pPr>
        <w:spacing w:after="0" w:line="2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words importing any gender shall include all other genders;</w:t>
      </w:r>
    </w:p>
    <w:p>
      <w:pPr>
        <w:jc w:val="both"/>
        <w:ind w:left="1252" w:hanging="644"/>
        <w:spacing w:after="0" w:line="239" w:lineRule="auto"/>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any statute or statutory provision (including any subordinate legislation) include any statute or statutory provision which amends, extends, consolidates or replaces the same, or which has been amended, extended, consolidated or replaced by the same, and shall include any orders, regulations, instruments or other subordinate legislation made under the relevant statute or statutory provision;</w:t>
      </w:r>
    </w:p>
    <w:p>
      <w:pPr>
        <w:spacing w:after="0" w:line="2"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 w:lineRule="exact"/>
        <w:rPr>
          <w:rFonts w:ascii="Times New Roman" w:cs="Times New Roman" w:eastAsia="Times New Roman" w:hAnsi="Times New Roman"/>
          <w:sz w:val="18"/>
          <w:szCs w:val="18"/>
          <w:color w:val="auto"/>
        </w:rPr>
      </w:pPr>
    </w:p>
    <w:p>
      <w:pPr>
        <w:ind w:left="1252" w:hanging="644"/>
        <w:spacing w:after="0" w:line="239" w:lineRule="auto"/>
        <w:tabs>
          <w:tab w:leader="none" w:pos="12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words “other” and “otherwise” shall not be construed eiusdem generis with any foregoing words where a wider construction is possible.</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Headings</w:t>
      </w: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headings in this Agreement are included for convenience only and shall be ignored in construing the Agreement.</w:t>
      </w:r>
    </w:p>
    <w:p>
      <w:pPr>
        <w:sectPr>
          <w:pgSz w:w="11900" w:h="16838" w:orient="portrait"/>
          <w:cols w:equalWidth="0" w:num="1">
            <w:col w:w="11412"/>
          </w:cols>
          <w:pgMar w:left="248" w:top="589" w:right="239" w:bottom="1440" w:gutter="0" w:footer="0" w:header="0"/>
          <w:type w:val="continuous"/>
        </w:sectPr>
      </w:pPr>
    </w:p>
    <w:bookmarkStart w:id="56" w:name="page57"/>
    <w:bookmarkEnd w:id="56"/>
    <w:p>
      <w:pPr>
        <w:ind w:left="612" w:hanging="612"/>
        <w:spacing w:after="0"/>
        <w:tabs>
          <w:tab w:leader="none" w:pos="6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Termination of Employment and offices</w:t>
      </w:r>
    </w:p>
    <w:p>
      <w:pPr>
        <w:spacing w:after="0" w:line="26" w:lineRule="exact"/>
        <w:rPr>
          <w:sz w:val="20"/>
          <w:szCs w:val="20"/>
          <w:color w:val="auto"/>
        </w:rPr>
      </w:pPr>
    </w:p>
    <w:p>
      <w:pPr>
        <w:jc w:val="both"/>
        <w:ind w:left="612" w:hanging="612"/>
        <w:spacing w:after="0" w:line="239" w:lineRule="auto"/>
        <w:tabs>
          <w:tab w:leader="none" w:pos="6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employment of the Executive with the Company will terminate on the Termination Date. Up to and including the Termination Date, the Executive will continue to be bound by his current service agreement and his duties will include working to deliver a smooth transition to any successor as Chief Financial Officer of the Company appointed prior to the Termination Date. The Company acknowledges that the Executive has already made holiday arrangements for the last two weeks of May and confirms that he will not be required to change those.</w:t>
      </w:r>
    </w:p>
    <w:p>
      <w:pPr>
        <w:spacing w:after="0" w:line="2"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will immediately deliver to the Company the letter of resignation in terms of the draft letter set out at Schedule 1 confirming his resignation from his employment and from all directorships and other offices which the Executive holds in the Company and the Group.</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will do all such acts and things as the Company may require to effect his resignation from all offices to which the Executive was appointed in connection with or by reason of his employment by or appointment with the Company or any Group Company, including all trusteeships.</w:t>
      </w:r>
    </w:p>
    <w:p>
      <w:pPr>
        <w:spacing w:after="0" w:line="1" w:lineRule="exact"/>
        <w:rPr>
          <w:sz w:val="20"/>
          <w:szCs w:val="20"/>
          <w:color w:val="auto"/>
        </w:rPr>
      </w:pPr>
    </w:p>
    <w:p>
      <w:pPr>
        <w:ind w:left="612" w:hanging="612"/>
        <w:spacing w:after="0"/>
        <w:tabs>
          <w:tab w:leader="none" w:pos="6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PaymentS</w:t>
      </w:r>
    </w:p>
    <w:p>
      <w:pPr>
        <w:ind w:left="612" w:hanging="612"/>
        <w:spacing w:after="0" w:line="239" w:lineRule="auto"/>
        <w:tabs>
          <w:tab w:leader="none" w:pos="6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compliance by the Executive with the terms of this Agreement, the Company will (without admission of liability) pay to the Executive the following sums (the “</w:t>
      </w:r>
      <w:r>
        <w:rPr>
          <w:rFonts w:ascii="Times New Roman" w:cs="Times New Roman" w:eastAsia="Times New Roman" w:hAnsi="Times New Roman"/>
          <w:sz w:val="20"/>
          <w:szCs w:val="20"/>
          <w:b w:val="1"/>
          <w:bCs w:val="1"/>
          <w:color w:val="auto"/>
        </w:rPr>
        <w:t>Severance Payments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ind w:left="1252" w:hanging="644"/>
        <w:spacing w:after="0" w:line="239" w:lineRule="auto"/>
        <w:tabs>
          <w:tab w:leader="none" w:pos="12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£239,067 as a payment in lieu of notice comprising four months of base salary, supplemental pension contribution and auto allowance and five months of 2017 target bonus; and (the “</w:t>
      </w:r>
      <w:r>
        <w:rPr>
          <w:rFonts w:ascii="Times New Roman" w:cs="Times New Roman" w:eastAsia="Times New Roman" w:hAnsi="Times New Roman"/>
          <w:sz w:val="20"/>
          <w:szCs w:val="20"/>
          <w:b w:val="1"/>
          <w:bCs w:val="1"/>
          <w:color w:val="auto"/>
        </w:rPr>
        <w:t>PILON</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8"/>
          <w:szCs w:val="18"/>
          <w:color w:val="auto"/>
        </w:rPr>
      </w:pPr>
    </w:p>
    <w:p>
      <w:pPr>
        <w:ind w:left="1252" w:hanging="644"/>
        <w:spacing w:after="0" w:line="239" w:lineRule="auto"/>
        <w:tabs>
          <w:tab w:leader="none" w:pos="12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provision of seven months of supplemental health insurance coverage (1 June 2017 through 31 December 2017) at a cost of approximately £42,000; and</w:t>
      </w:r>
    </w:p>
    <w:p>
      <w:pPr>
        <w:spacing w:after="0" w:line="1" w:lineRule="exact"/>
        <w:rPr>
          <w:rFonts w:ascii="Times New Roman" w:cs="Times New Roman" w:eastAsia="Times New Roman" w:hAnsi="Times New Roman"/>
          <w:sz w:val="18"/>
          <w:szCs w:val="18"/>
          <w:color w:val="auto"/>
        </w:rPr>
      </w:pPr>
    </w:p>
    <w:p>
      <w:pPr>
        <w:ind w:left="1252" w:hanging="644"/>
        <w:spacing w:after="0"/>
        <w:tabs>
          <w:tab w:leader="none" w:pos="12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£100 in respect of the undertakings given in Clause 10.</w:t>
      </w:r>
    </w:p>
    <w:p>
      <w:pPr>
        <w:ind w:left="612" w:right="20" w:hanging="612"/>
        <w:spacing w:after="0" w:line="239" w:lineRule="auto"/>
        <w:tabs>
          <w:tab w:leader="none" w:pos="6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pay the PILON in a single payment no later than 30 June 2017. No Severance Payments will be paid prior to the Company’s receipt of this Agreement duly executed by the Executive and his solicitor.</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Severance Payments set out above are gross amounts and will be made after deduction of all payments or deductions required by law or owed by the Executive to the Company or any Group Company, including tax due on any benefits or payments made or to be made to the Executive in respect of his employment with the Company.</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Following the production of an appropriate copy VAT invoice identifying the Company as third party payor, the Company shall pay to</w:t>
      </w:r>
    </w:p>
    <w:p>
      <w:pPr>
        <w:ind w:left="612" w:right="20"/>
        <w:spacing w:after="0" w:line="239" w:lineRule="auto"/>
        <w:rPr>
          <w:sz w:val="20"/>
          <w:szCs w:val="20"/>
          <w:color w:val="auto"/>
        </w:rPr>
      </w:pPr>
      <w:r>
        <w:rPr>
          <w:rFonts w:ascii="Times New Roman" w:cs="Times New Roman" w:eastAsia="Times New Roman" w:hAnsi="Times New Roman"/>
          <w:sz w:val="20"/>
          <w:szCs w:val="20"/>
          <w:color w:val="auto"/>
        </w:rPr>
        <w:t>the Adviser (as defined in clause 13(b)) up to a maximum of £10,000 in respect of the Executive's legal expenses incurred only in connection with the termination of his employment.</w:t>
      </w:r>
    </w:p>
    <w:p>
      <w:pPr>
        <w:spacing w:after="0" w:line="1" w:lineRule="exact"/>
        <w:rPr>
          <w:sz w:val="20"/>
          <w:szCs w:val="20"/>
          <w:color w:val="auto"/>
        </w:rPr>
      </w:pPr>
    </w:p>
    <w:p>
      <w:pPr>
        <w:ind w:left="612" w:hanging="612"/>
        <w:spacing w:after="0"/>
        <w:tabs>
          <w:tab w:leader="none" w:pos="6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Taxation</w:t>
      </w:r>
    </w:p>
    <w:p>
      <w:pPr>
        <w:jc w:val="both"/>
        <w:ind w:left="612" w:hanging="612"/>
        <w:spacing w:after="0" w:line="239" w:lineRule="auto"/>
        <w:tabs>
          <w:tab w:leader="none" w:pos="6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understands that the Severance Payments under Clauses 3.1(a) and 3.1(d) (together the “</w:t>
      </w:r>
      <w:r>
        <w:rPr>
          <w:rFonts w:ascii="Times New Roman" w:cs="Times New Roman" w:eastAsia="Times New Roman" w:hAnsi="Times New Roman"/>
          <w:sz w:val="20"/>
          <w:szCs w:val="20"/>
          <w:b w:val="1"/>
          <w:bCs w:val="1"/>
          <w:color w:val="auto"/>
        </w:rPr>
        <w:t>Taxable Amount</w:t>
      </w:r>
      <w:r>
        <w:rPr>
          <w:rFonts w:ascii="Times New Roman" w:cs="Times New Roman" w:eastAsia="Times New Roman" w:hAnsi="Times New Roman"/>
          <w:sz w:val="20"/>
          <w:szCs w:val="20"/>
          <w:color w:val="auto"/>
        </w:rPr>
        <w:t>”) will be subject to deduction by the Company of tax at the appropriate rate and employee’s National Insurance contributions before payment is made to the Executive. The Company will account to HMRC for the tax and National Insurance contributions deducted.</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52" w:lineRule="auto"/>
        <w:tabs>
          <w:tab w:leader="none" w:pos="61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Executive will be responsible and liable for the payment of any tax and employee’s National Insurance contributions and any social security contributions and other employment related taxes wherever in the world arising (including any interest, penalties, costs and expenses) due in respect of the Severance Payments and the benefits and incentives (if any) set out in this Agreement (excluding the tax and National Insurance contributions deducted by the Company from the Taxable Amount) (the “</w:t>
      </w:r>
      <w:r>
        <w:rPr>
          <w:rFonts w:ascii="Times New Roman" w:cs="Times New Roman" w:eastAsia="Times New Roman" w:hAnsi="Times New Roman"/>
          <w:sz w:val="19"/>
          <w:szCs w:val="19"/>
          <w:b w:val="1"/>
          <w:bCs w:val="1"/>
          <w:color w:val="auto"/>
        </w:rPr>
        <w:t>Additional Tax</w:t>
      </w:r>
      <w:r>
        <w:rPr>
          <w:rFonts w:ascii="Times New Roman" w:cs="Times New Roman" w:eastAsia="Times New Roman" w:hAnsi="Times New Roman"/>
          <w:sz w:val="19"/>
          <w:szCs w:val="19"/>
          <w:color w:val="auto"/>
        </w:rPr>
        <w:t>”). The Executive will indemnify the Company and each Group Company and keep them indemnified on a continuing basis against all and any liability for Additional Tax that the Company or any Group Company may incur. No payment of Additional Tax will be made to HMRC or other</w:t>
      </w:r>
    </w:p>
    <w:p>
      <w:pPr>
        <w:spacing w:after="0" w:line="1" w:lineRule="exact"/>
        <w:rPr>
          <w:sz w:val="20"/>
          <w:szCs w:val="20"/>
          <w:color w:val="auto"/>
        </w:rPr>
      </w:pPr>
    </w:p>
    <w:p>
      <w:pPr>
        <w:ind w:left="612"/>
        <w:spacing w:after="0" w:line="239" w:lineRule="auto"/>
        <w:rPr>
          <w:sz w:val="20"/>
          <w:szCs w:val="20"/>
          <w:color w:val="auto"/>
        </w:rPr>
      </w:pPr>
      <w:r>
        <w:rPr>
          <w:rFonts w:ascii="Times New Roman" w:cs="Times New Roman" w:eastAsia="Times New Roman" w:hAnsi="Times New Roman"/>
          <w:sz w:val="20"/>
          <w:szCs w:val="20"/>
          <w:color w:val="auto"/>
        </w:rPr>
        <w:t>relevant tax authority without first particulars of the proposed payment being given to the Executive so that he is given the opportunity, at his own expense, to dispute any such payment or liability with HMRC or other relevant authority.</w:t>
      </w:r>
    </w:p>
    <w:p>
      <w:pPr>
        <w:spacing w:after="0" w:line="1" w:lineRule="exact"/>
        <w:rPr>
          <w:sz w:val="20"/>
          <w:szCs w:val="20"/>
          <w:color w:val="auto"/>
        </w:rPr>
      </w:pPr>
    </w:p>
    <w:p>
      <w:pPr>
        <w:ind w:left="612" w:hanging="612"/>
        <w:spacing w:after="0"/>
        <w:tabs>
          <w:tab w:leader="none" w:pos="6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Payment of Accrued Sums and Expenses</w:t>
      </w:r>
    </w:p>
    <w:p>
      <w:pPr>
        <w:jc w:val="both"/>
        <w:ind w:left="612" w:hanging="612"/>
        <w:spacing w:after="0" w:line="241" w:lineRule="auto"/>
        <w:tabs>
          <w:tab w:leader="none" w:pos="6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will pay the Executive his basic salary and continue to provide any contractual benefits in respect of the period up to the Termination Date and pay in lieu of unused days of holiday which have accrued up to the Termination Date. For the purposes of calculating unused holiday, the Company acknowledges that the Executive has carried over 6 days from his 2016 annual holiday entitlement. The sums will be paid via payroll in the normal way and will be paid after deduction of tax and National Insurance contributions.</w:t>
      </w:r>
    </w:p>
    <w:p>
      <w:pPr>
        <w:sectPr>
          <w:pgSz w:w="11900" w:h="16838" w:orient="portrait"/>
          <w:cols w:equalWidth="0" w:num="1">
            <w:col w:w="11412"/>
          </w:cols>
          <w:pgMar w:left="248" w:top="572" w:right="239" w:bottom="1440" w:gutter="0" w:footer="0" w:header="0"/>
        </w:sectPr>
      </w:pPr>
    </w:p>
    <w:bookmarkStart w:id="57" w:name="page58"/>
    <w:bookmarkEnd w:id="57"/>
    <w:p>
      <w:pPr>
        <w:jc w:val="both"/>
        <w:ind w:left="612" w:hanging="612"/>
        <w:spacing w:after="0" w:line="247" w:lineRule="auto"/>
        <w:tabs>
          <w:tab w:leader="none" w:pos="6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will submit his final expenses claim made up to the Termination Date within 10 days after the Termination Date. The Company will reimburse the Executive for all expenses reasonably incurred in the proper performance of his duties in accordance with Company guidelines.</w:t>
      </w:r>
    </w:p>
    <w:p>
      <w:pPr>
        <w:jc w:val="both"/>
        <w:ind w:left="612" w:hanging="612"/>
        <w:spacing w:after="0" w:line="239" w:lineRule="auto"/>
        <w:tabs>
          <w:tab w:leader="none" w:pos="6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Notwithstanding the termination of his employment, the Executive will continue to be eligible to receive a payment under the Company’s annual discretionary bonus plan (the “</w:t>
      </w:r>
      <w:r>
        <w:rPr>
          <w:rFonts w:ascii="Times New Roman" w:cs="Times New Roman" w:eastAsia="Times New Roman" w:hAnsi="Times New Roman"/>
          <w:sz w:val="20"/>
          <w:szCs w:val="20"/>
          <w:b w:val="1"/>
          <w:bCs w:val="1"/>
          <w:color w:val="auto"/>
        </w:rPr>
        <w:t>Bonus Plan</w:t>
      </w:r>
      <w:r>
        <w:rPr>
          <w:rFonts w:ascii="Times New Roman" w:cs="Times New Roman" w:eastAsia="Times New Roman" w:hAnsi="Times New Roman"/>
          <w:sz w:val="20"/>
          <w:szCs w:val="20"/>
          <w:color w:val="auto"/>
        </w:rPr>
        <w:t>”) in respect of the 2016 bonus year. The amount of any bonus will be calculated by reference to the same percentage of the target amount used to calculate the bonus awarded to other executives under the Bonus Plan. Any payment of bonus under the Bonus Plan will be paid in 2017 at the same time that bonus payments are made to other executives under the Bonus Plan.</w:t>
      </w:r>
    </w:p>
    <w:p>
      <w:pPr>
        <w:spacing w:after="0" w:line="2" w:lineRule="exact"/>
        <w:rPr>
          <w:sz w:val="20"/>
          <w:szCs w:val="20"/>
          <w:color w:val="auto"/>
        </w:rPr>
      </w:pPr>
    </w:p>
    <w:p>
      <w:pPr>
        <w:ind w:left="612" w:hanging="612"/>
        <w:spacing w:after="0"/>
        <w:tabs>
          <w:tab w:leader="none" w:pos="61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share incentives</w:t>
      </w:r>
    </w:p>
    <w:p>
      <w:pPr>
        <w:jc w:val="both"/>
        <w:ind w:left="612" w:right="20" w:hanging="612"/>
        <w:spacing w:after="0" w:line="239" w:lineRule="auto"/>
        <w:tabs>
          <w:tab w:leader="none" w:pos="6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Compensation Committee has determined, in accordance with its power under the LivaNova Plc 2015 Incentive Award Plan, that the 5,208 RSUs of the Executive’s RSUs granted pursuant to his award agreement dated 11 March 2016 that would have vested on 11 March 2018 shall vest on the Termination Date.</w:t>
      </w:r>
    </w:p>
    <w:p>
      <w:pPr>
        <w:spacing w:after="0" w:line="1" w:lineRule="exact"/>
        <w:rPr>
          <w:rFonts w:ascii="Times New Roman" w:cs="Times New Roman" w:eastAsia="Times New Roman" w:hAnsi="Times New Roman"/>
          <w:sz w:val="18"/>
          <w:szCs w:val="18"/>
          <w:color w:val="auto"/>
        </w:rPr>
      </w:pPr>
    </w:p>
    <w:p>
      <w:pPr>
        <w:ind w:left="612" w:hanging="612"/>
        <w:spacing w:after="0" w:line="239" w:lineRule="auto"/>
        <w:tabs>
          <w:tab w:leader="none" w:pos="61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other RSU and SAR awards (or other awards that are linked to shares in the Company or any Group Company) granted to the Executive and not vested as of the Termination Date will lapse on that date.</w:t>
      </w:r>
    </w:p>
    <w:p>
      <w:pPr>
        <w:spacing w:after="0" w:line="1" w:lineRule="exact"/>
        <w:rPr>
          <w:sz w:val="20"/>
          <w:szCs w:val="20"/>
          <w:color w:val="auto"/>
        </w:rPr>
      </w:pPr>
    </w:p>
    <w:p>
      <w:pPr>
        <w:ind w:left="612" w:hanging="612"/>
        <w:spacing w:after="0"/>
        <w:tabs>
          <w:tab w:leader="none" w:pos="6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Warranties</w:t>
      </w:r>
    </w:p>
    <w:p>
      <w:pPr>
        <w:ind w:left="612" w:hanging="612"/>
        <w:spacing w:after="0"/>
        <w:tabs>
          <w:tab w:leader="none" w:pos="6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warrants that:</w:t>
      </w:r>
    </w:p>
    <w:p>
      <w:pPr>
        <w:ind w:left="1252" w:right="20" w:hanging="644"/>
        <w:spacing w:after="0" w:line="239" w:lineRule="auto"/>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he has not raised any legal proceedings against the Company or any Group Company or against any of its or their respective shareholders, officers, employees or agents; and</w:t>
      </w:r>
    </w:p>
    <w:p>
      <w:pPr>
        <w:spacing w:after="0" w:line="1" w:lineRule="exact"/>
        <w:rPr>
          <w:rFonts w:ascii="Times New Roman" w:cs="Times New Roman" w:eastAsia="Times New Roman" w:hAnsi="Times New Roman"/>
          <w:sz w:val="18"/>
          <w:szCs w:val="18"/>
          <w:color w:val="auto"/>
        </w:rPr>
      </w:pPr>
    </w:p>
    <w:p>
      <w:pPr>
        <w:jc w:val="both"/>
        <w:ind w:left="1252" w:hanging="644"/>
        <w:spacing w:after="0" w:line="239" w:lineRule="auto"/>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the Claims, as of the date of this Agreement, he has no further or outstanding claims or rights of action, being any further or outstanding claims or rights of action, whether under statute or common law (including contractual, tortious or other claims) and whether before an Employment Tribunal, court or otherwise and whether in the UK or any other jurisdiction in the world against the Company or any Group Company or any of its or their respective shareholders, officers, employees or agents including in respect of or arising out of his employment, or the holding of any office with or investment in the Company or any Group Company or the termination of that employment or office (such claims or rights of action referred to as “</w:t>
      </w:r>
      <w:r>
        <w:rPr>
          <w:rFonts w:ascii="Times New Roman" w:cs="Times New Roman" w:eastAsia="Times New Roman" w:hAnsi="Times New Roman"/>
          <w:sz w:val="20"/>
          <w:szCs w:val="20"/>
          <w:b w:val="1"/>
          <w:b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w:t>
      </w:r>
    </w:p>
    <w:p>
      <w:pPr>
        <w:spacing w:after="0" w:line="3"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warrants as a strict condition to payment under this Agreement that there are no circumstances of which he is aware or of which he ought to be aware which could constitute a repudiatory breach by him of his contract of employment which would entitle or have entitled the Company to terminate his employment without notice.</w:t>
      </w:r>
    </w:p>
    <w:p>
      <w:pPr>
        <w:spacing w:after="0" w:line="1"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warrants that as at the date of this Agreement it is not aware of any claims or circumstances giving rise to any claims</w:t>
      </w:r>
    </w:p>
    <w:p>
      <w:pPr>
        <w:ind w:left="612"/>
        <w:spacing w:after="0"/>
        <w:rPr>
          <w:sz w:val="20"/>
          <w:szCs w:val="20"/>
          <w:color w:val="auto"/>
        </w:rPr>
      </w:pPr>
      <w:r>
        <w:rPr>
          <w:rFonts w:ascii="Times New Roman" w:cs="Times New Roman" w:eastAsia="Times New Roman" w:hAnsi="Times New Roman"/>
          <w:sz w:val="20"/>
          <w:szCs w:val="20"/>
          <w:color w:val="auto"/>
        </w:rPr>
        <w:t>against the Executive personally relating to the period in which he was an employee of the Company.</w:t>
      </w:r>
    </w:p>
    <w:p>
      <w:pPr>
        <w:ind w:left="612" w:hanging="612"/>
        <w:spacing w:after="0"/>
        <w:tabs>
          <w:tab w:leader="none" w:pos="61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Settlement</w:t>
      </w:r>
    </w:p>
    <w:p>
      <w:pPr>
        <w:jc w:val="both"/>
        <w:ind w:left="612" w:hanging="612"/>
        <w:spacing w:after="0" w:line="239" w:lineRule="auto"/>
        <w:tabs>
          <w:tab w:leader="none" w:pos="6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clause 8.3, the Executive accepts the terms of this Agreement in full and final settlement of the Claims and all and any Further Claims, whether such claims are known or unknown to the parties and whether or not they are or could be in the contemplation of the parties at the date of this Agreement, which are waived and released in full. The Company accepts the terms of this Agreement in full and final settlement of any claims it or any Group Company has or may have, known or unknown, arising out of the Executive’s services to the Company or any Group Company.</w:t>
      </w:r>
    </w:p>
    <w:p>
      <w:pPr>
        <w:spacing w:after="0" w:line="2"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undertakes not to institute or pursue any proceedings against the Company or any Group Company or against any of its or their respective shareholders, officers, employees or agents before an Employment Tribunal, court or any other judicial body anywhere in the world in respect of the Claims or for any remedy arising from any Further Claims.</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does not waive his right to bring a claim for accrued rights under any pension scheme or damages for latent personal injuries and/or any latent industrial disease arising out of the course of his employment with the Company and/or the Group that are currently unknown to him. The Executive warrants that he is not aware of having any such personal injuries. These exceptions are the only claims which have not been settled by this Agreement.</w:t>
      </w:r>
    </w:p>
    <w:p>
      <w:pPr>
        <w:spacing w:after="0" w:line="2" w:lineRule="exact"/>
        <w:rPr>
          <w:rFonts w:ascii="Times New Roman" w:cs="Times New Roman" w:eastAsia="Times New Roman" w:hAnsi="Times New Roman"/>
          <w:sz w:val="18"/>
          <w:szCs w:val="18"/>
          <w:color w:val="auto"/>
        </w:rPr>
      </w:pPr>
    </w:p>
    <w:p>
      <w:pPr>
        <w:jc w:val="both"/>
        <w:ind w:left="612" w:hanging="612"/>
        <w:spacing w:after="0" w:line="242" w:lineRule="auto"/>
        <w:tabs>
          <w:tab w:leader="none" w:pos="61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terms of Clause 8.3, if any other claim emerges in law or in fact anywhere in the world based on anything done or omitted to be done during the period of the Executive’s employment by the Company which was not previously known or foreseeable by the Executive, then the Executive agrees that there should</w:t>
      </w:r>
    </w:p>
    <w:p>
      <w:pPr>
        <w:sectPr>
          <w:pgSz w:w="11900" w:h="16838" w:orient="portrait"/>
          <w:cols w:equalWidth="0" w:num="1">
            <w:col w:w="11412"/>
          </w:cols>
          <w:pgMar w:left="248" w:top="576" w:right="239" w:bottom="1440" w:gutter="0" w:footer="0" w:header="0"/>
        </w:sectPr>
      </w:pPr>
    </w:p>
    <w:bookmarkStart w:id="58" w:name="page59"/>
    <w:bookmarkEnd w:id="58"/>
    <w:p>
      <w:pPr>
        <w:jc w:val="both"/>
        <w:ind w:left="612"/>
        <w:spacing w:after="0" w:line="268" w:lineRule="auto"/>
        <w:rPr>
          <w:sz w:val="20"/>
          <w:szCs w:val="20"/>
          <w:color w:val="auto"/>
        </w:rPr>
      </w:pPr>
      <w:r>
        <w:rPr>
          <w:rFonts w:ascii="Times New Roman" w:cs="Times New Roman" w:eastAsia="Times New Roman" w:hAnsi="Times New Roman"/>
          <w:sz w:val="20"/>
          <w:szCs w:val="20"/>
          <w:color w:val="auto"/>
        </w:rPr>
        <w:t>be no recourse to any remedy for the claim against the Company or any Group Company. The Executive acknowledges and accepts that in agreeing to the level of the Severance Payments he has taken into account that he has waived the right to pursue any such claims, whether foreseeable or not previously known, against the Company or any Group Company.</w:t>
      </w:r>
    </w:p>
    <w:p>
      <w:pPr>
        <w:spacing w:after="0" w:line="1" w:lineRule="exact"/>
        <w:rPr>
          <w:sz w:val="20"/>
          <w:szCs w:val="20"/>
          <w:color w:val="auto"/>
        </w:rPr>
      </w:pPr>
    </w:p>
    <w:p>
      <w:pPr>
        <w:ind w:left="612" w:hanging="612"/>
        <w:spacing w:after="0"/>
        <w:tabs>
          <w:tab w:leader="none" w:pos="6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Acknowledgement</w:t>
      </w:r>
    </w:p>
    <w:p>
      <w:pPr>
        <w:spacing w:after="0" w:line="6" w:lineRule="exact"/>
        <w:rPr>
          <w:rFonts w:ascii="Times New Roman" w:cs="Times New Roman" w:eastAsia="Times New Roman" w:hAnsi="Times New Roman"/>
          <w:sz w:val="18"/>
          <w:szCs w:val="18"/>
          <w:color w:val="auto"/>
        </w:rPr>
      </w:pPr>
    </w:p>
    <w:p>
      <w:pPr>
        <w:jc w:val="both"/>
        <w:ind w:left="612"/>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acknowledges that the Company has entered into this Agreement and made the Severance Payments in reliance on the warranties and the undertakings given by him in Clause 7 and Clause 8 respectively. In the event of any breach by the Executive of any of those warranties or undertakings, the Severance Payments shall be repaid by him to the Company immediately and shall be recoverable by the Company as a debt.</w:t>
      </w:r>
    </w:p>
    <w:p>
      <w:pPr>
        <w:spacing w:after="0" w:line="157" w:lineRule="exact"/>
        <w:rPr>
          <w:rFonts w:ascii="Times New Roman" w:cs="Times New Roman" w:eastAsia="Times New Roman" w:hAnsi="Times New Roman"/>
          <w:sz w:val="18"/>
          <w:szCs w:val="18"/>
          <w:color w:val="auto"/>
        </w:rPr>
      </w:pPr>
    </w:p>
    <w:p>
      <w:pPr>
        <w:ind w:left="612" w:hanging="612"/>
        <w:spacing w:after="0"/>
        <w:tabs>
          <w:tab w:leader="none" w:pos="61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Confidentiality</w:t>
      </w:r>
    </w:p>
    <w:p>
      <w:pPr>
        <w:spacing w:after="0" w:line="25" w:lineRule="exact"/>
        <w:rPr>
          <w:sz w:val="20"/>
          <w:szCs w:val="20"/>
          <w:color w:val="auto"/>
        </w:rPr>
      </w:pPr>
    </w:p>
    <w:p>
      <w:pPr>
        <w:ind w:left="612" w:hanging="612"/>
        <w:spacing w:after="0"/>
        <w:tabs>
          <w:tab w:leader="none" w:pos="61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agrees he continues to owe a duty of confidentiality to the Company and to the Group after the Termination Date.</w:t>
      </w:r>
    </w:p>
    <w:p>
      <w:pPr>
        <w:jc w:val="both"/>
        <w:ind w:left="612" w:hanging="612"/>
        <w:spacing w:after="0" w:line="239" w:lineRule="auto"/>
        <w:tabs>
          <w:tab w:leader="none" w:pos="61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undertakes not to do any act or thing that might reasonably be expected would damage the business, interests or reputation of the Company or any Group Company and will not make or publish or cause to be made or published to anyone in any circumstances any disparaging remarks concerning the Company or any Group Company or any of its or their respective shareholders, officers, employees or agents.</w:t>
      </w:r>
    </w:p>
    <w:p>
      <w:pPr>
        <w:spacing w:after="0" w:line="2"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Group Company will authorise anyone to make or publish or cause to be made or published to anyone any statement or do any act or thing which it or they might reasonably expect would damage the interests or reputation of the Executive.</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39" w:lineRule="auto"/>
        <w:tabs>
          <w:tab w:leader="none" w:pos="61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acknowledges and agrees that whilst the consideration paid pursuant to Clause 3.1(d) represents valuable consideration it does not amount to an estimate of or cap on the loss or damage which the Company or any Group Company would suffer were the Executive to breach any of the obligations set out in this Clause.</w:t>
      </w:r>
    </w:p>
    <w:p>
      <w:pPr>
        <w:spacing w:after="0" w:line="1" w:lineRule="exact"/>
        <w:rPr>
          <w:sz w:val="20"/>
          <w:szCs w:val="20"/>
          <w:color w:val="auto"/>
        </w:rPr>
      </w:pPr>
    </w:p>
    <w:p>
      <w:pPr>
        <w:ind w:left="612" w:hanging="612"/>
        <w:spacing w:after="0"/>
        <w:tabs>
          <w:tab w:leader="none" w:pos="6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INDEMNIFICATION</w:t>
      </w:r>
    </w:p>
    <w:p>
      <w:pPr>
        <w:jc w:val="both"/>
        <w:ind w:left="612" w:hanging="612"/>
        <w:spacing w:after="0" w:line="239" w:lineRule="auto"/>
        <w:tabs>
          <w:tab w:leader="none" w:pos="61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September 2015, the Company and the Executive entered into a deed of indemnity ("the Deed") relating to acts and omissions of the Executive while employed by the Company. The Deed shall continue in full force and effect according to its terms notwithstanding the termination of the Executive's employment and directorship.</w:t>
      </w:r>
    </w:p>
    <w:p>
      <w:pPr>
        <w:spacing w:after="0" w:line="1" w:lineRule="exact"/>
        <w:rPr>
          <w:rFonts w:ascii="Times New Roman" w:cs="Times New Roman" w:eastAsia="Times New Roman" w:hAnsi="Times New Roman"/>
          <w:sz w:val="18"/>
          <w:szCs w:val="18"/>
          <w:color w:val="auto"/>
        </w:rPr>
      </w:pPr>
    </w:p>
    <w:p>
      <w:pPr>
        <w:jc w:val="both"/>
        <w:ind w:left="612" w:hanging="612"/>
        <w:spacing w:after="0" w:line="271" w:lineRule="auto"/>
        <w:tabs>
          <w:tab w:leader="none" w:pos="61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Company will, for a period of not less than six calendar years following the Termination Date, maintain directors’ and officers’ insurance for the benefit of the Executive in respect of those liabilities which he incurred as a director or officer of the Company or any</w:t>
      </w:r>
    </w:p>
    <w:p>
      <w:pPr>
        <w:spacing w:after="0" w:line="169" w:lineRule="exact"/>
        <w:rPr>
          <w:sz w:val="20"/>
          <w:szCs w:val="20"/>
          <w:color w:val="auto"/>
        </w:rPr>
      </w:pPr>
    </w:p>
    <w:p>
      <w:pPr>
        <w:ind w:left="612" w:hanging="612"/>
        <w:spacing w:after="0"/>
        <w:tabs>
          <w:tab w:leader="none" w:pos="6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Delivery Up</w:t>
      </w:r>
    </w:p>
    <w:p>
      <w:pPr>
        <w:spacing w:after="0" w:line="26" w:lineRule="exact"/>
        <w:rPr>
          <w:sz w:val="20"/>
          <w:szCs w:val="20"/>
          <w:color w:val="auto"/>
        </w:rPr>
      </w:pPr>
    </w:p>
    <w:p>
      <w:pPr>
        <w:jc w:val="both"/>
        <w:ind w:left="612" w:hanging="612"/>
        <w:spacing w:after="0" w:line="239" w:lineRule="auto"/>
        <w:tabs>
          <w:tab w:leader="none" w:pos="6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will return to the Company’s premises on or before the Termination Date all books, documents, papers, data (including copies or extracts and whether in printed or electronic format), materials, credit cards, keys, security cards or other property of or relating to the business of the Company or the Group or its or their respective clients or suppliers. The Executive shall be entitled to retain for his personal use his company-assigned iPhone, iPad, and Surface Pro laptop computer, in each case without a company-paid wireless service plan.</w:t>
      </w:r>
    </w:p>
    <w:p>
      <w:pPr>
        <w:spacing w:after="0" w:line="2" w:lineRule="exact"/>
        <w:rPr>
          <w:rFonts w:ascii="Times New Roman" w:cs="Times New Roman" w:eastAsia="Times New Roman" w:hAnsi="Times New Roman"/>
          <w:sz w:val="18"/>
          <w:szCs w:val="18"/>
          <w:color w:val="auto"/>
        </w:rPr>
      </w:pPr>
    </w:p>
    <w:p>
      <w:pPr>
        <w:ind w:left="612" w:right="20" w:hanging="612"/>
        <w:spacing w:after="0" w:line="239" w:lineRule="auto"/>
        <w:tabs>
          <w:tab w:leader="none" w:pos="6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confirms that he will not, after the Termination Date, retain any confidential information relating to the Company or the Group, whether stored in electronic format or otherwise, except as may be retained with the express consent of the Company.</w:t>
      </w:r>
    </w:p>
    <w:p>
      <w:pPr>
        <w:spacing w:after="0" w:line="1" w:lineRule="exact"/>
        <w:rPr>
          <w:sz w:val="20"/>
          <w:szCs w:val="20"/>
          <w:color w:val="auto"/>
        </w:rPr>
      </w:pPr>
    </w:p>
    <w:p>
      <w:pPr>
        <w:ind w:left="612" w:hanging="612"/>
        <w:spacing w:after="0"/>
        <w:tabs>
          <w:tab w:leader="none" w:pos="6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Statutory settlement</w:t>
      </w:r>
    </w:p>
    <w:p>
      <w:pPr>
        <w:ind w:left="6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is made in compliance with the Acts which have been satisfied both generally and in the following particulars:</w:t>
      </w:r>
    </w:p>
    <w:p>
      <w:pPr>
        <w:spacing w:after="0" w:line="166" w:lineRule="exact"/>
        <w:rPr>
          <w:rFonts w:ascii="Times New Roman" w:cs="Times New Roman" w:eastAsia="Times New Roman" w:hAnsi="Times New Roman"/>
          <w:sz w:val="18"/>
          <w:szCs w:val="18"/>
          <w:color w:val="auto"/>
        </w:rPr>
      </w:pPr>
    </w:p>
    <w:p>
      <w:pPr>
        <w:ind w:left="1252" w:hanging="644"/>
        <w:spacing w:after="0" w:line="251"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confirms that he has received independent legal advice on the terms and effect of this Agreement, and in particular its effect on his ability to pursue his rights before an Employment Tribunal or court;</w:t>
      </w:r>
    </w:p>
    <w:p>
      <w:pPr>
        <w:ind w:left="1252" w:hanging="644"/>
        <w:spacing w:after="0" w:line="239"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said legal advice has been given to the Executive by Jane Fielding whose address is Gowling WLG(UK) LLP, Two Snow Hill, Birmingham B4 6WR (the Adviser); and</w:t>
      </w:r>
    </w:p>
    <w:p>
      <w:pPr>
        <w:spacing w:after="0" w:line="1" w:lineRule="exact"/>
        <w:rPr>
          <w:rFonts w:ascii="Times New Roman" w:cs="Times New Roman" w:eastAsia="Times New Roman" w:hAnsi="Times New Roman"/>
          <w:sz w:val="18"/>
          <w:szCs w:val="18"/>
          <w:color w:val="auto"/>
        </w:rPr>
      </w:pPr>
    </w:p>
    <w:p>
      <w:pPr>
        <w:jc w:val="both"/>
        <w:ind w:left="1252" w:hanging="644"/>
        <w:spacing w:after="0" w:line="242"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Adviser has confirmed to the Executive that she is a qualified solicitor holding a current practising certificate and in respect of whom there is in force a policy of professional indemnity insurance covering the risk of a claim against her and the said firm in respect of loss arising in consequence of the said</w:t>
      </w:r>
    </w:p>
    <w:p>
      <w:pPr>
        <w:sectPr>
          <w:pgSz w:w="11900" w:h="16838" w:orient="portrait"/>
          <w:cols w:equalWidth="0" w:num="1">
            <w:col w:w="11412"/>
          </w:cols>
          <w:pgMar w:left="248" w:top="589" w:right="239" w:bottom="1440" w:gutter="0" w:footer="0" w:header="0"/>
        </w:sectPr>
      </w:pPr>
    </w:p>
    <w:bookmarkStart w:id="59" w:name="page60"/>
    <w:bookmarkEnd w:id="59"/>
    <w:p>
      <w:pPr>
        <w:jc w:val="center"/>
        <w:ind w:right="120"/>
        <w:spacing w:after="0"/>
        <w:rPr>
          <w:sz w:val="20"/>
          <w:szCs w:val="20"/>
          <w:color w:val="auto"/>
        </w:rPr>
      </w:pPr>
      <w:r>
        <w:rPr>
          <w:rFonts w:ascii="Times New Roman" w:cs="Times New Roman" w:eastAsia="Times New Roman" w:hAnsi="Times New Roman"/>
          <w:sz w:val="20"/>
          <w:szCs w:val="20"/>
          <w:color w:val="auto"/>
        </w:rPr>
        <w:t>advice and by signing the Certificate attached to this Agreement also confirms that she complies with the Acts.</w:t>
      </w:r>
    </w:p>
    <w:p>
      <w:pPr>
        <w:spacing w:after="0" w:line="28" w:lineRule="exact"/>
        <w:rPr>
          <w:sz w:val="20"/>
          <w:szCs w:val="20"/>
          <w:color w:val="auto"/>
        </w:rPr>
      </w:pPr>
    </w:p>
    <w:p>
      <w:pPr>
        <w:ind w:left="620" w:hanging="612"/>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SERVICE AGREEMENT</w:t>
      </w:r>
    </w:p>
    <w:p>
      <w:pPr>
        <w:spacing w:after="0" w:line="6" w:lineRule="exact"/>
        <w:rPr>
          <w:sz w:val="20"/>
          <w:szCs w:val="20"/>
          <w:color w:val="auto"/>
        </w:rPr>
      </w:pPr>
    </w:p>
    <w:p>
      <w:pPr>
        <w:ind w:left="620" w:hanging="612"/>
        <w:spacing w:after="0" w:line="239" w:lineRule="auto"/>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Executive confirms that all clauses in his terms and conditions of employment with the Company that are described as applying after the termination of his employment including the restrictions set out in Clauses 15, 16 and 19, will continue to apply to him.</w:t>
      </w:r>
    </w:p>
    <w:p>
      <w:pPr>
        <w:spacing w:after="0" w:line="1" w:lineRule="exact"/>
        <w:rPr>
          <w:sz w:val="20"/>
          <w:szCs w:val="20"/>
          <w:color w:val="auto"/>
        </w:rPr>
      </w:pPr>
    </w:p>
    <w:p>
      <w:pPr>
        <w:ind w:left="620" w:hanging="612"/>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p>
    <w:p>
      <w:pPr>
        <w:ind w:left="620" w:right="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may be executed in any number of counterparts, including facsimiles, each of which is an original and all of which together evidence the same agreement.</w:t>
      </w:r>
    </w:p>
    <w:p>
      <w:pPr>
        <w:spacing w:after="0" w:line="150"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Governing Law and Jurisdiction</w:t>
      </w:r>
    </w:p>
    <w:p>
      <w:pPr>
        <w:spacing w:after="0" w:line="26" w:lineRule="exact"/>
        <w:rPr>
          <w:sz w:val="20"/>
          <w:szCs w:val="20"/>
          <w:color w:val="auto"/>
        </w:rPr>
      </w:pPr>
    </w:p>
    <w:p>
      <w:pPr>
        <w:ind w:left="620" w:hanging="612"/>
        <w:spacing w:after="0" w:line="239" w:lineRule="auto"/>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is governed and to be construed in accordance with English law and any dispute is subject to the exclusive jurisdiction of the English courts.</w:t>
      </w:r>
    </w:p>
    <w:p>
      <w:pPr>
        <w:spacing w:after="0" w:line="1" w:lineRule="exact"/>
        <w:rPr>
          <w:rFonts w:ascii="Times New Roman" w:cs="Times New Roman" w:eastAsia="Times New Roman" w:hAnsi="Times New Roman"/>
          <w:sz w:val="18"/>
          <w:szCs w:val="18"/>
          <w:color w:val="auto"/>
        </w:rPr>
      </w:pPr>
    </w:p>
    <w:p>
      <w:pPr>
        <w:ind w:left="620" w:hanging="612"/>
        <w:spacing w:after="0" w:line="239" w:lineRule="auto"/>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Group Company may enjoy the benefit of and enforce the terms of this Agreement in accordance with the provisions of the Contracts (Rights of Third Parties) Act 1999.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“without prejudice” and “subject to contract” nature of this document shall cease to apply once executed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color w:val="auto"/>
        </w:rPr>
        <w:t>Schedule 1</w:t>
      </w:r>
      <w:r>
        <w:rPr>
          <w:sz w:val="20"/>
          <w:szCs w:val="20"/>
          <w:color w:val="auto"/>
        </w:rPr>
        <w:tab/>
      </w:r>
      <w:r>
        <w:rPr>
          <w:rFonts w:ascii="Times New Roman" w:cs="Times New Roman" w:eastAsia="Times New Roman" w:hAnsi="Times New Roman"/>
          <w:sz w:val="19"/>
          <w:szCs w:val="19"/>
          <w:b w:val="1"/>
          <w:bCs w:val="1"/>
          <w:color w:val="auto"/>
        </w:rPr>
        <w:t>- RESIGNATION</w:t>
      </w:r>
    </w:p>
    <w:p>
      <w:pPr>
        <w:sectPr>
          <w:pgSz w:w="11900" w:h="16838" w:orient="portrait"/>
          <w:cols w:equalWidth="0" w:num="1">
            <w:col w:w="11420"/>
          </w:cols>
          <w:pgMar w:left="240" w:top="589"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Damien McDonald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plc</w:t>
      </w:r>
    </w:p>
    <w:p>
      <w:pPr>
        <w:spacing w:after="0"/>
        <w:rPr>
          <w:sz w:val="20"/>
          <w:szCs w:val="20"/>
          <w:color w:val="auto"/>
        </w:rPr>
      </w:pPr>
      <w:r>
        <w:rPr>
          <w:rFonts w:ascii="Times New Roman" w:cs="Times New Roman" w:eastAsia="Times New Roman" w:hAnsi="Times New Roman"/>
          <w:sz w:val="20"/>
          <w:szCs w:val="20"/>
          <w:color w:val="auto"/>
        </w:rPr>
        <w:t>20 Eastbourne Terrace</w:t>
      </w:r>
    </w:p>
    <w:p>
      <w:pPr>
        <w:spacing w:after="0"/>
        <w:rPr>
          <w:sz w:val="20"/>
          <w:szCs w:val="20"/>
          <w:color w:val="auto"/>
        </w:rPr>
      </w:pPr>
      <w:r>
        <w:rPr>
          <w:rFonts w:ascii="Times New Roman" w:cs="Times New Roman" w:eastAsia="Times New Roman" w:hAnsi="Times New Roman"/>
          <w:sz w:val="20"/>
          <w:szCs w:val="20"/>
          <w:color w:val="auto"/>
        </w:rPr>
        <w:t>London, England</w:t>
      </w:r>
    </w:p>
    <w:p>
      <w:pPr>
        <w:spacing w:after="0"/>
        <w:rPr>
          <w:sz w:val="20"/>
          <w:szCs w:val="20"/>
          <w:color w:val="auto"/>
        </w:rPr>
      </w:pPr>
      <w:r>
        <w:rPr>
          <w:rFonts w:ascii="Times New Roman" w:cs="Times New Roman" w:eastAsia="Times New Roman" w:hAnsi="Times New Roman"/>
          <w:sz w:val="20"/>
          <w:szCs w:val="20"/>
          <w:color w:val="auto"/>
        </w:rPr>
        <w:t>W2 6LG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Damien:</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LivaNova plc (the “Company”)</w:t>
      </w:r>
      <w:r>
        <w:rPr>
          <w:rFonts w:ascii="Times New Roman" w:cs="Times New Roman" w:eastAsia="Times New Roman" w:hAnsi="Times New Roman"/>
          <w:sz w:val="20"/>
          <w:szCs w:val="20"/>
          <w:color w:val="auto"/>
        </w:rPr>
        <w:t>I hereby resign with effect from 31 May 2017 as an employee and from all other offices which I hold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Company.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39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Vivid Sehgal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color w:val="auto"/>
        </w:rPr>
        <w:t>Schedule 2</w:t>
      </w:r>
      <w:r>
        <w:rPr>
          <w:sz w:val="20"/>
          <w:szCs w:val="20"/>
          <w:color w:val="auto"/>
        </w:rPr>
        <w:tab/>
      </w:r>
      <w:r>
        <w:rPr>
          <w:rFonts w:ascii="Times New Roman" w:cs="Times New Roman" w:eastAsia="Times New Roman" w:hAnsi="Times New Roman"/>
          <w:sz w:val="19"/>
          <w:szCs w:val="19"/>
          <w:b w:val="1"/>
          <w:bCs w:val="1"/>
          <w:color w:val="auto"/>
        </w:rPr>
        <w:t>- CERTIFICATE OF INDEPENDENT LEGAL ADVISER</w:t>
      </w:r>
    </w:p>
    <w:p>
      <w:pPr>
        <w:sectPr>
          <w:pgSz w:w="11900" w:h="16838" w:orient="portrait"/>
          <w:cols w:equalWidth="0" w:num="1">
            <w:col w:w="11400"/>
          </w:cols>
          <w:pgMar w:left="240" w:top="792" w:right="25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20"/>
          <w:szCs w:val="20"/>
          <w:color w:val="auto"/>
        </w:rPr>
        <w:t>I Jane Fielding of Gowling WLG (UK) LLP whose address is Two Snow Hill, Birmingham B4 6WR confirm that I gave independent legal advice to Vivid Sehgal as to the terms and effect of the Agreement to which this certificate is attached (including the effect of Clauses 7, 8 and 9 in particular its effect on his ability to pursue his rights before a Court or Employment Tribunal.</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 confirm that I am a solicitor of the Senior Courts holding a current practising certificate and that the statutory requirements relating to settlement agreements and compromise agreements set out in the Acts (as defined in the Agreement) have been met. Further, that there was in force at the time I gave the advice referred to above a policy of insurance covering the risk of a claim by Vivid Sehgal in respect of any loss arising in consequence of that advice.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 WITNESS </w:t>
      </w:r>
      <w:r>
        <w:rPr>
          <w:rFonts w:ascii="Times New Roman" w:cs="Times New Roman" w:eastAsia="Times New Roman" w:hAnsi="Times New Roman"/>
          <w:sz w:val="20"/>
          <w:szCs w:val="20"/>
          <w:color w:val="auto"/>
        </w:rPr>
        <w:t>of which this Agreement has been executed and delivered as a deed on the first date written above.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EXECUTED as a Deed</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LIVANOVA PLC</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Damien McDonald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acting by Damien McDonald,</w:t>
            </w: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4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Witness’s</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Full Name:</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629"/>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EXECUTED as a Deed</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VIVID SEHGAL</w:t>
            </w:r>
          </w:p>
        </w:tc>
        <w:tc>
          <w:tcPr>
            <w:tcW w:w="4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in the presence of:</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Witness’s</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Signature:</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Full Name:</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43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446"/>
        </w:trPr>
        <w:tc>
          <w:tcPr>
            <w:tcW w:w="2820" w:type="dxa"/>
            <w:vAlign w:val="bottom"/>
          </w:tcPr>
          <w:p>
            <w:pPr>
              <w:spacing w:after="0"/>
              <w:rPr>
                <w:sz w:val="24"/>
                <w:szCs w:val="24"/>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6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Plc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Plc (Italian Branch)</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Italia S.r.l. (IT)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Singapore Pte Ltd (SG)</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Scandinavia AB (SE)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Scandinavia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Finland OY (FI)</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Deutschland GmbH (DE)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Norway AS (NO)</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START I KG (DE)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Holding S.r.l. (IT)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Alcard Indústria Mecânica Ltda (Brazil)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Reced Indústria Mecânica Ltda (Brazil)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Medical (Shanghai) Co. Ltd</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Czech Republic (Cz)</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Medical Devices (Suzhou) Co. Ltd</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Colombia Sas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Rus LLC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CRM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Portugal, Lda (PT)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France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Holding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DR, SRL (Rep. Dominicana)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Nederland N.V. (NL)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Espana, S.L. (ES)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Belgium SA (BE)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Japan K.K. (JP)</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UK Limited (GB)</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Australia PTY Limited (AU)</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Austria GmbH (A)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Poland Sp. Z o.o.</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India Private Limited (India)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Cyberonics France SARL (F)</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US 1, LLC (USA)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UK Holdco Limited (UK)</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UK Limited 2 Co (UK)</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Luxco 2 sarl (LU)</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Irishco 2 UC (IRL)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USA Inc. (US)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bl>
    <w:p>
      <w:pPr>
        <w:sectPr>
          <w:pgSz w:w="11900" w:h="16838" w:orient="portrait"/>
          <w:cols w:equalWidth="0" w:num="1">
            <w:col w:w="11420"/>
          </w:cols>
          <w:pgMar w:left="240" w:top="117"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Sorin CRM USA Inc.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Medical Laboratories (CalMed) Inc.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Holdco, Inc.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UK Limited 3 Co. (UK)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3 Llc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Lp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Holdings LLC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Netherlands CV (NL)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Spain SL (ES)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Latam SRL (Costa 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Site Management S.r.l. (IT)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Switzerland SA (CH)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Sobedia Energia (IT)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Canada Corp. (CA)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Luxco Sarl (LU)</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Irishco Unlimited Company (IRL)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Irishco 3 Unlimited Company (IRL)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IP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4980" w:space="720"/>
            <w:col w:w="4479"/>
          </w:cols>
          <w:pgMar w:left="280" w:top="526"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Damien McDonald, certify that:</w:t>
      </w:r>
    </w:p>
    <w:p>
      <w:pPr>
        <w:spacing w:after="0" w:line="117" w:lineRule="exact"/>
        <w:rPr>
          <w:sz w:val="20"/>
          <w:szCs w:val="20"/>
          <w:color w:val="auto"/>
        </w:rPr>
      </w:pPr>
    </w:p>
    <w:p>
      <w:pPr>
        <w:ind w:firstLine="332"/>
        <w:spacing w:after="0" w:line="282" w:lineRule="auto"/>
        <w:tabs>
          <w:tab w:leader="none" w:pos="58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2017,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5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3, 2017</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3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Vivid Sehgal, certify that:</w:t>
      </w:r>
    </w:p>
    <w:p>
      <w:pPr>
        <w:spacing w:after="0" w:line="117" w:lineRule="exact"/>
        <w:rPr>
          <w:sz w:val="20"/>
          <w:szCs w:val="20"/>
          <w:color w:val="auto"/>
        </w:rPr>
      </w:pPr>
    </w:p>
    <w:p>
      <w:pPr>
        <w:ind w:firstLine="332"/>
        <w:spacing w:after="0" w:line="282" w:lineRule="auto"/>
        <w:tabs>
          <w:tab w:leader="none" w:pos="58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2017,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3, 2017</w:t>
      </w: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738"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Damien McDonald, Chief Executive Officer of LivaNova PLC (the “Company”), and Vivid Sehgal, Chief Financial Officer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hereby certifies pursuant to 18 U.S.C. Section 1350, as adopted pursuant to Section 906 of the Sarbanes-Oxley Act of 2002, that to the best of his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w:t>
      </w:r>
    </w:p>
    <w:p>
      <w:pPr>
        <w:spacing w:after="0" w:line="306" w:lineRule="exact"/>
        <w:rPr>
          <w:sz w:val="20"/>
          <w:szCs w:val="20"/>
          <w:color w:val="auto"/>
        </w:rPr>
      </w:pPr>
    </w:p>
    <w:p>
      <w:pPr>
        <w:jc w:val="both"/>
        <w:ind w:right="20" w:firstLine="548"/>
        <w:spacing w:after="0" w:line="485" w:lineRule="auto"/>
        <w:tabs>
          <w:tab w:leader="none" w:pos="8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2017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68" w:lineRule="exact"/>
        <w:rPr>
          <w:rFonts w:ascii="Times New Roman" w:cs="Times New Roman" w:eastAsia="Times New Roman" w:hAnsi="Times New Roman"/>
          <w:sz w:val="18"/>
          <w:szCs w:val="18"/>
          <w:color w:val="auto"/>
        </w:rPr>
      </w:pPr>
    </w:p>
    <w:p>
      <w:pPr>
        <w:ind w:left="840" w:hanging="292"/>
        <w:spacing w:after="0"/>
        <w:tabs>
          <w:tab w:leader="none" w:pos="8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3, 2017</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1"/>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1)"/>
      <w:numFmt w:val="decimal"/>
      <w:start w:val="3"/>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1)"/>
      <w:numFmt w:val="decimal"/>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lowerRoman"/>
      <w:start w:val="3"/>
    </w:lvl>
  </w:abstractNum>
  <w:abstractNum w:abstractNumId="21">
    <w:nsid w:val="2F305DEF"/>
    <w:multiLevelType w:val="hybridMultilevel"/>
    <w:lvl w:ilvl="0">
      <w:lvlJc w:val="left"/>
      <w:lvlText w:val="%1)"/>
      <w:numFmt w:val="lowerLetter"/>
      <w:start w:val="1"/>
    </w:lvl>
  </w:abstractNum>
  <w:abstractNum w:abstractNumId="22">
    <w:nsid w:val="25A70BF7"/>
    <w:multiLevelType w:val="hybridMultilevel"/>
    <w:lvl w:ilvl="0">
      <w:lvlJc w:val="left"/>
      <w:lvlText w:val="%1"/>
      <w:numFmt w:val="decimal"/>
      <w:start w:val="1"/>
    </w:lvl>
    <w:lvl w:ilvl="1">
      <w:lvlJc w:val="left"/>
      <w:lvlText w:val="%2."/>
      <w:numFmt w:val="decimal"/>
      <w:start w:val="1"/>
    </w:lvl>
  </w:abstractNum>
  <w:abstractNum w:abstractNumId="23">
    <w:nsid w:val="1DBABF00"/>
    <w:multiLevelType w:val="hybridMultilevel"/>
    <w:lvl w:ilvl="0">
      <w:lvlJc w:val="left"/>
      <w:lvlText w:val="%1."/>
      <w:numFmt w:val="decimal"/>
      <w:start w:val="1"/>
    </w:lvl>
    <w:lvl w:ilvl="1">
      <w:lvlJc w:val="left"/>
      <w:lvlText w:val="%2."/>
      <w:numFmt w:val="decimal"/>
      <w:start w:val="2"/>
    </w:lvl>
  </w:abstractNum>
  <w:abstractNum w:abstractNumId="24">
    <w:nsid w:val="4AD084E9"/>
    <w:multiLevelType w:val="hybridMultilevel"/>
    <w:lvl w:ilvl="0">
      <w:lvlJc w:val="left"/>
      <w:lvlText w:val="%1."/>
      <w:numFmt w:val="decimal"/>
      <w:start w:val="1"/>
    </w:lvl>
    <w:lvl w:ilvl="1">
      <w:lvlJc w:val="left"/>
      <w:lvlText w:val="%2."/>
      <w:numFmt w:val="decimal"/>
      <w:start w:val="3"/>
    </w:lvl>
  </w:abstractNum>
  <w:abstractNum w:abstractNumId="25">
    <w:nsid w:val="1F48EAA1"/>
    <w:multiLevelType w:val="hybridMultilevel"/>
    <w:lvl w:ilvl="0">
      <w:lvlJc w:val="left"/>
      <w:lvlText w:val="%1."/>
      <w:numFmt w:val="decimal"/>
      <w:start w:val="1"/>
    </w:lvl>
    <w:lvl w:ilvl="1">
      <w:lvlJc w:val="left"/>
      <w:lvlText w:val="•"/>
      <w:numFmt w:val="bullet"/>
      <w:start w:val="1"/>
    </w:lvl>
  </w:abstractNum>
  <w:abstractNum w:abstractNumId="26">
    <w:nsid w:val="1381823A"/>
    <w:multiLevelType w:val="hybridMultilevel"/>
    <w:lvl w:ilvl="0">
      <w:lvlJc w:val="left"/>
      <w:lvlText w:val="%1."/>
      <w:numFmt w:val="decimal"/>
      <w:start w:val="3"/>
    </w:lvl>
    <w:lvl w:ilvl="1">
      <w:lvlJc w:val="left"/>
      <w:lvlText w:val="%2."/>
      <w:numFmt w:val="decimal"/>
      <w:start w:val="4"/>
    </w:lvl>
  </w:abstractNum>
  <w:abstractNum w:abstractNumId="27">
    <w:nsid w:val="5DB70AE5"/>
    <w:multiLevelType w:val="hybridMultilevel"/>
    <w:lvl w:ilvl="0">
      <w:lvlJc w:val="left"/>
      <w:lvlText w:val="%1."/>
      <w:numFmt w:val="decimal"/>
      <w:start w:val="1"/>
    </w:lvl>
    <w:lvl w:ilvl="1">
      <w:lvlJc w:val="left"/>
      <w:lvlText w:val="%2."/>
      <w:numFmt w:val="decimal"/>
      <w:start w:val="5"/>
    </w:lvl>
  </w:abstractNum>
  <w:abstractNum w:abstractNumId="28">
    <w:nsid w:val="100F8FCA"/>
    <w:multiLevelType w:val="hybridMultilevel"/>
    <w:lvl w:ilvl="0">
      <w:lvlJc w:val="left"/>
      <w:lvlText w:val="%1."/>
      <w:numFmt w:val="decimal"/>
      <w:start w:val="1"/>
    </w:lvl>
    <w:lvl w:ilvl="1">
      <w:lvlJc w:val="left"/>
      <w:lvlText w:val="%2."/>
      <w:numFmt w:val="decimal"/>
      <w:start w:val="6"/>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2"/>
    </w:lvl>
    <w:lvl w:ilvl="1">
      <w:lvlJc w:val="left"/>
      <w:lvlText w:val="%2."/>
      <w:numFmt w:val="decimal"/>
      <w:start w:val="7"/>
    </w:lvl>
  </w:abstractNum>
  <w:abstractNum w:abstractNumId="31">
    <w:nsid w:val="5F5E7FD0"/>
    <w:multiLevelType w:val="hybridMultilevel"/>
    <w:lvl w:ilvl="0">
      <w:lvlJc w:val="left"/>
      <w:lvlText w:val="%1."/>
      <w:numFmt w:val="decimal"/>
      <w:start w:val="1"/>
    </w:lvl>
    <w:lvl w:ilvl="1">
      <w:lvlJc w:val="left"/>
      <w:lvlText w:val="%2."/>
      <w:numFmt w:val="decimal"/>
      <w:start w:val="8"/>
    </w:lvl>
  </w:abstractNum>
  <w:abstractNum w:abstractNumId="32">
    <w:nsid w:val="98A3148"/>
    <w:multiLevelType w:val="hybridMultilevel"/>
    <w:lvl w:ilvl="0">
      <w:lvlJc w:val="left"/>
      <w:lvlText w:val="%1."/>
      <w:numFmt w:val="decimal"/>
      <w:start w:val="1"/>
    </w:lvl>
    <w:lvl w:ilvl="1">
      <w:lvlJc w:val="left"/>
      <w:lvlText w:val="%2."/>
      <w:numFmt w:val="decimal"/>
      <w:start w:val="9"/>
    </w:lvl>
  </w:abstractNum>
  <w:abstractNum w:abstractNumId="33">
    <w:nsid w:val="799D0247"/>
    <w:multiLevelType w:val="hybridMultilevel"/>
    <w:lvl w:ilvl="0">
      <w:lvlJc w:val="left"/>
      <w:lvlText w:val="%1."/>
      <w:numFmt w:val="decimal"/>
      <w:start w:val="1"/>
    </w:lvl>
    <w:lvl w:ilvl="1">
      <w:lvlJc w:val="left"/>
      <w:lvlText w:val="%2."/>
      <w:numFmt w:val="decimal"/>
      <w:start w:val="10"/>
    </w:lvl>
  </w:abstractNum>
  <w:abstractNum w:abstractNumId="34">
    <w:nsid w:val="6B94764"/>
    <w:multiLevelType w:val="hybridMultilevel"/>
    <w:lvl w:ilvl="0">
      <w:lvlJc w:val="left"/>
      <w:lvlText w:val="%1."/>
      <w:numFmt w:val="decimal"/>
      <w:start w:val="1"/>
    </w:lvl>
    <w:lvl w:ilvl="1">
      <w:lvlJc w:val="left"/>
      <w:lvlText w:val="%2."/>
      <w:numFmt w:val="decimal"/>
      <w:start w:val="1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12"/>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1."/>
      <w:numFmt w:val="decimal"/>
      <w:start w:val="2"/>
    </w:lvl>
  </w:abstractNum>
  <w:abstractNum w:abstractNumId="41">
    <w:nsid w:val="7BD3EE7B"/>
    <w:multiLevelType w:val="hybridMultilevel"/>
    <w:lvl w:ilvl="0">
      <w:lvlJc w:val="left"/>
      <w:lvlText w:val="(%1)"/>
      <w:numFmt w:val="lowerLetter"/>
      <w:start w:val="1"/>
    </w:lvl>
  </w:abstractNum>
  <w:abstractNum w:abstractNumId="42">
    <w:nsid w:val="51D9C564"/>
    <w:multiLevelType w:val="hybridMultilevel"/>
    <w:lvl w:ilvl="0">
      <w:lvlJc w:val="left"/>
      <w:lvlText w:val="%1"/>
      <w:numFmt w:val="decimal"/>
      <w:start w:val="1"/>
    </w:lvl>
    <w:lvl w:ilvl="1">
      <w:lvlJc w:val="left"/>
      <w:lvlText w:val="(%2)"/>
      <w:numFmt w:val="lowerLetter"/>
      <w:start w:val="2"/>
    </w:lvl>
  </w:abstractNum>
  <w:abstractNum w:abstractNumId="43">
    <w:nsid w:val="613EFDC5"/>
    <w:multiLevelType w:val="hybridMultilevel"/>
    <w:lvl w:ilvl="0">
      <w:lvlJc w:val="left"/>
      <w:lvlText w:val="%1."/>
      <w:numFmt w:val="decimal"/>
      <w:start w:val="3"/>
    </w:lvl>
    <w:lvl w:ilvl="1">
      <w:lvlJc w:val="left"/>
      <w:lvlText w:val="%2"/>
      <w:numFmt w:val="lowerLetter"/>
      <w:start w:val="1"/>
    </w:lvl>
  </w:abstractNum>
  <w:abstractNum w:abstractNumId="44">
    <w:nsid w:val="BF72B14"/>
    <w:multiLevelType w:val="hybridMultilevel"/>
    <w:lvl w:ilvl="0">
      <w:lvlJc w:val="left"/>
      <w:lvlText w:val="%1."/>
      <w:numFmt w:val="decimal"/>
      <w:start w:val="2"/>
    </w:lvl>
  </w:abstractNum>
  <w:abstractNum w:abstractNumId="45">
    <w:nsid w:val="11447B73"/>
    <w:multiLevelType w:val="hybridMultilevel"/>
    <w:lvl w:ilvl="0">
      <w:lvlJc w:val="left"/>
      <w:lvlText w:val="%1."/>
      <w:numFmt w:val="decimal"/>
      <w:start w:val="1"/>
    </w:lvl>
    <w:lvl w:ilvl="1">
      <w:lvlJc w:val="left"/>
      <w:lvlText w:val="(%2)"/>
      <w:numFmt w:val="lowerLetter"/>
      <w:start w:val="1"/>
    </w:lvl>
  </w:abstractNum>
  <w:abstractNum w:abstractNumId="46">
    <w:nsid w:val="42963E5A"/>
    <w:multiLevelType w:val="hybridMultilevel"/>
    <w:lvl w:ilvl="0">
      <w:lvlJc w:val="left"/>
      <w:lvlText w:val="%1."/>
      <w:numFmt w:val="decimal"/>
      <w:start w:val="4"/>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1"/>
    </w:lvl>
    <w:lvl w:ilvl="1">
      <w:lvlJc w:val="left"/>
      <w:lvlText w:val="(%2)"/>
      <w:numFmt w:val="lowerLetter"/>
      <w:start w:val="1"/>
    </w:lvl>
  </w:abstractNum>
  <w:abstractNum w:abstractNumId="49">
    <w:nsid w:val="1A32234B"/>
    <w:multiLevelType w:val="hybridMultilevel"/>
    <w:lvl w:ilvl="0">
      <w:lvlJc w:val="left"/>
      <w:lvlText w:val="%1."/>
      <w:numFmt w:val="decimal"/>
      <w:start w:val="3"/>
    </w:lvl>
    <w:lvl w:ilvl="1">
      <w:lvlJc w:val="left"/>
      <w:lvlText w:val="%2"/>
      <w:numFmt w:val="lowerLetter"/>
      <w:start w:val="1"/>
    </w:lvl>
  </w:abstractNum>
  <w:abstractNum w:abstractNumId="50">
    <w:nsid w:val="3B0FD379"/>
    <w:multiLevelType w:val="hybridMultilevel"/>
    <w:lvl w:ilvl="0">
      <w:lvlJc w:val="left"/>
      <w:lvlText w:val="%1."/>
      <w:numFmt w:val="decimal"/>
      <w:start w:val="5"/>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6"/>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7"/>
    </w:lvl>
  </w:abstractNum>
  <w:abstractNum w:abstractNumId="55">
    <w:nsid w:val="14330624"/>
    <w:multiLevelType w:val="hybridMultilevel"/>
    <w:lvl w:ilvl="0">
      <w:lvlJc w:val="left"/>
      <w:lvlText w:val="%1."/>
      <w:numFmt w:val="decimal"/>
      <w:start w:val="1"/>
    </w:lvl>
    <w:lvl w:ilvl="1">
      <w:lvlJc w:val="left"/>
      <w:lvlText w:val="(%2)"/>
      <w:numFmt w:val="lowerLetter"/>
      <w:start w:val="1"/>
    </w:lvl>
  </w:abstractNum>
  <w:abstractNum w:abstractNumId="56">
    <w:nsid w:val="7FFFCA11"/>
    <w:multiLevelType w:val="hybridMultilevel"/>
    <w:lvl w:ilvl="0">
      <w:lvlJc w:val="left"/>
      <w:lvlText w:val="%1."/>
      <w:numFmt w:val="decimal"/>
      <w:start w:val="8"/>
    </w:lvl>
  </w:abstractNum>
  <w:abstractNum w:abstractNumId="57">
    <w:nsid w:val="1A27709E"/>
    <w:multiLevelType w:val="hybridMultilevel"/>
    <w:lvl w:ilvl="0">
      <w:lvlJc w:val="left"/>
      <w:lvlText w:val="%1."/>
      <w:numFmt w:val="decimal"/>
      <w:start w:val="1"/>
    </w:lvl>
    <w:lvl w:ilvl="1">
      <w:lvlJc w:val="left"/>
      <w:lvlText w:val="(%2)"/>
      <w:numFmt w:val="lowerLetter"/>
      <w:start w:val="1"/>
    </w:lvl>
  </w:abstractNum>
  <w:abstractNum w:abstractNumId="58">
    <w:nsid w:val="71EA1109"/>
    <w:multiLevelType w:val="hybridMultilevel"/>
    <w:lvl w:ilvl="0">
      <w:lvlJc w:val="left"/>
      <w:lvlText w:val="%1."/>
      <w:numFmt w:val="decimal"/>
      <w:start w:val="2"/>
    </w:lvl>
    <w:lvl w:ilvl="1">
      <w:lvlJc w:val="left"/>
      <w:lvlText w:val="(%2)"/>
      <w:numFmt w:val="lowerLetter"/>
      <w:start w:val="1"/>
    </w:lvl>
  </w:abstractNum>
  <w:abstractNum w:abstractNumId="59">
    <w:nsid w:val="100F59DC"/>
    <w:multiLevelType w:val="hybridMultilevel"/>
    <w:lvl w:ilvl="0">
      <w:lvlJc w:val="left"/>
      <w:lvlText w:val="%1."/>
      <w:numFmt w:val="decimal"/>
      <w:start w:val="9"/>
    </w:lvl>
  </w:abstractNum>
  <w:abstractNum w:abstractNumId="60">
    <w:nsid w:val="7FB7E0AA"/>
    <w:multiLevelType w:val="hybridMultilevel"/>
    <w:lvl w:ilvl="0">
      <w:lvlJc w:val="left"/>
      <w:lvlText w:val="%1."/>
      <w:numFmt w:val="decimal"/>
      <w:start w:val="1"/>
    </w:lvl>
    <w:lvl w:ilvl="1">
      <w:lvlJc w:val="left"/>
      <w:lvlText w:val="(%2)"/>
      <w:numFmt w:val="lowerLetter"/>
      <w:start w:val="1"/>
    </w:lvl>
  </w:abstractNum>
  <w:abstractNum w:abstractNumId="61">
    <w:nsid w:val="6EB5BD4"/>
    <w:multiLevelType w:val="hybridMultilevel"/>
    <w:lvl w:ilvl="0">
      <w:lvlJc w:val="left"/>
      <w:lvlText w:val="%1."/>
      <w:numFmt w:val="decimal"/>
      <w:start w:val="10"/>
    </w:lvl>
  </w:abstractNum>
  <w:abstractNum w:abstractNumId="62">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94211F2"/>
    <w:multiLevelType w:val="hybridMultilevel"/>
    <w:lvl w:ilvl="0">
      <w:lvlJc w:val="left"/>
      <w:lvlText w:val="%1."/>
      <w:numFmt w:val="decimal"/>
      <w:start w:val="12"/>
    </w:lvl>
    <w:lvl w:ilvl="1">
      <w:lvlJc w:val="left"/>
      <w:lvlText w:val="(%2)"/>
      <w:numFmt w:val="lowerLetter"/>
      <w:start w:val="1"/>
    </w:lvl>
  </w:abstractNum>
  <w:abstractNum w:abstractNumId="64">
    <w:nsid w:val="885E1B"/>
    <w:multiLevelType w:val="hybridMultilevel"/>
    <w:lvl w:ilvl="0">
      <w:lvlJc w:val="left"/>
      <w:lvlText w:val="%1."/>
      <w:numFmt w:val="decimal"/>
      <w:start w:val="1"/>
    </w:lvl>
    <w:lvl w:ilvl="1">
      <w:lvlJc w:val="left"/>
      <w:lvlText w:val="(%2)"/>
      <w:numFmt w:val="lowerLetter"/>
      <w:start w:val="1"/>
    </w:lvl>
  </w:abstractNum>
  <w:abstractNum w:abstractNumId="65">
    <w:nsid w:val="76272110"/>
    <w:multiLevelType w:val="hybridMultilevel"/>
    <w:lvl w:ilvl="0">
      <w:lvlJc w:val="left"/>
      <w:lvlText w:val="%1."/>
      <w:numFmt w:val="decimal"/>
      <w:start w:val="16"/>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2"/>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upperLetter"/>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1."/>
      <w:numFmt w:val="decimal"/>
      <w:start w:val="2"/>
    </w:lvl>
    <w:lvl w:ilvl="1">
      <w:lvlJc w:val="left"/>
      <w:lvlText w:val="(%2)"/>
      <w:numFmt w:val="lowerLetter"/>
      <w:start w:val="1"/>
    </w:lvl>
  </w:abstractNum>
  <w:abstractNum w:abstractNumId="73">
    <w:nsid w:val="46B7D447"/>
    <w:multiLevelType w:val="hybridMultilevel"/>
    <w:lvl w:ilvl="0">
      <w:lvlJc w:val="left"/>
      <w:lvlText w:val="%1."/>
      <w:numFmt w:val="decimal"/>
      <w:start w:val="2"/>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1."/>
      <w:numFmt w:val="decimal"/>
      <w:start w:val="3"/>
    </w:lvl>
  </w:abstractNum>
  <w:abstractNum w:abstractNumId="76">
    <w:nsid w:val="57FC4FBB"/>
    <w:multiLevelType w:val="hybridMultilevel"/>
    <w:lvl w:ilvl="0">
      <w:lvlJc w:val="left"/>
      <w:lvlText w:val="%1."/>
      <w:numFmt w:val="decimal"/>
      <w:start w:val="1"/>
    </w:lvl>
    <w:lvl w:ilvl="1">
      <w:lvlJc w:val="left"/>
      <w:lvlText w:val="(%2)"/>
      <w:numFmt w:val="lowerLetter"/>
      <w:start w:val="1"/>
    </w:lvl>
  </w:abstractNum>
  <w:abstractNum w:abstractNumId="77">
    <w:nsid w:val="CC1016F"/>
    <w:multiLevelType w:val="hybridMultilevel"/>
    <w:lvl w:ilvl="0">
      <w:lvlJc w:val="left"/>
      <w:lvlText w:val="%1."/>
      <w:numFmt w:val="decimal"/>
      <w:start w:val="4"/>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5"/>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2"/>
    </w:lvl>
  </w:abstractNum>
  <w:abstractNum w:abstractNumId="82">
    <w:nsid w:val="49DA307D"/>
    <w:multiLevelType w:val="hybridMultilevel"/>
    <w:lvl w:ilvl="0">
      <w:lvlJc w:val="left"/>
      <w:lvlText w:val="%1."/>
      <w:numFmt w:val="decimal"/>
      <w:start w:val="6"/>
    </w:lvl>
  </w:abstractNum>
  <w:abstractNum w:abstractNumId="83">
    <w:nsid w:val="7055A5F5"/>
    <w:multiLevelType w:val="hybridMultilevel"/>
    <w:lvl w:ilvl="0">
      <w:lvlJc w:val="left"/>
      <w:lvlText w:val="%1."/>
      <w:numFmt w:val="decimal"/>
      <w:start w:val="1"/>
    </w:lvl>
  </w:abstractNum>
  <w:abstractNum w:abstractNumId="84">
    <w:nsid w:val="5FB8370B"/>
    <w:multiLevelType w:val="hybridMultilevel"/>
    <w:lvl w:ilvl="0">
      <w:lvlJc w:val="left"/>
      <w:lvlText w:val="%1."/>
      <w:numFmt w:val="decimal"/>
      <w:start w:val="7"/>
    </w:lvl>
  </w:abstractNum>
  <w:abstractNum w:abstractNumId="85">
    <w:nsid w:val="50801EE1"/>
    <w:multiLevelType w:val="hybridMultilevel"/>
    <w:lvl w:ilvl="0">
      <w:lvlJc w:val="left"/>
      <w:lvlText w:val="%1."/>
      <w:numFmt w:val="decimal"/>
      <w:start w:val="1"/>
    </w:lvl>
    <w:lvl w:ilvl="1">
      <w:lvlJc w:val="left"/>
      <w:lvlText w:val="(%2)"/>
      <w:numFmt w:val="lowerLetter"/>
      <w:start w:val="1"/>
    </w:lvl>
  </w:abstractNum>
  <w:abstractNum w:abstractNumId="86">
    <w:nsid w:val="488AC1A"/>
    <w:multiLevelType w:val="hybridMultilevel"/>
    <w:lvl w:ilvl="0">
      <w:lvlJc w:val="left"/>
      <w:lvlText w:val="%1."/>
      <w:numFmt w:val="decimal"/>
      <w:start w:val="8"/>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9"/>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1."/>
      <w:numFmt w:val="decimal"/>
      <w:start w:val="1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decimal"/>
      <w:start w:val="12"/>
    </w:lvl>
  </w:abstractNum>
  <w:abstractNum w:abstractNumId="93">
    <w:nsid w:val="5F3534A4"/>
    <w:multiLevelType w:val="hybridMultilevel"/>
    <w:lvl w:ilvl="0">
      <w:lvlJc w:val="left"/>
      <w:lvlText w:val="%1."/>
      <w:numFmt w:val="decimal"/>
      <w:start w:val="1"/>
    </w:lvl>
  </w:abstractNum>
  <w:abstractNum w:abstractNumId="94">
    <w:nsid w:val="73A1821B"/>
    <w:multiLevelType w:val="hybridMultilevel"/>
    <w:lvl w:ilvl="0">
      <w:lvlJc w:val="left"/>
      <w:lvlText w:val="%1."/>
      <w:numFmt w:val="decimal"/>
      <w:start w:val="13"/>
    </w:lvl>
    <w:lvl w:ilvl="1">
      <w:lvlJc w:val="left"/>
      <w:lvlText w:val="(%2)"/>
      <w:numFmt w:val="lowerLetter"/>
      <w:start w:val="1"/>
    </w:lvl>
  </w:abstractNum>
  <w:abstractNum w:abstractNumId="95">
    <w:nsid w:val="7DE67713"/>
    <w:multiLevelType w:val="hybridMultilevel"/>
    <w:lvl w:ilvl="0">
      <w:lvlJc w:val="left"/>
      <w:lvlText w:val="%1."/>
      <w:numFmt w:val="decimal"/>
      <w:start w:val="14"/>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15"/>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decimal"/>
      <w:start w:val="5"/>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decimal"/>
      <w:start w:val="5"/>
    </w:lvl>
  </w:abstractNum>
  <w:abstractNum w:abstractNumId="106">
    <w:nsid w:val="59ADEA3D"/>
    <w:multiLevelType w:val="hybridMultilevel"/>
    <w:lvl w:ilvl="0">
      <w:lvlJc w:val="left"/>
      <w:lvlText w:val="(%1)"/>
      <w:numFmt w:val="lowerLetter"/>
      <w:start w:val="1"/>
    </w:lvl>
  </w:abstractNum>
  <w:abstractNum w:abstractNumId="107">
    <w:nsid w:val="288F1A3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2019-12-29T06:04:45Z</dcterms:created>
  <dcterms:modified xsi:type="dcterms:W3CDTF">2019-12-29T06:04:45Z</dcterms:modified>
</cp:coreProperties>
</file>