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LivaNova PLC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Ordinary shares, par value £1.00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G5509L101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31,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040" w:right="5080" w:hanging="1"/>
        <w:spacing w:after="0" w:line="312" w:lineRule="auto"/>
        <w:tabs>
          <w:tab w:leader="none" w:pos="5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tabs>
          <w:tab w:leader="none" w:pos="10080" w:val="left"/>
        </w:tabs>
        <w:rPr>
          <w:sz w:val="20"/>
          <w:szCs w:val="20"/>
          <w:color w:val="auto"/>
        </w:rPr>
      </w:pPr>
      <w:r>
        <w:rPr>
          <w:rFonts w:ascii="Arial" w:cs="Arial" w:eastAsia="Arial" w:hAnsi="Arial"/>
          <w:sz w:val="18"/>
          <w:szCs w:val="18"/>
          <w:b w:val="1"/>
          <w:bCs w:val="1"/>
          <w:color w:val="auto"/>
        </w:rPr>
        <w:t>CUSIP NO. G5509L101</w:t>
      </w:r>
      <w:r>
        <w:rPr>
          <w:sz w:val="20"/>
          <w:szCs w:val="20"/>
          <w:color w:val="auto"/>
        </w:rPr>
        <w:tab/>
      </w:r>
      <w:r>
        <w:rPr>
          <w:rFonts w:ascii="Arial" w:cs="Arial" w:eastAsia="Arial" w:hAnsi="Arial"/>
          <w:sz w:val="15"/>
          <w:szCs w:val="15"/>
          <w:b w:val="1"/>
          <w:bCs w:val="1"/>
          <w:color w:val="auto"/>
        </w:rPr>
        <w:t>Page 2 of 6 Pages</w:t>
      </w:r>
    </w:p>
    <w:p>
      <w:pPr>
        <w:spacing w:after="0" w:line="200" w:lineRule="exact"/>
        <w:rPr>
          <w:sz w:val="20"/>
          <w:szCs w:val="20"/>
          <w:color w:val="auto"/>
        </w:rPr>
      </w:pPr>
    </w:p>
    <w:p>
      <w:pPr>
        <w:spacing w:after="0" w:line="205" w:lineRule="exact"/>
        <w:rPr>
          <w:sz w:val="20"/>
          <w:szCs w:val="20"/>
          <w:color w:val="auto"/>
        </w:rPr>
      </w:pPr>
    </w:p>
    <w:p>
      <w:pPr>
        <w:ind w:left="1120" w:right="8240" w:hanging="1112"/>
        <w:spacing w:after="0" w:line="561" w:lineRule="auto"/>
        <w:tabs>
          <w:tab w:leader="none" w:pos="112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Names of Reporting Persons Paulson &amp; Co. Inc.</w:t>
      </w:r>
    </w:p>
    <w:p>
      <w:pPr>
        <w:spacing w:after="0" w:line="4" w:lineRule="exact"/>
        <w:rPr>
          <w:rFonts w:ascii="Arial" w:cs="Arial" w:eastAsia="Arial" w:hAnsi="Arial"/>
          <w:sz w:val="16"/>
          <w:szCs w:val="16"/>
          <w:b w:val="1"/>
          <w:bCs w:val="1"/>
          <w:color w:val="auto"/>
        </w:rPr>
      </w:pPr>
    </w:p>
    <w:p>
      <w:pPr>
        <w:ind w:left="1120" w:hanging="1112"/>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4540" w:hanging="642"/>
        <w:spacing w:after="0"/>
        <w:tabs>
          <w:tab w:leader="none" w:pos="454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4540" w:hanging="642"/>
        <w:spacing w:after="0"/>
        <w:tabs>
          <w:tab w:leader="none" w:pos="454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10" w:lineRule="exact"/>
        <w:rPr>
          <w:rFonts w:ascii="Arial" w:cs="Arial" w:eastAsia="Arial" w:hAnsi="Arial"/>
          <w:sz w:val="18"/>
          <w:szCs w:val="18"/>
          <w:color w:val="auto"/>
        </w:rPr>
      </w:pPr>
    </w:p>
    <w:p>
      <w:pPr>
        <w:ind w:left="1120" w:hanging="1112"/>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b w:val="1"/>
          <w:bCs w:val="1"/>
          <w:color w:val="auto"/>
        </w:rPr>
      </w:pPr>
    </w:p>
    <w:p>
      <w:pPr>
        <w:ind w:left="1120" w:right="7680" w:hanging="1112"/>
        <w:spacing w:after="0" w:line="528" w:lineRule="auto"/>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State of Delaware</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20"/>
        </w:trPr>
        <w:tc>
          <w:tcPr>
            <w:tcW w:w="1280" w:type="dxa"/>
            <w:vAlign w:val="bottom"/>
          </w:tcPr>
          <w:p>
            <w:pPr>
              <w:jc w:val="center"/>
              <w:ind w:right="330"/>
              <w:spacing w:after="0"/>
              <w:rPr>
                <w:sz w:val="20"/>
                <w:szCs w:val="20"/>
                <w:color w:val="auto"/>
              </w:rPr>
            </w:pPr>
            <w:r>
              <w:rPr>
                <w:rFonts w:ascii="Arial" w:cs="Arial" w:eastAsia="Arial" w:hAnsi="Arial"/>
                <w:sz w:val="18"/>
                <w:szCs w:val="18"/>
                <w:color w:val="auto"/>
                <w:w w:val="92"/>
              </w:rPr>
              <w:t>Number of</w:t>
            </w: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5.</w:t>
            </w:r>
          </w:p>
        </w:tc>
        <w:tc>
          <w:tcPr>
            <w:tcW w:w="29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84"/>
              </w:rPr>
              <w:t>Shares</w:t>
            </w:r>
          </w:p>
        </w:tc>
        <w:tc>
          <w:tcPr>
            <w:tcW w:w="78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w w:val="90"/>
              </w:rPr>
              <w:t>310,000 (see Note 1 to Item 4 below)</w:t>
            </w:r>
          </w:p>
        </w:tc>
        <w:tc>
          <w:tcPr>
            <w:tcW w:w="0" w:type="dxa"/>
            <w:vAlign w:val="bottom"/>
          </w:tcPr>
          <w:p>
            <w:pPr>
              <w:spacing w:after="0"/>
              <w:rPr>
                <w:sz w:val="1"/>
                <w:szCs w:val="1"/>
                <w:color w:val="auto"/>
              </w:rPr>
            </w:pPr>
          </w:p>
        </w:tc>
      </w:tr>
      <w:tr>
        <w:trPr>
          <w:trHeight w:val="216"/>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7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ind w:right="330"/>
              <w:spacing w:after="0"/>
              <w:rPr>
                <w:sz w:val="20"/>
                <w:szCs w:val="20"/>
                <w:color w:val="auto"/>
              </w:rPr>
            </w:pPr>
            <w:r>
              <w:rPr>
                <w:rFonts w:ascii="Arial" w:cs="Arial" w:eastAsia="Arial" w:hAnsi="Arial"/>
                <w:sz w:val="18"/>
                <w:szCs w:val="18"/>
                <w:color w:val="auto"/>
                <w:w w:val="93"/>
              </w:rPr>
              <w:t>Owned By</w:t>
            </w:r>
          </w:p>
        </w:tc>
        <w:tc>
          <w:tcPr>
            <w:tcW w:w="780" w:type="dxa"/>
            <w:vAlign w:val="bottom"/>
            <w:vMerge w:val="continue"/>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87"/>
              </w:rPr>
              <w:t>Each</w:t>
            </w:r>
          </w:p>
        </w:tc>
        <w:tc>
          <w:tcPr>
            <w:tcW w:w="78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2"/>
              </w:rPr>
              <w:t>Reporting</w:t>
            </w:r>
          </w:p>
        </w:tc>
        <w:tc>
          <w:tcPr>
            <w:tcW w:w="7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84"/>
              </w:rPr>
              <w:t>Person</w:t>
            </w:r>
          </w:p>
        </w:tc>
        <w:tc>
          <w:tcPr>
            <w:tcW w:w="780" w:type="dxa"/>
            <w:vAlign w:val="bottom"/>
            <w:vMerge w:val="continue"/>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20"/>
                <w:szCs w:val="20"/>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w w:val="90"/>
              </w:rPr>
              <w:t>310,000 (see Note 1 to Item 4 below)</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100" w:right="6440" w:hanging="593"/>
        <w:spacing w:after="0" w:line="277" w:lineRule="auto"/>
        <w:tabs>
          <w:tab w:leader="none" w:pos="31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b w:val="1"/>
          <w:bCs w:val="1"/>
          <w:color w:val="auto"/>
        </w:rPr>
      </w:pPr>
    </w:p>
    <w:p>
      <w:pPr>
        <w:ind w:left="1380" w:right="5880" w:hanging="1372"/>
        <w:spacing w:after="0" w:line="277" w:lineRule="auto"/>
        <w:tabs>
          <w:tab w:leader="none" w:pos="73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310,000 (see Note 1 to Item 4 below)</w:t>
      </w:r>
    </w:p>
    <w:p>
      <w:pPr>
        <w:spacing w:after="0" w:line="170" w:lineRule="exact"/>
        <w:rPr>
          <w:rFonts w:ascii="Arial" w:cs="Arial" w:eastAsia="Arial" w:hAnsi="Arial"/>
          <w:sz w:val="18"/>
          <w:szCs w:val="18"/>
          <w:b w:val="1"/>
          <w:bCs w:val="1"/>
          <w:color w:val="auto"/>
        </w:rPr>
      </w:pPr>
    </w:p>
    <w:p>
      <w:pPr>
        <w:ind w:left="1380" w:right="4060" w:hanging="1372"/>
        <w:spacing w:after="0" w:line="277" w:lineRule="auto"/>
        <w:tabs>
          <w:tab w:leader="none" w:pos="73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 ]</w:t>
      </w:r>
    </w:p>
    <w:p>
      <w:pPr>
        <w:spacing w:after="0" w:line="170" w:lineRule="exact"/>
        <w:rPr>
          <w:rFonts w:ascii="Arial" w:cs="Arial" w:eastAsia="Arial" w:hAnsi="Arial"/>
          <w:sz w:val="18"/>
          <w:szCs w:val="18"/>
          <w:b w:val="1"/>
          <w:bCs w:val="1"/>
          <w:color w:val="auto"/>
        </w:rPr>
      </w:pPr>
    </w:p>
    <w:p>
      <w:pPr>
        <w:ind w:left="740" w:hanging="732"/>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0.63%</w:t>
      </w:r>
    </w:p>
    <w:p>
      <w:pPr>
        <w:spacing w:after="0" w:line="211" w:lineRule="exact"/>
        <w:rPr>
          <w:sz w:val="20"/>
          <w:szCs w:val="20"/>
          <w:color w:val="auto"/>
        </w:rPr>
      </w:pPr>
    </w:p>
    <w:p>
      <w:pPr>
        <w:ind w:left="740" w:hanging="732"/>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b w:val="1"/>
          <w:bCs w:val="1"/>
          <w:color w:val="auto"/>
        </w:rPr>
      </w:pPr>
    </w:p>
    <w:p>
      <w:pPr>
        <w:ind w:left="138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G5509L101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6 Pages</w:t>
      </w:r>
    </w:p>
    <w:p>
      <w:pPr>
        <w:spacing w:after="0" w:line="1058" w:lineRule="exact"/>
        <w:rPr>
          <w:sz w:val="20"/>
          <w:szCs w:val="20"/>
          <w:color w:val="auto"/>
        </w:rPr>
      </w:pPr>
    </w:p>
    <w:p>
      <w:pPr>
        <w:sectPr>
          <w:pgSz w:w="11900" w:h="16838" w:orient="portrait"/>
          <w:cols w:equalWidth="0" w:num="3">
            <w:col w:w="900" w:space="100"/>
            <w:col w:w="8380" w:space="720"/>
            <w:col w:w="1320"/>
          </w:cols>
          <w:pgMar w:left="240" w:top="364" w:right="239" w:bottom="1440" w:gutter="0" w:footer="0" w:header="0"/>
        </w:sectPr>
      </w:pPr>
    </w:p>
    <w:p>
      <w:pPr>
        <w:spacing w:after="0" w:line="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LivaNova PLC</w:t>
      </w:r>
    </w:p>
    <w:p>
      <w:pPr>
        <w:spacing w:after="0" w:line="22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the Issuer's Principal Executive Offices:</w:t>
      </w: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5 Merchant Square, North Wharf Road</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London, W2 1AY, United Kingdom</w:t>
      </w:r>
    </w:p>
    <w:p>
      <w:pPr>
        <w:spacing w:after="0" w:line="20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Paulson &amp; Co. Inc.</w:t>
      </w:r>
    </w:p>
    <w:p>
      <w:pPr>
        <w:spacing w:after="0" w:line="22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1251 Avenue of the Americas, New York, NY 10020</w:t>
      </w:r>
    </w:p>
    <w:p>
      <w:pPr>
        <w:spacing w:after="0" w:line="22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Delaware corporation</w:t>
      </w:r>
    </w:p>
    <w:p>
      <w:pPr>
        <w:spacing w:after="0" w:line="22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Ordinary shares, par value £1.00</w:t>
      </w:r>
    </w:p>
    <w:p>
      <w:pPr>
        <w:spacing w:after="0" w:line="22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3" w:name="page4"/>
    <w:bookmarkEnd w:id="3"/>
    <w:p>
      <w:pPr>
        <w:spacing w:after="0"/>
        <w:tabs>
          <w:tab w:leader="none" w:pos="10080" w:val="left"/>
        </w:tabs>
        <w:rPr>
          <w:sz w:val="20"/>
          <w:szCs w:val="20"/>
          <w:color w:val="auto"/>
        </w:rPr>
      </w:pPr>
      <w:r>
        <w:rPr>
          <w:rFonts w:ascii="Arial" w:cs="Arial" w:eastAsia="Arial" w:hAnsi="Arial"/>
          <w:sz w:val="18"/>
          <w:szCs w:val="18"/>
          <w:b w:val="1"/>
          <w:bCs w:val="1"/>
          <w:color w:val="auto"/>
        </w:rPr>
        <w:t>CUSIP NO. G5509L101</w:t>
      </w:r>
      <w:r>
        <w:rPr>
          <w:sz w:val="20"/>
          <w:szCs w:val="20"/>
          <w:color w:val="auto"/>
        </w:rPr>
        <w:tab/>
      </w:r>
      <w:r>
        <w:rPr>
          <w:rFonts w:ascii="Arial" w:cs="Arial" w:eastAsia="Arial" w:hAnsi="Arial"/>
          <w:sz w:val="15"/>
          <w:szCs w:val="15"/>
          <w:b w:val="1"/>
          <w:bCs w:val="1"/>
          <w:color w:val="auto"/>
        </w:rPr>
        <w:t>Page 4 of 6 Pages</w:t>
      </w:r>
    </w:p>
    <w:p>
      <w:pPr>
        <w:spacing w:after="0" w:line="200" w:lineRule="exact"/>
        <w:rPr>
          <w:sz w:val="20"/>
          <w:szCs w:val="20"/>
          <w:color w:val="auto"/>
        </w:rPr>
      </w:pPr>
    </w:p>
    <w:p>
      <w:pPr>
        <w:spacing w:after="0" w:line="20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1460"/>
        <w:spacing w:after="0"/>
        <w:tabs>
          <w:tab w:leader="none" w:pos="18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Paulson &amp; Co. Inc. is an investment adviser registered under Section 203 of the Investment Advisers Act of 1940.</w:t>
      </w:r>
    </w:p>
    <w:p>
      <w:pPr>
        <w:spacing w:after="0" w:line="22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color w:val="auto"/>
        </w:rPr>
        <w:t>Amount Beneficially Owned: 310,000 (see Note 1)</w:t>
      </w:r>
    </w:p>
    <w:p>
      <w:pPr>
        <w:spacing w:after="0" w:line="22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6"/>
          <w:szCs w:val="16"/>
          <w:color w:val="auto"/>
        </w:rPr>
        <w:t>Percent of Class: 0.63%</w:t>
      </w:r>
    </w:p>
    <w:p>
      <w:pPr>
        <w:spacing w:after="0" w:line="22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6"/>
          <w:szCs w:val="16"/>
          <w:color w:val="auto"/>
        </w:rPr>
        <w:t>Number of shares as to which such person has:</w:t>
      </w:r>
    </w:p>
    <w:p>
      <w:pPr>
        <w:spacing w:after="0" w:line="229" w:lineRule="exact"/>
        <w:rPr>
          <w:sz w:val="20"/>
          <w:szCs w:val="20"/>
          <w:color w:val="auto"/>
        </w:rPr>
      </w:pPr>
    </w:p>
    <w:p>
      <w:pPr>
        <w:ind w:left="2460" w:hanging="993"/>
        <w:spacing w:after="0"/>
        <w:tabs>
          <w:tab w:leader="none" w:pos="2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310,000 (see Note 1)</w:t>
      </w:r>
    </w:p>
    <w:p>
      <w:pPr>
        <w:spacing w:after="0" w:line="23" w:lineRule="exact"/>
        <w:rPr>
          <w:rFonts w:ascii="Arial" w:cs="Arial" w:eastAsia="Arial" w:hAnsi="Arial"/>
          <w:sz w:val="18"/>
          <w:szCs w:val="18"/>
          <w:color w:val="auto"/>
        </w:rPr>
      </w:pPr>
    </w:p>
    <w:p>
      <w:pPr>
        <w:ind w:left="2460" w:hanging="993"/>
        <w:spacing w:after="0"/>
        <w:tabs>
          <w:tab w:leader="none" w:pos="2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2460" w:hanging="993"/>
        <w:spacing w:after="0"/>
        <w:tabs>
          <w:tab w:leader="none" w:pos="2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310,000 (see Note 1)</w:t>
      </w:r>
    </w:p>
    <w:p>
      <w:pPr>
        <w:spacing w:after="0" w:line="9" w:lineRule="exact"/>
        <w:rPr>
          <w:rFonts w:ascii="Arial" w:cs="Arial" w:eastAsia="Arial" w:hAnsi="Arial"/>
          <w:sz w:val="18"/>
          <w:szCs w:val="18"/>
          <w:color w:val="auto"/>
        </w:rPr>
      </w:pPr>
    </w:p>
    <w:p>
      <w:pPr>
        <w:ind w:left="2460" w:hanging="993"/>
        <w:spacing w:after="0"/>
        <w:tabs>
          <w:tab w:leader="none" w:pos="2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11" w:lineRule="exact"/>
        <w:rPr>
          <w:sz w:val="20"/>
          <w:szCs w:val="20"/>
          <w:color w:val="auto"/>
        </w:rPr>
      </w:pPr>
    </w:p>
    <w:p>
      <w:pPr>
        <w:ind w:right="1520"/>
        <w:spacing w:after="0" w:line="276" w:lineRule="auto"/>
        <w:rPr>
          <w:sz w:val="20"/>
          <w:szCs w:val="20"/>
          <w:color w:val="auto"/>
        </w:rPr>
      </w:pPr>
      <w:r>
        <w:rPr>
          <w:rFonts w:ascii="Arial" w:cs="Arial" w:eastAsia="Arial" w:hAnsi="Arial"/>
          <w:sz w:val="17"/>
          <w:szCs w:val="17"/>
          <w:color w:val="auto"/>
        </w:rPr>
        <w:t>Note 1: Paulson &amp; Co. Inc. (“Paulson”), an investment advisor that is registered under the Investment Advisors Act of 1940, and its affiliates furnish investment advice to and manage onshore and offshore investment funds and separate managed accounts (such investment funds and accounts, the “Funds”). In its role as investment advisor, or manager, Paulson possesses voting and/or investment power over the securities of the Issuer described in this schedule that are owned by the Funds. All securities reported in this schedule are owned by the Funds. Paulson disclaims beneficial ownership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G5509L101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6 Pages</w:t>
      </w:r>
    </w:p>
    <w:p>
      <w:pPr>
        <w:spacing w:after="0" w:line="1058" w:lineRule="exact"/>
        <w:rPr>
          <w:sz w:val="20"/>
          <w:szCs w:val="20"/>
          <w:color w:val="auto"/>
        </w:rPr>
      </w:pPr>
    </w:p>
    <w:p>
      <w:pPr>
        <w:sectPr>
          <w:pgSz w:w="11900" w:h="16838" w:orient="portrait"/>
          <w:cols w:equalWidth="0" w:num="3">
            <w:col w:w="900" w:space="100"/>
            <w:col w:w="8380" w:space="720"/>
            <w:col w:w="1320"/>
          </w:cols>
          <w:pgMar w:left="240" w:top="364" w:right="23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w w:val="90"/>
              </w:rPr>
              <w:t>It this statement if being filed to report the fact that as of the date hereof any of the Reporting Persons have ceased to be the beneficial</w:t>
            </w:r>
          </w:p>
        </w:tc>
      </w:tr>
      <w:tr>
        <w:trPr>
          <w:trHeight w:val="234"/>
        </w:trPr>
        <w:tc>
          <w:tcPr>
            <w:tcW w:w="116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rPr>
              <w:t xml:space="preserve">owners of more than five percent of the class of securities, check the following </w:t>
            </w:r>
            <w:r>
              <w:rPr>
                <w:rFonts w:ascii="Arial" w:cs="Arial" w:eastAsia="Arial" w:hAnsi="Arial"/>
                <w:sz w:val="18"/>
                <w:szCs w:val="18"/>
                <w:b w:val="1"/>
                <w:bCs w:val="1"/>
                <w:color w:val="auto"/>
              </w:rPr>
              <w:t>[X</w:t>
            </w:r>
            <w:r>
              <w:rPr>
                <w:rFonts w:ascii="Arial" w:cs="Arial" w:eastAsia="Arial" w:hAnsi="Arial"/>
                <w:sz w:val="18"/>
                <w:szCs w:val="18"/>
                <w:color w:val="auto"/>
              </w:rPr>
              <w:t>].</w:t>
            </w: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tcPr>
          <w:p>
            <w:pPr>
              <w:ind w:left="5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18"/>
        </w:trPr>
        <w:tc>
          <w:tcPr>
            <w:tcW w:w="116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w w:val="94"/>
              </w:rPr>
              <w:t>All securities reported in this schedule are owned by Paulson’s advisory clients, none of which to Paulson’s knowledge owns more</w:t>
            </w:r>
          </w:p>
        </w:tc>
      </w:tr>
      <w:tr>
        <w:trPr>
          <w:trHeight w:val="230"/>
        </w:trPr>
        <w:tc>
          <w:tcPr>
            <w:tcW w:w="116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rPr>
              <w:t>than 5% of the class. Paulson itself disclaims beneficial ownership of all such securities.</w:t>
            </w: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60" w:type="dxa"/>
            <w:vAlign w:val="bottom"/>
          </w:tcPr>
          <w:p>
            <w:pPr>
              <w:ind w:left="500"/>
              <w:spacing w:after="0"/>
              <w:rPr>
                <w:sz w:val="20"/>
                <w:szCs w:val="20"/>
                <w:color w:val="auto"/>
              </w:rPr>
            </w:pPr>
            <w:r>
              <w:rPr>
                <w:rFonts w:ascii="Arial" w:cs="Arial" w:eastAsia="Arial" w:hAnsi="Arial"/>
                <w:sz w:val="18"/>
                <w:szCs w:val="18"/>
                <w:b w:val="1"/>
                <w:bCs w:val="1"/>
                <w:color w:val="auto"/>
                <w:w w:val="94"/>
              </w:rPr>
              <w:t>Identification and Classification of the Subsidiary Which Acquired the Security Being Reported on by the Parent Holding</w:t>
            </w:r>
          </w:p>
        </w:tc>
      </w:tr>
      <w:tr>
        <w:trPr>
          <w:trHeight w:val="234"/>
        </w:trPr>
        <w:tc>
          <w:tcPr>
            <w:tcW w:w="116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116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rPr>
              <w:t>Not applicable.</w:t>
            </w: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tcPr>
          <w:p>
            <w:pPr>
              <w:ind w:left="50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116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rPr>
              <w:t>Not applicable.</w:t>
            </w: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60" w:type="dxa"/>
            <w:vAlign w:val="bottom"/>
          </w:tcPr>
          <w:p>
            <w:pPr>
              <w:ind w:left="50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116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rPr>
              <w:t>Not applicable.</w:t>
            </w: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60" w:type="dxa"/>
            <w:vAlign w:val="bottom"/>
          </w:tcPr>
          <w:p>
            <w:pPr>
              <w:ind w:left="500"/>
              <w:spacing w:after="0"/>
              <w:rPr>
                <w:sz w:val="20"/>
                <w:szCs w:val="20"/>
                <w:color w:val="auto"/>
              </w:rPr>
            </w:pPr>
            <w:r>
              <w:rPr>
                <w:rFonts w:ascii="Arial" w:cs="Arial" w:eastAsia="Arial" w:hAnsi="Arial"/>
                <w:sz w:val="18"/>
                <w:szCs w:val="18"/>
                <w:b w:val="1"/>
                <w:bCs w:val="1"/>
                <w:color w:val="auto"/>
              </w:rPr>
              <w:t>Certification:</w:t>
            </w:r>
          </w:p>
        </w:tc>
      </w:tr>
      <w:tr>
        <w:trPr>
          <w:trHeight w:val="418"/>
        </w:trPr>
        <w:tc>
          <w:tcPr>
            <w:tcW w:w="116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acquired and are held in</w:t>
            </w:r>
          </w:p>
        </w:tc>
      </w:tr>
      <w:tr>
        <w:trPr>
          <w:trHeight w:val="216"/>
        </w:trPr>
        <w:tc>
          <w:tcPr>
            <w:tcW w:w="116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w w:val="91"/>
              </w:rPr>
              <w:t>the ordinary course of business and were not acquired and are not held for the purpose of or with the effect of changing or influencing</w:t>
            </w:r>
          </w:p>
        </w:tc>
      </w:tr>
      <w:tr>
        <w:trPr>
          <w:trHeight w:val="216"/>
        </w:trPr>
        <w:tc>
          <w:tcPr>
            <w:tcW w:w="116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w w:val="98"/>
              </w:rPr>
              <w:t>the control of the issuer of the securities and were not acquired and are not held in connection with or as a participant in any</w:t>
            </w:r>
          </w:p>
        </w:tc>
      </w:tr>
      <w:tr>
        <w:trPr>
          <w:trHeight w:val="230"/>
        </w:trPr>
        <w:tc>
          <w:tcPr>
            <w:tcW w:w="116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rPr>
              <w:t>transaction having that purpose or effect.</w:t>
            </w:r>
          </w:p>
        </w:tc>
      </w:tr>
      <w:tr>
        <w:trPr>
          <w:trHeight w:val="1060"/>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type w:val="continuous"/>
        </w:sectPr>
      </w:pPr>
    </w:p>
    <w:bookmarkStart w:id="5" w:name="page6"/>
    <w:bookmarkEnd w:id="5"/>
    <w:p>
      <w:pPr>
        <w:spacing w:after="0"/>
        <w:tabs>
          <w:tab w:leader="none" w:pos="10080" w:val="left"/>
        </w:tabs>
        <w:rPr>
          <w:sz w:val="20"/>
          <w:szCs w:val="20"/>
          <w:color w:val="auto"/>
        </w:rPr>
      </w:pPr>
      <w:r>
        <w:rPr>
          <w:rFonts w:ascii="Arial" w:cs="Arial" w:eastAsia="Arial" w:hAnsi="Arial"/>
          <w:sz w:val="18"/>
          <w:szCs w:val="18"/>
          <w:b w:val="1"/>
          <w:bCs w:val="1"/>
          <w:color w:val="auto"/>
        </w:rPr>
        <w:t>CUSIP NO. G5509L101</w:t>
      </w:r>
      <w:r>
        <w:rPr>
          <w:sz w:val="20"/>
          <w:szCs w:val="20"/>
          <w:color w:val="auto"/>
        </w:rPr>
        <w:tab/>
      </w:r>
      <w:r>
        <w:rPr>
          <w:rFonts w:ascii="Arial" w:cs="Arial" w:eastAsia="Arial" w:hAnsi="Arial"/>
          <w:sz w:val="15"/>
          <w:szCs w:val="15"/>
          <w:b w:val="1"/>
          <w:bCs w:val="1"/>
          <w:color w:val="auto"/>
        </w:rPr>
        <w:t>Page 6 of 6 Pages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February 14, 2017</w:t>
      </w:r>
      <w:r>
        <w:rPr>
          <w:sz w:val="20"/>
          <w:szCs w:val="20"/>
          <w:color w:val="auto"/>
        </w:rPr>
        <w:tab/>
      </w:r>
      <w:r>
        <w:rPr>
          <w:rFonts w:ascii="Arial" w:cs="Arial" w:eastAsia="Arial" w:hAnsi="Arial"/>
          <w:sz w:val="17"/>
          <w:szCs w:val="17"/>
          <w:color w:val="auto"/>
        </w:rPr>
        <w:t>PAULSON &amp; CO. INC.</w:t>
      </w:r>
    </w:p>
    <w:p>
      <w:pPr>
        <w:spacing w:after="0" w:line="225"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Stuart L. Merzer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Stuart L. Merzer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General Counsel &amp; Chief Compliance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8"/>
    </w:lvl>
  </w:abstractNum>
  <w:abstractNum w:abstractNumId="3">
    <w:nsid w:val="46E87CCD"/>
    <w:multiLevelType w:val="hybridMultilevel"/>
    <w:lvl w:ilvl="0">
      <w:lvlJc w:val="left"/>
      <w:lvlText w:val="%1."/>
      <w:numFmt w:val="decimal"/>
      <w:start w:val="9"/>
    </w:lvl>
    <w:lvl w:ilvl="1">
      <w:lvlJc w:val="left"/>
      <w:lvlText w:val="%2"/>
      <w:numFmt w:val="decimal"/>
      <w:start w:val="1"/>
    </w:lvl>
  </w:abstractNum>
  <w:abstractNum w:abstractNumId="4">
    <w:nsid w:val="3D1B58BA"/>
    <w:multiLevelType w:val="hybridMultilevel"/>
    <w:lvl w:ilvl="0">
      <w:lvlJc w:val="left"/>
      <w:lvlText w:val="%1."/>
      <w:numFmt w:val="decimal"/>
      <w:start w:val="12"/>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2019-12-16T16:20:24Z</dcterms:created>
  <dcterms:modified xsi:type="dcterms:W3CDTF">2019-12-16T16:20:24Z</dcterms:modified>
</cp:coreProperties>
</file>