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May 29, 2025</w:t>
      </w:r>
    </w:p>
    <w:p>
      <w:pPr>
        <w:spacing w:after="0" w:line="278" w:lineRule="exact"/>
        <w:rPr>
          <w:sz w:val="24"/>
          <w:szCs w:val="24"/>
          <w:color w:val="auto"/>
        </w:rPr>
      </w:pPr>
    </w:p>
    <w:p>
      <w:pPr>
        <w:ind w:left="4916"/>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10" w:lineRule="exact"/>
        <w:rPr>
          <w:sz w:val="24"/>
          <w:szCs w:val="24"/>
          <w:color w:val="auto"/>
        </w:rPr>
      </w:pPr>
    </w:p>
    <w:p>
      <w:pPr>
        <w:ind w:left="3856"/>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6" w:lineRule="exact"/>
        <w:rPr>
          <w:sz w:val="24"/>
          <w:szCs w:val="24"/>
          <w:color w:val="auto"/>
        </w:rPr>
      </w:pP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FORM SD</w:t>
      </w:r>
    </w:p>
    <w:p>
      <w:pPr>
        <w:spacing w:after="0" w:line="31" w:lineRule="exact"/>
        <w:rPr>
          <w:sz w:val="24"/>
          <w:szCs w:val="24"/>
          <w:color w:val="auto"/>
        </w:rPr>
      </w:pP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125730</wp:posOffset>
            </wp:positionV>
            <wp:extent cx="1637665" cy="469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665" cy="469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LivaNova PLC</w:t>
      </w:r>
    </w:p>
    <w:p>
      <w:pPr>
        <w:sectPr>
          <w:pgSz w:w="11900" w:h="16838" w:orient="portrait"/>
          <w:cols w:equalWidth="0" w:num="1">
            <w:col w:w="10776"/>
          </w:cols>
          <w:pgMar w:left="424" w:top="1439"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1556"/>
        <w:spacing w:after="0"/>
        <w:rPr>
          <w:sz w:val="20"/>
          <w:szCs w:val="20"/>
          <w:color w:val="auto"/>
        </w:rPr>
      </w:pPr>
      <w:r>
        <w:rPr>
          <w:rFonts w:ascii="Times New Roman" w:cs="Times New Roman" w:eastAsia="Times New Roman" w:hAnsi="Times New Roman"/>
          <w:sz w:val="15"/>
          <w:szCs w:val="15"/>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5"/>
          <w:szCs w:val="15"/>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98-1268150</w:t>
      </w:r>
    </w:p>
    <w:p>
      <w:pPr>
        <w:spacing w:after="0" w:line="40" w:lineRule="exact"/>
        <w:rPr>
          <w:sz w:val="24"/>
          <w:szCs w:val="24"/>
          <w:color w:val="auto"/>
        </w:rPr>
      </w:pPr>
    </w:p>
    <w:p>
      <w:pPr>
        <w:sectPr>
          <w:pgSz w:w="11900" w:h="16838" w:orient="portrait"/>
          <w:cols w:equalWidth="0" w:num="3">
            <w:col w:w="4476" w:space="720"/>
            <w:col w:w="2560" w:space="720"/>
            <w:col w:w="2300"/>
          </w:cols>
          <w:pgMar w:left="424" w:top="1439" w:right="699" w:bottom="1440" w:gutter="0" w:footer="0" w:header="0"/>
          <w:type w:val="continuous"/>
        </w:sectPr>
      </w:pPr>
    </w:p>
    <w:p>
      <w:pPr>
        <w:ind w:left="796"/>
        <w:spacing w:after="0"/>
        <w:rPr>
          <w:sz w:val="20"/>
          <w:szCs w:val="20"/>
          <w:color w:val="auto"/>
        </w:rPr>
      </w:pPr>
      <w:r>
        <w:rPr>
          <w:rFonts w:ascii="Times New Roman" w:cs="Times New Roman" w:eastAsia="Times New Roman" w:hAnsi="Times New Roman"/>
          <w:sz w:val="15"/>
          <w:szCs w:val="15"/>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w:t>
      </w:r>
      <w:r>
        <w:rPr>
          <w:rFonts w:ascii="Times New Roman" w:cs="Times New Roman" w:eastAsia="Times New Roman" w:hAnsi="Times New Roman"/>
          <w:sz w:val="15"/>
          <w:szCs w:val="15"/>
          <w:b w:val="1"/>
          <w:bCs w:val="1"/>
          <w:color w:val="auto"/>
        </w:rPr>
        <w:t>)</w:t>
      </w:r>
    </w:p>
    <w:p>
      <w:pPr>
        <w:spacing w:after="0" w:line="5" w:lineRule="exact"/>
        <w:rPr>
          <w:sz w:val="24"/>
          <w:szCs w:val="24"/>
          <w:color w:val="auto"/>
        </w:rPr>
      </w:pPr>
    </w:p>
    <w:p>
      <w:pPr>
        <w:sectPr>
          <w:pgSz w:w="11900" w:h="16838" w:orient="portrait"/>
          <w:cols w:equalWidth="0" w:num="3">
            <w:col w:w="3956" w:space="720"/>
            <w:col w:w="2460" w:space="720"/>
            <w:col w:w="2920"/>
          </w:cols>
          <w:pgMar w:left="424" w:top="1439" w:right="699" w:bottom="1440" w:gutter="0" w:footer="0" w:header="0"/>
          <w:type w:val="continuous"/>
        </w:sectPr>
      </w:pPr>
    </w:p>
    <w:p>
      <w:pPr>
        <w:ind w:left="1796"/>
        <w:spacing w:after="0" w:line="230" w:lineRule="auto"/>
        <w:rPr>
          <w:sz w:val="20"/>
          <w:szCs w:val="20"/>
          <w:color w:val="auto"/>
        </w:rPr>
      </w:pPr>
      <w:r>
        <w:rPr>
          <w:rFonts w:ascii="Times New Roman" w:cs="Times New Roman" w:eastAsia="Times New Roman" w:hAnsi="Times New Roman"/>
          <w:sz w:val="15"/>
          <w:szCs w:val="15"/>
          <w:color w:val="auto"/>
        </w:rPr>
        <w:t>organization)</w:t>
      </w:r>
    </w:p>
    <w:p>
      <w:pPr>
        <w:sectPr>
          <w:pgSz w:w="11900" w:h="16838" w:orient="portrait"/>
          <w:cols w:equalWidth="0" w:num="1">
            <w:col w:w="10776"/>
          </w:cols>
          <w:pgMar w:left="424" w:top="1439" w:right="699" w:bottom="1440" w:gutter="0" w:footer="0" w:header="0"/>
          <w:type w:val="continuous"/>
        </w:sectPr>
      </w:pPr>
    </w:p>
    <w:p>
      <w:pPr>
        <w:spacing w:after="0" w:line="329" w:lineRule="exact"/>
        <w:rPr>
          <w:sz w:val="24"/>
          <w:szCs w:val="24"/>
          <w:color w:val="auto"/>
        </w:rPr>
      </w:pPr>
    </w:p>
    <w:p>
      <w:pPr>
        <w:ind w:left="3596"/>
        <w:spacing w:after="0"/>
        <w:rPr>
          <w:sz w:val="20"/>
          <w:szCs w:val="20"/>
          <w:color w:val="auto"/>
        </w:rPr>
      </w:pPr>
      <w:r>
        <w:rPr>
          <w:rFonts w:ascii="Times New Roman" w:cs="Times New Roman" w:eastAsia="Times New Roman" w:hAnsi="Times New Roman"/>
          <w:sz w:val="15"/>
          <w:szCs w:val="15"/>
          <w:b w:val="1"/>
          <w:bCs w:val="1"/>
          <w:color w:val="auto"/>
        </w:rPr>
        <w:t>20 Eastbourne Terrace London, United Kingdom W2 6LG</w:t>
      </w:r>
    </w:p>
    <w:p>
      <w:pPr>
        <w:spacing w:after="0" w:line="9" w:lineRule="exact"/>
        <w:rPr>
          <w:sz w:val="24"/>
          <w:szCs w:val="24"/>
          <w:color w:val="auto"/>
        </w:rPr>
      </w:pPr>
    </w:p>
    <w:p>
      <w:pPr>
        <w:ind w:left="3516"/>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305" w:lineRule="exact"/>
        <w:rPr>
          <w:sz w:val="24"/>
          <w:szCs w:val="24"/>
          <w:color w:val="auto"/>
        </w:rPr>
      </w:pPr>
    </w:p>
    <w:p>
      <w:pPr>
        <w:jc w:val="center"/>
        <w:ind w:right="-315"/>
        <w:spacing w:after="0"/>
        <w:rPr>
          <w:sz w:val="20"/>
          <w:szCs w:val="20"/>
          <w:color w:val="auto"/>
        </w:rPr>
      </w:pPr>
      <w:r>
        <w:rPr>
          <w:rFonts w:ascii="Times New Roman" w:cs="Times New Roman" w:eastAsia="Times New Roman" w:hAnsi="Times New Roman"/>
          <w:sz w:val="15"/>
          <w:szCs w:val="15"/>
          <w:b w:val="1"/>
          <w:bCs w:val="1"/>
          <w:color w:val="auto"/>
        </w:rPr>
        <w:t>Michael Hutchinson Company Secretary</w:t>
      </w:r>
    </w:p>
    <w:p>
      <w:pPr>
        <w:spacing w:after="0" w:line="31" w:lineRule="exact"/>
        <w:rPr>
          <w:sz w:val="24"/>
          <w:szCs w:val="24"/>
          <w:color w:val="auto"/>
        </w:rPr>
      </w:pPr>
    </w:p>
    <w:p>
      <w:pPr>
        <w:jc w:val="center"/>
        <w:ind w:right="-255"/>
        <w:spacing w:after="0"/>
        <w:rPr>
          <w:sz w:val="20"/>
          <w:szCs w:val="20"/>
          <w:color w:val="auto"/>
        </w:rPr>
      </w:pPr>
      <w:r>
        <w:rPr>
          <w:rFonts w:ascii="Times New Roman" w:cs="Times New Roman" w:eastAsia="Times New Roman" w:hAnsi="Times New Roman"/>
          <w:sz w:val="15"/>
          <w:szCs w:val="15"/>
          <w:b w:val="1"/>
          <w:bCs w:val="1"/>
          <w:color w:val="auto"/>
        </w:rPr>
        <w:t>+ 44 (0) 203 325 0665</w:t>
      </w:r>
    </w:p>
    <w:p>
      <w:pPr>
        <w:spacing w:after="0" w:line="264" w:lineRule="exact"/>
        <w:rPr>
          <w:sz w:val="24"/>
          <w:szCs w:val="24"/>
          <w:color w:val="auto"/>
        </w:rPr>
      </w:pPr>
    </w:p>
    <w:p>
      <w:pPr>
        <w:ind w:left="4096" w:hanging="2421"/>
        <w:spacing w:after="0" w:line="406" w:lineRule="auto"/>
        <w:rPr>
          <w:sz w:val="20"/>
          <w:szCs w:val="20"/>
          <w:color w:val="auto"/>
        </w:rPr>
      </w:pPr>
      <w:r>
        <w:rPr>
          <w:rFonts w:ascii="Times New Roman" w:cs="Times New Roman" w:eastAsia="Times New Roman" w:hAnsi="Times New Roman"/>
          <w:sz w:val="15"/>
          <w:szCs w:val="15"/>
          <w:color w:val="auto"/>
        </w:rPr>
        <w:t>(Name and telephone number, including area code, of the person to contact in connection with this report) Check the appropriate box to indicate the rule pursuant to which this form is being filed:</w:t>
      </w:r>
    </w:p>
    <w:p>
      <w:pPr>
        <w:spacing w:after="0" w:line="29" w:lineRule="exact"/>
        <w:rPr>
          <w:sz w:val="24"/>
          <w:szCs w:val="24"/>
          <w:color w:val="auto"/>
        </w:rPr>
      </w:pPr>
    </w:p>
    <w:p>
      <w:pPr>
        <w:ind w:left="276" w:hanging="276"/>
        <w:spacing w:after="0"/>
        <w:tabs>
          <w:tab w:leader="none" w:pos="27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Rule 13p-1 under the Securities Exchange Act (17 CFR 240.13p-1) for the reporting period from January 1 to December 31, 2024.</w:t>
      </w:r>
    </w:p>
    <w:p>
      <w:pPr>
        <w:spacing w:after="0" w:line="197" w:lineRule="exact"/>
        <w:rPr>
          <w:sz w:val="24"/>
          <w:szCs w:val="24"/>
          <w:color w:val="auto"/>
        </w:rPr>
      </w:pPr>
    </w:p>
    <w:p>
      <w:pPr>
        <w:ind w:left="376" w:hanging="343"/>
        <w:spacing w:after="0"/>
        <w:tabs>
          <w:tab w:leader="none" w:pos="37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Rule 13q-1 under the Securities Exchange Act (17 CFR 240.13q-1) for the fiscal year ended.</w:t>
      </w:r>
    </w:p>
    <w:p>
      <w:pPr>
        <w:sectPr>
          <w:pgSz w:w="11900" w:h="16838" w:orient="portrait"/>
          <w:cols w:equalWidth="0" w:num="1">
            <w:col w:w="10776"/>
          </w:cols>
          <w:pgMar w:left="424" w:top="1439" w:right="6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auto"/>
        </w:rPr>
        <w:t>Section 1 Conflict Minerals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1.01 Conflict Minerals Disclosure and Report</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LivaNova PLC (collectively with its subsidiaries, the “Company” or “LivaNova”) is filing this Specialized Disclosure report on Form SD (this “Form SD”) for LivaNova’s supply chain operations for the year ended December 31, 2024. This Form SD is presented in compliance with Rule 13p-1 under the Securities Exchange Act of 1934, as amended, for the reporting period from January 1, 2024 to December 31, 2024.</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color w:val="auto"/>
        </w:rPr>
        <w:t xml:space="preserve">A copy of LivaNova’s Conflict Minerals Report is filed as a part of this Form SD. A copy of this Form SD may also be found on the Company’s website at </w:t>
      </w:r>
      <w:r>
        <w:rPr>
          <w:rFonts w:ascii="Times New Roman" w:cs="Times New Roman" w:eastAsia="Times New Roman" w:hAnsi="Times New Roman"/>
          <w:sz w:val="15"/>
          <w:szCs w:val="15"/>
          <w:color w:val="0562C1"/>
        </w:rPr>
        <w:t>https://investor.livanova.com/financial-information/sec-filings</w:t>
      </w:r>
      <w:r>
        <w:rPr>
          <w:rFonts w:ascii="Times New Roman" w:cs="Times New Roman" w:eastAsia="Times New Roman" w:hAnsi="Times New Roman"/>
          <w:sz w:val="15"/>
          <w:szCs w:val="15"/>
          <w:color w:val="0000FF"/>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1.02 Exhibits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LivaNova has filed as an exhibit to this Form SD, the Conflict Minerals Report required by Item 1.01.</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Section 2 Resource Extraction Issuer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2.01 Resource Extraction Issuer Disclosure and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Section 3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3.01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exhibit is filed as part of this report.</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Exhibit  Description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u w:val="single" w:color="auto"/>
          <w:color w:val="0000FF"/>
        </w:rPr>
        <w:t>Conflict Minerals Report as required by Items 1.01 and 1.02 of this Form</w:t>
      </w:r>
    </w:p>
    <w:p>
      <w:pPr>
        <w:spacing w:after="0" w:line="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5"/>
          <w:szCs w:val="15"/>
          <w:u w:val="single" w:color="auto"/>
          <w:color w:val="0000FF"/>
        </w:rPr>
        <w:t>SD.</w:t>
      </w:r>
    </w:p>
    <w:p>
      <w:pPr>
        <w:sectPr>
          <w:pgSz w:w="11900" w:h="16838" w:orient="portrait"/>
          <w:cols w:equalWidth="0" w:num="1">
            <w:col w:w="10960"/>
          </w:cols>
          <w:pgMar w:left="600" w:top="11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LivaNova PLC</w:t>
      </w:r>
    </w:p>
    <w:p>
      <w:pPr>
        <w:spacing w:after="0" w:line="200" w:lineRule="exact"/>
        <w:rPr>
          <w:sz w:val="20"/>
          <w:szCs w:val="20"/>
          <w:color w:val="auto"/>
        </w:rPr>
      </w:pPr>
    </w:p>
    <w:p>
      <w:pPr>
        <w:spacing w:after="0" w:line="264"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5"/>
          <w:szCs w:val="15"/>
          <w:color w:val="auto"/>
        </w:rPr>
        <w:t>Date: May 29, 2025</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Michael Hutchinson</w:t>
      </w:r>
    </w:p>
    <w:p>
      <w:pPr>
        <w:spacing w:after="0" w:line="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Name: Michael Hutchinson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Title: SVP, Company Secretary &amp; Chief Legal Officer</w:t>
      </w:r>
    </w:p>
    <w:p>
      <w:pPr>
        <w:sectPr>
          <w:pgSz w:w="11900" w:h="16838" w:orient="portrait"/>
          <w:cols w:equalWidth="0" w:num="1">
            <w:col w:w="11260"/>
          </w:cols>
          <w:pgMar w:left="320" w:top="676"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8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1045" cy="10187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2025-05-29T16:26:05Z</dcterms:created>
  <dcterms:modified xsi:type="dcterms:W3CDTF">2025-05-29T16:26:05Z</dcterms:modified>
</cp:coreProperties>
</file>