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074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0749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Moore Daniel Jeffrey</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06/29/2021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06/29/2021</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9"/>
              </w:rPr>
              <w:t>3,931</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34,630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06/29/2021</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9"/>
              </w:rPr>
              <w:t>1,000</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84.2</w:t>
            </w:r>
            <w:r>
              <w:rPr>
                <w:rFonts w:ascii="Arial" w:cs="Arial" w:eastAsia="Arial" w:hAnsi="Arial"/>
                <w:sz w:val="21"/>
                <w:szCs w:val="21"/>
                <w:color w:val="008000"/>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33,630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(5)</w:t>
            </w: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3,931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vMerge w:val="restart"/>
          </w:tcPr>
          <w:p>
            <w:pPr>
              <w:ind w:left="320"/>
              <w:spacing w:after="0"/>
              <w:rPr>
                <w:sz w:val="20"/>
                <w:szCs w:val="20"/>
                <w:color w:val="auto"/>
              </w:rPr>
            </w:pPr>
            <w:r>
              <w:rPr>
                <w:rFonts w:ascii="Arial" w:cs="Arial" w:eastAsia="Arial" w:hAnsi="Arial"/>
                <w:sz w:val="26"/>
                <w:szCs w:val="26"/>
                <w:color w:val="0000FF"/>
                <w:vertAlign w:val="subscript"/>
              </w:rPr>
              <w:t>0</w:t>
            </w:r>
            <w:r>
              <w:rPr>
                <w:rFonts w:ascii="Arial" w:cs="Arial" w:eastAsia="Arial" w:hAnsi="Arial"/>
                <w:sz w:val="11"/>
                <w:szCs w:val="11"/>
                <w:color w:val="008000"/>
              </w:rPr>
              <w:t>(6)</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06/29/2021</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3,931</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pursuant to a Rule 10b5-1 Plan adopted by reporting person on May 18, 2021.</w:t>
      </w:r>
    </w:p>
    <w:p>
      <w:pPr>
        <w:spacing w:after="0" w:line="45" w:lineRule="exact"/>
        <w:rPr>
          <w:rFonts w:ascii="Arial" w:cs="Arial" w:eastAsia="Arial" w:hAnsi="Arial"/>
          <w:sz w:val="13"/>
          <w:szCs w:val="13"/>
          <w:color w:val="008000"/>
        </w:rPr>
      </w:pPr>
    </w:p>
    <w:p>
      <w:pPr>
        <w:ind w:left="40" w:right="260" w:firstLine="3"/>
        <w:spacing w:after="0" w:line="294"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nine (9) separate sales on the transaction date at prices ranging from $84.00 to $84.35. The reporting person hereby undertakes to provide upon request to the SEC, the issuer or any stockholder of the issuer, the full information regarding the number of shares and prices at which the transaction was effected.</w:t>
      </w:r>
    </w:p>
    <w:p>
      <w:pPr>
        <w:ind w:left="40" w:right="24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29, 2020, reporting person was granted RSUs to vest and forfeiture restrictions thereon to lapse on June 29, 2021, subject to continued service during the vesting period and the RSU Agreement.</w:t>
      </w:r>
    </w:p>
    <w:p>
      <w:pPr>
        <w:spacing w:after="0" w:line="57"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Daniel J. Moore</w:t>
            </w:r>
          </w:p>
        </w:tc>
        <w:tc>
          <w:tcPr>
            <w:tcW w:w="780" w:type="dxa"/>
            <w:vAlign w:val="bottom"/>
          </w:tcPr>
          <w:p>
            <w:pPr>
              <w:spacing w:after="0"/>
              <w:rPr>
                <w:sz w:val="20"/>
                <w:szCs w:val="20"/>
                <w:color w:val="auto"/>
              </w:rPr>
            </w:pPr>
            <w:r>
              <w:rPr>
                <w:rFonts w:ascii="Arial" w:cs="Arial" w:eastAsia="Arial" w:hAnsi="Arial"/>
                <w:sz w:val="17"/>
                <w:szCs w:val="17"/>
                <w:color w:val="0000FF"/>
                <w:w w:val="89"/>
              </w:rPr>
              <w:t>07/01/2021</w:t>
            </w:r>
          </w:p>
        </w:tc>
      </w:tr>
      <w:tr>
        <w:trPr>
          <w:trHeight w:val="20"/>
        </w:trPr>
        <w:tc>
          <w:tcPr>
            <w:tcW w:w="1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2021-07-01T17:55:34Z</dcterms:created>
  <dcterms:modified xsi:type="dcterms:W3CDTF">2021-07-01T17:55:34Z</dcterms:modified>
</cp:coreProperties>
</file>