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February 25, 2026 </w:t>
      </w:r>
    </w:p>
    <w:p>
      <w:pPr>
        <w:pStyle w:val="TextBody"/>
        <w:bidi w:val="0"/>
        <w:spacing w:before="0" w:after="0"/>
        <w:jc w:val="center"/>
        <w:rPr/>
      </w:pPr>
      <w:r>
        <w:rPr/>
      </w:r>
    </w:p>
    <w:p>
      <w:pPr>
        <w:pStyle w:val="TextBody"/>
        <w:bidi w:val="0"/>
        <w:spacing w:before="0" w:after="0"/>
        <w:jc w:val="center"/>
        <w:rPr/>
      </w:pPr>
      <w:r>
        <w:rPr/>
        <w:drawing>
          <wp:inline distT="0" distB="0" distL="0" distR="0">
            <wp:extent cx="182880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3238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LivaNova PLC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 Eastbourne Terrace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London, W2 6LG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United Kingdom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+44 20 33250660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February 25, 2026, LivaNova PLC (the “Company”) issued a press release announcing financial results for the quarter and full year ended December 31, 2025. The Company will host a business update conference call and webcast today, February 25, 2026, at 1 p.m. London time (8 a.m. Eastern Time), during which the Company will discuss the financial results. The conference call will be available through the LivaNova website at </w:t>
      </w:r>
      <w:r>
        <w:rPr>
          <w:rFonts w:ascii="Times New Roman;serif" w:hAnsi="Times New Roman;serif"/>
          <w:b w:val="false"/>
          <w:color w:val="3051F2"/>
          <w:sz w:val="20"/>
        </w:rPr>
        <w:t>www.livanova.com/events</w:t>
      </w:r>
      <w:r>
        <w:rPr>
          <w:rFonts w:ascii="Times New Roman;serif" w:hAnsi="Times New Roman;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5earningspressrelease.htm">
              <w:r>
                <w:rPr>
                  <w:rStyle w:val="InternetLink"/>
                  <w:rFonts w:ascii="Times New Roman;serif" w:hAnsi="Times New Roman;serif"/>
                  <w:b w:val="false"/>
                  <w:color w:val="0000FF"/>
                  <w:sz w:val="20"/>
                  <w:u w:val="single"/>
                </w:rPr>
                <w:t>Press Release of LivaNova PLC dated February 25,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39" w:type="dxa"/>
        <w:jc w:val="left"/>
        <w:tblInd w:w="0" w:type="dxa"/>
        <w:tblLayout w:type="fixed"/>
        <w:tblCellMar>
          <w:top w:w="28" w:type="dxa"/>
          <w:left w:w="28" w:type="dxa"/>
          <w:bottom w:w="28" w:type="dxa"/>
          <w:right w:w="28" w:type="dxa"/>
        </w:tblCellMar>
      </w:tblPr>
      <w:tblGrid>
        <w:gridCol w:w="754"/>
        <w:gridCol w:w="664"/>
        <w:gridCol w:w="667"/>
        <w:gridCol w:w="1565"/>
        <w:gridCol w:w="1565"/>
        <w:gridCol w:w="222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LivaNova PLC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535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Sarah K. Mohr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Sarah K. Mohr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VP, Legal, Corporate &amp; Securities and Company Secretary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120" w:after="240"/>
        <w:jc w:val="right"/>
        <w:rPr/>
      </w:pPr>
      <w:r>
        <w:rPr/>
      </w:r>
    </w:p>
    <w:p>
      <w:pPr>
        <w:pStyle w:val="TextBody"/>
        <w:bidi w:val="0"/>
        <w:spacing w:lineRule="auto" w:line="288" w:before="0" w:after="0"/>
        <w:jc w:val="right"/>
        <w:rPr>
          <w:rFonts w:ascii="Franklin Gothic Demi;sans-serif" w:hAnsi="Franklin Gothic Demi;sans-serif"/>
          <w:b w:val="false"/>
          <w:color w:val="060606"/>
          <w:sz w:val="22"/>
          <w:u w:val="single"/>
        </w:rPr>
      </w:pPr>
      <w:r>
        <w:rPr>
          <w:rFonts w:ascii="Franklin Gothic Demi;sans-serif" w:hAnsi="Franklin Gothic Demi;sans-serif"/>
          <w:b w:val="false"/>
          <w:color w:val="060606"/>
          <w:sz w:val="22"/>
          <w:u w:val="single"/>
        </w:rPr>
        <w:t>EXHIBIT 99.1</w:t>
      </w:r>
    </w:p>
    <w:p>
      <w:pPr>
        <w:pStyle w:val="TextBody"/>
        <w:bidi w:val="0"/>
        <w:spacing w:before="0" w:after="240"/>
        <w:jc w:val="left"/>
        <w:rPr/>
      </w:pPr>
      <w:r>
        <w:rPr/>
        <w:drawing>
          <wp:inline distT="0" distB="0" distL="0" distR="0">
            <wp:extent cx="1828800" cy="2952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295275"/>
                    </a:xfrm>
                    <a:prstGeom prst="rect">
                      <a:avLst/>
                    </a:prstGeom>
                  </pic:spPr>
                </pic:pic>
              </a:graphicData>
            </a:graphic>
          </wp:inline>
        </w:drawing>
      </w:r>
    </w:p>
    <w:p>
      <w:pPr>
        <w:pStyle w:val="TextBody"/>
        <w:bidi w:val="0"/>
        <w:spacing w:lineRule="auto" w:line="288" w:before="120" w:after="240"/>
        <w:jc w:val="both"/>
        <w:rPr>
          <w:rFonts w:ascii="Franklin Gothic Book;sans-serif" w:hAnsi="Franklin Gothic Book;sans-serif"/>
          <w:b w:val="false"/>
          <w:color w:val="060606"/>
          <w:sz w:val="20"/>
        </w:rPr>
      </w:pPr>
      <w:r>
        <w:rPr>
          <w:rFonts w:ascii="Franklin Gothic Book;sans-serif" w:hAnsi="Franklin Gothic Book;sans-serif"/>
          <w:b w:val="false"/>
          <w:color w:val="060606"/>
          <w:sz w:val="20"/>
        </w:rPr>
        <w:t>NEWS RELEASE</w:t>
      </w:r>
    </w:p>
    <w:p>
      <w:pPr>
        <w:pStyle w:val="TextBody"/>
        <w:bidi w:val="0"/>
        <w:spacing w:lineRule="auto" w:line="288" w:before="0" w:after="0"/>
        <w:jc w:val="left"/>
        <w:rPr>
          <w:rFonts w:ascii="Franklin Gothic Book;sans-serif" w:hAnsi="Franklin Gothic Book;sans-serif"/>
          <w:b w:val="false"/>
          <w:color w:val="9D19D1"/>
          <w:sz w:val="34"/>
        </w:rPr>
      </w:pPr>
      <w:r>
        <w:rPr>
          <w:rFonts w:ascii="Franklin Gothic Book;sans-serif" w:hAnsi="Franklin Gothic Book;sans-serif"/>
          <w:b w:val="false"/>
          <w:color w:val="9D19D1"/>
          <w:sz w:val="34"/>
        </w:rPr>
        <w:t>LivaNova Reports Fourth-Quarter and Full-Year 2025 Results; Issues 2026 Guidance</w:t>
      </w:r>
    </w:p>
    <w:p>
      <w:pPr>
        <w:pStyle w:val="TextBody"/>
        <w:bidi w:val="0"/>
        <w:spacing w:lineRule="auto" w:line="288" w:before="0" w:after="0"/>
        <w:ind w:left="0" w:right="0" w:hanging="360"/>
        <w:jc w:val="left"/>
        <w:rPr/>
      </w:pPr>
      <w:r>
        <w:rPr>
          <w:color w:val="060606"/>
        </w:rPr>
        <w:t>–</w:t>
      </w:r>
      <w:r>
        <w:rPr>
          <w:rFonts w:ascii="Franklin Gothic Book;sans-serif" w:hAnsi="Franklin Gothic Book;sans-serif"/>
          <w:b w:val="false"/>
          <w:i/>
          <w:color w:val="060606"/>
          <w:sz w:val="22"/>
        </w:rPr>
        <w:t>Delivered double-digit reported and organic revenue growth and continued operating margin expansion for full-year 2025</w:t>
      </w:r>
    </w:p>
    <w:p>
      <w:pPr>
        <w:pStyle w:val="TextBody"/>
        <w:bidi w:val="0"/>
        <w:spacing w:lineRule="auto" w:line="288" w:before="0" w:after="0"/>
        <w:ind w:left="0" w:right="0" w:hanging="360"/>
        <w:jc w:val="left"/>
        <w:rPr/>
      </w:pPr>
      <w:r>
        <w:rPr>
          <w:color w:val="060606"/>
        </w:rPr>
        <w:t>–</w:t>
      </w:r>
      <w:r>
        <w:rPr>
          <w:rFonts w:ascii="Franklin Gothic Book;sans-serif" w:hAnsi="Franklin Gothic Book;sans-serif"/>
          <w:b w:val="false"/>
          <w:i/>
          <w:color w:val="060606"/>
          <w:sz w:val="22"/>
        </w:rPr>
        <w:t xml:space="preserve">Issued full-year 2026 guidance, including constant-currency revenue growth between 6.0% and 7.0% and adjusted diluted earnings per share in the range of $4.15 to $4.25 </w:t>
      </w:r>
    </w:p>
    <w:p>
      <w:pPr>
        <w:pStyle w:val="TextBody"/>
        <w:bidi w:val="0"/>
        <w:spacing w:lineRule="auto" w:line="288" w:before="0" w:after="0"/>
        <w:ind w:left="0" w:right="0" w:hanging="360"/>
        <w:jc w:val="both"/>
        <w:rPr/>
      </w:pPr>
      <w:r>
        <w:rPr>
          <w:color w:val="060606"/>
        </w:rPr>
        <w:t>–</w:t>
      </w:r>
      <w:r>
        <w:rPr>
          <w:rFonts w:ascii="Franklin Gothic Book;sans-serif" w:hAnsi="Franklin Gothic Book;sans-serif"/>
          <w:b w:val="false"/>
          <w:i/>
          <w:color w:val="060606"/>
          <w:sz w:val="22"/>
        </w:rPr>
        <w:t>Received increased provider reimbursement from U.S. Centers for Medicare &amp; Medicaid Services for VNS Therapy for Drug-Resistant Epilepsy procedures, effective Jan. 1, 2026, significantly reducing a known barrier to procedure penetration</w:t>
      </w:r>
    </w:p>
    <w:p>
      <w:pPr>
        <w:pStyle w:val="TextBody"/>
        <w:bidi w:val="0"/>
        <w:spacing w:lineRule="auto" w:line="288" w:before="0" w:after="0"/>
        <w:ind w:left="0" w:right="0" w:hanging="360"/>
        <w:jc w:val="left"/>
        <w:rPr/>
      </w:pPr>
      <w:r>
        <w:rPr>
          <w:color w:val="060606"/>
        </w:rPr>
        <w:t>–</w:t>
      </w:r>
      <w:r>
        <w:rPr>
          <w:rFonts w:ascii="Franklin Gothic Book;sans-serif" w:hAnsi="Franklin Gothic Book;sans-serif"/>
          <w:b w:val="false"/>
          <w:i/>
          <w:color w:val="060606"/>
          <w:sz w:val="22"/>
        </w:rPr>
        <w:t xml:space="preserve">Received U.S. Food and Drug Administration approval for cloud-based digital health platform </w:t>
      </w:r>
    </w:p>
    <w:p>
      <w:pPr>
        <w:pStyle w:val="TextBody"/>
        <w:bidi w:val="0"/>
        <w:spacing w:lineRule="auto" w:line="417" w:before="120" w:after="240"/>
        <w:jc w:val="left"/>
        <w:rPr/>
      </w:pPr>
      <w:r>
        <w:rPr>
          <w:rFonts w:ascii="Franklin Gothic Book;sans-serif" w:hAnsi="Franklin Gothic Book;sans-serif"/>
          <w:b w:val="false"/>
          <w:color w:val="9D19D1"/>
          <w:sz w:val="22"/>
        </w:rPr>
        <w:t>LONDON, FEB. 25, 2026 —</w:t>
      </w:r>
      <w:r>
        <w:rPr>
          <w:color w:val="9D19D1"/>
        </w:rPr>
        <w:t xml:space="preserve"> </w:t>
      </w:r>
      <w:r>
        <w:rPr>
          <w:rFonts w:ascii="Franklin Gothic Book;sans-serif" w:hAnsi="Franklin Gothic Book;sans-serif"/>
          <w:b w:val="false"/>
          <w:color w:val="060606"/>
          <w:sz w:val="22"/>
        </w:rPr>
        <w:t xml:space="preserve">LivaNova PLC (Nasdaq: LIVN), a market-leading medical technology company, today reported fourth-quarter and full-year 2025 results and issued full-year 2026 guidance. </w:t>
      </w:r>
    </w:p>
    <w:p>
      <w:pPr>
        <w:pStyle w:val="TextBody"/>
        <w:bidi w:val="0"/>
        <w:spacing w:lineRule="auto" w:line="288" w:before="120" w:after="240"/>
        <w:jc w:val="both"/>
        <w:rPr/>
      </w:pPr>
      <w:r>
        <w:rPr>
          <w:rFonts w:ascii="Franklin Gothic Book;sans-serif" w:hAnsi="Franklin Gothic Book;sans-serif"/>
          <w:b w:val="false"/>
          <w:color w:val="060606"/>
          <w:sz w:val="22"/>
          <w:u w:val="single"/>
        </w:rPr>
        <w:t>Financial Summary and Highlights</w:t>
      </w:r>
      <w:r>
        <w:rPr>
          <w:rFonts w:ascii="Franklin Gothic Book;sans-serif" w:hAnsi="Franklin Gothic Book;sans-serif"/>
          <w:b w:val="false"/>
          <w:color w:val="060606"/>
          <w:sz w:val="14"/>
        </w:rPr>
        <w:t>(1)</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Fourth-quarter revenue of $360.9 million increased 12.1% on a reported basis and 9.5% on both a constant-currency and organic basis as compared to the prior-year period</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Fourth-quarter U.S. GAAP diluted earnings per share of $0.56 and adjusted diluted earnings per share of $0.86</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Full-year 2025 revenue of $1.39 billion increased 10.7% on a reported basis, 9.7% on a constant-currency basis, and 10.7% on an organic basis as compared to the prior year</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Full-year 2025 U.S. GAAP diluted loss per share of $4.45, impacted by recording the SNIA environmental liability expense of $365.6 million, and adjusted diluted earnings per share of $3.90</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Full-year 2025 net cash provided by operating activities of $254.3 million and adjusted free cash flow of $183.3 million</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Expects full-year 2026 revenue to grow between 6.0% and 7.0% on a constant-currency basis. Adjusted diluted earnings per share for 2026 is expected to be in the range of $4.15 to $4.25. Adjusted free cash flow is expected to be in the range of $160 million to $180 million</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 xml:space="preserve">Received increased provider reimbursement from U.S. Centers for Medicare &amp; Medicaid Services for VNS Therapy™ for Drug-Resistant Epilepsy (DRE). Effective Jan. 1, 2026, provider reimbursement for VNS </w:t>
      </w:r>
    </w:p>
    <w:p>
      <w:pPr>
        <w:pStyle w:val="TextBody"/>
        <w:bidi w:val="0"/>
        <w:spacing w:lineRule="auto" w:line="333"/>
        <w:ind w:left="0" w:right="0" w:hanging="90"/>
        <w:jc w:val="both"/>
        <w:rPr/>
      </w:pPr>
      <w:r>
        <w:rPr>
          <w:rFonts w:ascii="Franklin Gothic Book;sans-serif" w:hAnsi="Franklin Gothic Book;sans-serif"/>
          <w:b w:val="false"/>
          <w:color w:val="060606"/>
          <w:sz w:val="8"/>
        </w:rPr>
        <w:t>(1)</w:t>
      </w:r>
      <w:r>
        <w:rPr>
          <w:color w:val="060606"/>
        </w:rPr>
        <w:t xml:space="preserve"> </w:t>
      </w:r>
      <w:r>
        <w:rPr>
          <w:rFonts w:ascii="Franklin Gothic Book;sans-serif" w:hAnsi="Franklin Gothic Book;sans-serif"/>
          <w:b w:val="false"/>
          <w:color w:val="060606"/>
          <w:sz w:val="12"/>
        </w:rPr>
        <w:t xml:space="preserve">Constant-currency percent change, organic revenue percent change, adjusted diluted earnings per share, and adjusted free cash flow are non-GAAP measures. Constant-currency percent change excludes the impact from fluctuations in the various currencies in which the Company operates as compared to reported percent change. Organic revenue percent change excludes the impact of acquisitions, divestitures, and currency translation effects.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paragraph to their most directly comparable forward-looking GAAP financial measures without unreasonable efforts. </w:t>
      </w:r>
    </w:p>
    <w:p>
      <w:pPr>
        <w:pStyle w:val="TextBody"/>
        <w:bidi w:val="0"/>
        <w:spacing w:before="0" w:after="60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7800"/>
                <wp:effectExtent l="0" t="0" r="0" b="0"/>
                <wp:wrapNone/>
                <wp:docPr id="6"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w:t>
                      </w:r>
                    </w:p>
                  </w:txbxContent>
                </v:textbox>
                <w10:wrap type="none"/>
              </v:rect>
            </w:pict>
          </mc:Fallback>
        </mc:AlternateContent>
      </w:r>
    </w:p>
    <w:p>
      <w:pPr>
        <w:pStyle w:val="TextBody"/>
        <w:bidi w:val="0"/>
        <w:spacing w:lineRule="auto" w:line="288" w:before="140" w:after="12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Therapy DRE procedures under Medicare significantly increased, with hospital outpatient payments rising by approximately 48% for new patient implants and 47% for end-of-service procedures versus 2025 rates </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Received U.S. Food and Drug Administration approval for the Company's cloud-based digital health platform, establishing the foundation to deliver greater convenience and deeper insights throughout the DRE patient journey</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 xml:space="preserve">Appointed Lucile Blaise as Global Head of Commercialization, Obstructive Sleep Apnea (OSA), effective Dec. 1, 2025 </w:t>
      </w:r>
    </w:p>
    <w:p>
      <w:pPr>
        <w:pStyle w:val="TextBody"/>
        <w:bidi w:val="0"/>
        <w:spacing w:lineRule="auto" w:line="288" w:before="140" w:after="120"/>
        <w:ind w:left="0" w:right="0" w:hanging="270"/>
        <w:jc w:val="both"/>
        <w:rPr/>
      </w:pPr>
      <w:r>
        <w:rPr>
          <w:color w:val="060606"/>
        </w:rPr>
        <w:t>•</w:t>
      </w:r>
      <w:r>
        <w:rPr>
          <w:rFonts w:ascii="Franklin Gothic Book;sans-serif" w:hAnsi="Franklin Gothic Book;sans-serif"/>
          <w:b w:val="false"/>
          <w:color w:val="060606"/>
          <w:sz w:val="22"/>
        </w:rPr>
        <w:t xml:space="preserve">In January 2026, announced the publication of the RECOVER durability manuscript in </w:t>
      </w:r>
      <w:r>
        <w:rPr>
          <w:rFonts w:ascii="Franklin Gothic Book;sans-serif" w:hAnsi="Franklin Gothic Book;sans-serif"/>
          <w:b w:val="false"/>
          <w:i/>
          <w:color w:val="060606"/>
          <w:sz w:val="22"/>
        </w:rPr>
        <w:t>The International Journal of Neuropsychopharmacology</w:t>
      </w:r>
      <w:r>
        <w:rPr>
          <w:rFonts w:ascii="Franklin Gothic Book;sans-serif" w:hAnsi="Franklin Gothic Book;sans-serif"/>
          <w:b w:val="false"/>
          <w:color w:val="060606"/>
          <w:sz w:val="22"/>
        </w:rPr>
        <w:t>, demonstrating durable outcomes through 24 months for adjunctive VNS Therapy in Treatment-Resistant Depression patients, including approximately 80% of patients maintaining clinically meaningful benefit</w:t>
      </w:r>
    </w:p>
    <w:p>
      <w:pPr>
        <w:pStyle w:val="TextBody"/>
        <w:bidi w:val="0"/>
        <w:spacing w:before="140" w:after="120"/>
        <w:jc w:val="both"/>
        <w:rPr/>
      </w:pPr>
      <w:r>
        <w:rPr/>
      </w:r>
    </w:p>
    <w:p>
      <w:pPr>
        <w:pStyle w:val="TextBody"/>
        <w:bidi w:val="0"/>
        <w:spacing w:lineRule="auto" w:line="417" w:before="120" w:after="240"/>
        <w:jc w:val="both"/>
        <w:rPr>
          <w:color w:val="060606"/>
        </w:rPr>
      </w:pPr>
      <w:r>
        <w:rPr>
          <w:color w:val="060606"/>
        </w:rPr>
        <w:t>“</w:t>
      </w:r>
      <w:r>
        <w:rPr>
          <w:rFonts w:ascii="Franklin Gothic Book;sans-serif" w:hAnsi="Franklin Gothic Book;sans-serif"/>
          <w:b w:val="false"/>
          <w:color w:val="060606"/>
          <w:sz w:val="22"/>
        </w:rPr>
        <w:t>In 2025, LivaNova delivered double</w:t>
        <w:noBreakHyphen/>
        <w:t>digit revenue growth, meaningful operating margin expansion, and robust cash generation, reflecting strong execution in both our Cardiopulmonary and Epilepsy businesses,” said Vladimir Makatsaria, Chief Executive Officer of LivaNova. “We also advanced key innovation programs that strengthen the foundation for our future. Looking to 2026, our guidance is aligned with the medium-term outlook outlined at our November 2025 Investor Day, reflecting healthy performance in our core businesses while investing behind our differentiated OSA opportunity. We are leveraging the strength of the core to enter a high</w:t>
        <w:noBreakHyphen/>
        <w:t>growth, high</w:t>
        <w:noBreakHyphen/>
        <w:t>margin OSA market to drive sustainable, accelerated top</w:t>
        <w:noBreakHyphen/>
        <w:t>line and bottom</w:t>
        <w:noBreakHyphen/>
        <w:t>line growth for the enterprise. With disciplined capital allocation and a capable team, we are well positioned for 2026 and the years ahead.”</w:t>
      </w:r>
    </w:p>
    <w:p>
      <w:pPr>
        <w:pStyle w:val="TextBody"/>
        <w:bidi w:val="0"/>
        <w:spacing w:lineRule="auto" w:line="417" w:before="120" w:after="240"/>
        <w:jc w:val="both"/>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Fourth-Quarter 2025 Results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following table summarizes revenue by segment (in millions):</w:t>
      </w:r>
    </w:p>
    <w:tbl>
      <w:tblPr>
        <w:tblW w:w="10184" w:type="dxa"/>
        <w:jc w:val="left"/>
        <w:tblInd w:w="0" w:type="dxa"/>
        <w:tblLayout w:type="fixed"/>
        <w:tblCellMar>
          <w:top w:w="28" w:type="dxa"/>
          <w:left w:w="28" w:type="dxa"/>
          <w:bottom w:w="28" w:type="dxa"/>
          <w:right w:w="28" w:type="dxa"/>
        </w:tblCellMar>
      </w:tblPr>
      <w:tblGrid>
        <w:gridCol w:w="993"/>
        <w:gridCol w:w="874"/>
        <w:gridCol w:w="878"/>
        <w:gridCol w:w="109"/>
        <w:gridCol w:w="109"/>
        <w:gridCol w:w="109"/>
        <w:gridCol w:w="388"/>
        <w:gridCol w:w="318"/>
        <w:gridCol w:w="237"/>
        <w:gridCol w:w="237"/>
        <w:gridCol w:w="237"/>
        <w:gridCol w:w="237"/>
        <w:gridCol w:w="395"/>
        <w:gridCol w:w="311"/>
        <w:gridCol w:w="247"/>
        <w:gridCol w:w="109"/>
        <w:gridCol w:w="109"/>
        <w:gridCol w:w="109"/>
        <w:gridCol w:w="396"/>
        <w:gridCol w:w="399"/>
        <w:gridCol w:w="717"/>
        <w:gridCol w:w="109"/>
        <w:gridCol w:w="109"/>
        <w:gridCol w:w="109"/>
        <w:gridCol w:w="463"/>
        <w:gridCol w:w="463"/>
        <w:gridCol w:w="1413"/>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75"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 xml:space="preserve">Three Months Ended </w:t>
            </w:r>
          </w:p>
          <w:p>
            <w:pPr>
              <w:pStyle w:val="TableContents"/>
              <w:bidi w:val="0"/>
              <w:spacing w:lineRule="auto" w:line="240" w:before="0" w:after="3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restart"/>
            <w:tcBorders/>
            <w:tcMar>
              <w:top w:w="0" w:type="dxa"/>
              <w:left w:w="0" w:type="dxa"/>
              <w:bottom w:w="0" w:type="dxa"/>
              <w:right w:w="0" w:type="dxa"/>
            </w:tcMar>
            <w:vAlign w:val="center"/>
          </w:tcPr>
          <w:p>
            <w:pPr>
              <w:pStyle w:val="TableContents"/>
              <w:bidi w:val="0"/>
              <w:spacing w:lineRule="auto" w:line="240" w:before="75" w:after="283"/>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Constant-Currency </w:t>
            </w:r>
          </w:p>
          <w:p>
            <w:pPr>
              <w:pStyle w:val="TableContents"/>
              <w:bidi w:val="0"/>
              <w:spacing w:lineRule="auto" w:line="240" w:before="0" w:after="30"/>
              <w:jc w:val="center"/>
              <w:rPr>
                <w:rFonts w:ascii="Franklin Gothic Book;sans-serif" w:hAnsi="Franklin Gothic Book;sans-serif"/>
                <w:b w:val="false"/>
                <w:color w:val="060606"/>
                <w:sz w:val="22"/>
              </w:rPr>
            </w:pPr>
            <w:r>
              <w:rPr>
                <w:rFonts w:ascii="Franklin Gothic Book;sans-serif" w:hAnsi="Franklin Gothic Book;sans-serif"/>
                <w:b w:val="false"/>
                <w:color w:val="060606"/>
                <w:sz w:val="22"/>
              </w:rPr>
              <w:t>% Change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2025</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60606"/>
                <w:sz w:val="20"/>
              </w:rPr>
            </w:pPr>
            <w:r>
              <w:rPr>
                <w:rFonts w:ascii="Franklin Gothic Book;sans-serif" w:hAnsi="Franklin Gothic Book;sans-serif"/>
                <w:b w:val="false"/>
                <w:color w:val="060606"/>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$206.6</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1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137.6 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Franklin Gothic Book;sans-serif" w:hAnsi="Franklin Gothic Book;sans-serif"/>
                <w:b w:val="false"/>
                <w:color w:val="060606"/>
                <w:sz w:val="20"/>
              </w:rPr>
              <w:t xml:space="preserve">Other Revenue </w:t>
            </w:r>
            <w:r>
              <w:rPr>
                <w:rFonts w:ascii="Franklin Gothic Book;sans-serif" w:hAnsi="Franklin Gothic Book;sans-serif"/>
                <w:b w:val="false"/>
                <w:color w:val="060606"/>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(36.3)</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(41.7)</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$360.9</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9.5 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color w:val="060606"/>
              </w:rPr>
              <w:t>  </w:t>
            </w:r>
            <w:r>
              <w:rPr>
                <w:rFonts w:ascii="Franklin Gothic Book;sans-serif" w:hAnsi="Franklin Gothic Book;sans-serif"/>
                <w:b w:val="false"/>
                <w:color w:val="060606"/>
                <w:sz w:val="20"/>
              </w:rPr>
              <w:t xml:space="preserve">Less: ACS </w:t>
            </w:r>
            <w:r>
              <w:rPr>
                <w:rFonts w:ascii="Franklin Gothic Book;sans-serif" w:hAnsi="Franklin Gothic Book;sans-serif"/>
                <w:b w:val="false"/>
                <w:color w:val="060606"/>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60606"/>
                <w:sz w:val="20"/>
              </w:rPr>
            </w:pPr>
            <w:r>
              <w:rPr>
                <w:rFonts w:ascii="Franklin Gothic Book;sans-serif" w:hAnsi="Franklin Gothic Book;sans-serif"/>
                <w:b w:val="false"/>
                <w:color w:val="060606"/>
                <w:sz w:val="20"/>
              </w:rPr>
              <w:t>Total Organic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$360.9</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9.5 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lineRule="auto" w:line="288" w:before="60" w:after="40"/>
        <w:ind w:left="0" w:right="0" w:hanging="360"/>
        <w:jc w:val="both"/>
        <w:rPr/>
      </w:pPr>
      <w:r>
        <w:rPr>
          <w:rFonts w:ascii="Franklin Gothic Book;sans-serif" w:hAnsi="Franklin Gothic Book;sans-serif"/>
          <w:b w:val="false"/>
          <w:color w:val="060606"/>
          <w:sz w:val="12"/>
        </w:rPr>
        <w:t>(1)</w:t>
      </w:r>
      <w:r>
        <w:rPr>
          <w:color w:val="060606"/>
        </w:rPr>
        <w:t>“</w:t>
      </w:r>
      <w:r>
        <w:rPr>
          <w:rFonts w:ascii="Franklin Gothic Book;sans-serif" w:hAnsi="Franklin Gothic Book;sans-serif"/>
          <w:b w:val="false"/>
          <w:color w:val="060606"/>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60" w:after="40"/>
        <w:ind w:left="0" w:right="0" w:hanging="360"/>
        <w:jc w:val="both"/>
        <w:rPr/>
      </w:pPr>
      <w:r>
        <w:rPr>
          <w:rFonts w:ascii="Franklin Gothic Book;sans-serif" w:hAnsi="Franklin Gothic Book;sans-serif"/>
          <w:b w:val="false"/>
          <w:color w:val="060606"/>
          <w:sz w:val="12"/>
        </w:rPr>
        <w:t>(2)</w:t>
      </w:r>
      <w:r>
        <w:rPr>
          <w:rFonts w:ascii="Franklin Gothic Book;sans-serif" w:hAnsi="Franklin Gothic Book;sans-serif"/>
          <w:b w:val="false"/>
          <w:color w:val="060606"/>
          <w:sz w:val="18"/>
        </w:rPr>
        <w:t>Includes the results from the wind-down portion of the Company’s former ACS reportable segment.</w:t>
      </w:r>
    </w:p>
    <w:p>
      <w:pPr>
        <w:pStyle w:val="TextBody"/>
        <w:bidi w:val="0"/>
        <w:spacing w:lineRule="auto" w:line="288" w:before="60" w:after="420"/>
        <w:ind w:left="0" w:right="0" w:hanging="360"/>
        <w:jc w:val="both"/>
        <w:rPr/>
      </w:pPr>
      <w:r>
        <w:rPr>
          <w:color w:val="060606"/>
        </w:rPr>
        <w:t>•</w:t>
      </w:r>
      <w:r>
        <w:rPr>
          <w:rFonts w:ascii="Franklin Gothic Book;sans-serif" w:hAnsi="Franklin Gothic Book;sans-serif"/>
          <w:b w:val="false"/>
          <w:color w:val="060606"/>
          <w:sz w:val="18"/>
        </w:rPr>
        <w:t>Numbers may not add precisely due to rounding.</w:t>
      </w:r>
    </w:p>
    <w:p>
      <w:pPr>
        <w:pStyle w:val="TextBody"/>
        <w:bidi w:val="0"/>
        <w:spacing w:before="0" w:after="60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7800"/>
                <wp:effectExtent l="0" t="0" r="0" b="0"/>
                <wp:wrapNone/>
                <wp:docPr id="7" name="Frame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Fourth-quarter 2025 Cardiopulmonary revenue increased 13.7% on a reported basis and 9.9% on a constant-currency basis versus the fourth quarter of 2024 with growth across all regions, driven by strong consumables demand and Essenz™ Perfusion System sales.</w:t>
      </w:r>
    </w:p>
    <w:p>
      <w:pPr>
        <w:pStyle w:val="TextBody"/>
        <w:bidi w:val="0"/>
        <w:spacing w:lineRule="auto" w:line="417" w:before="120" w:after="240"/>
        <w:jc w:val="both"/>
        <w:rPr/>
      </w:pPr>
      <w:r>
        <w:rPr>
          <w:rFonts w:ascii="Franklin Gothic Book;sans-serif" w:hAnsi="Franklin Gothic Book;sans-serif"/>
          <w:b w:val="false"/>
          <w:color w:val="060606"/>
          <w:sz w:val="22"/>
        </w:rPr>
        <w:t>Fourth-quarter 2025 Neuromodulation revenue increased 11.0% on a reported basis and 9.9%</w:t>
      </w:r>
      <w:r>
        <w:rPr>
          <w:color w:val="060606"/>
        </w:rPr>
        <w:t xml:space="preserve"> </w:t>
      </w:r>
      <w:r>
        <w:rPr>
          <w:rFonts w:ascii="Franklin Gothic Book;sans-serif" w:hAnsi="Franklin Gothic Book;sans-serif"/>
          <w:b w:val="false"/>
          <w:color w:val="060606"/>
          <w:sz w:val="22"/>
        </w:rPr>
        <w:t>on a constant-currency basis versus the fourth quarter of 2024 with growth across all regions.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Earnings Analysis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On a U.S. GAAP basis, fourth-quarter 2025 operating income was $42.6 million, as compared to operating income of $37.0 million for the fourth quarter of 2024. Adjusted operating income for the fourth quarter of 2025 was $63.8 million, as compared to adjusted operating income of $55.6 million for the fourth quarter of 2024.</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On a U.S. GAAP basis, fourth-quarter 2025 diluted earnings per share was $0.56, as compared to diluted earnings per share of $1.02 in the fourth quarter of 2024. Fourth-quarter 2025 adjusted diluted earnings per share was $0.86, as compared to adjusted diluted earnings per share of $0.81 in the fourth quarter of 2024. </w:t>
      </w:r>
    </w:p>
    <w:p>
      <w:pPr>
        <w:pStyle w:val="TextBody"/>
        <w:bidi w:val="0"/>
        <w:spacing w:lineRule="auto" w:line="417" w:before="120" w:after="240"/>
        <w:jc w:val="both"/>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Full-Year 2025 Results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summarizes revenue by segment (in millions):</w:t>
      </w:r>
    </w:p>
    <w:tbl>
      <w:tblPr>
        <w:tblW w:w="9999" w:type="dxa"/>
        <w:jc w:val="left"/>
        <w:tblInd w:w="0" w:type="dxa"/>
        <w:tblLayout w:type="fixed"/>
        <w:tblCellMar>
          <w:top w:w="28" w:type="dxa"/>
          <w:left w:w="28" w:type="dxa"/>
          <w:bottom w:w="28" w:type="dxa"/>
          <w:right w:w="28" w:type="dxa"/>
        </w:tblCellMar>
      </w:tblPr>
      <w:tblGrid>
        <w:gridCol w:w="993"/>
        <w:gridCol w:w="874"/>
        <w:gridCol w:w="878"/>
        <w:gridCol w:w="109"/>
        <w:gridCol w:w="109"/>
        <w:gridCol w:w="109"/>
        <w:gridCol w:w="353"/>
        <w:gridCol w:w="353"/>
        <w:gridCol w:w="258"/>
        <w:gridCol w:w="162"/>
        <w:gridCol w:w="162"/>
        <w:gridCol w:w="162"/>
        <w:gridCol w:w="353"/>
        <w:gridCol w:w="353"/>
        <w:gridCol w:w="266"/>
        <w:gridCol w:w="109"/>
        <w:gridCol w:w="109"/>
        <w:gridCol w:w="109"/>
        <w:gridCol w:w="396"/>
        <w:gridCol w:w="399"/>
        <w:gridCol w:w="717"/>
        <w:gridCol w:w="109"/>
        <w:gridCol w:w="109"/>
        <w:gridCol w:w="109"/>
        <w:gridCol w:w="463"/>
        <w:gridCol w:w="463"/>
        <w:gridCol w:w="1413"/>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Year Ended </w:t>
            </w:r>
          </w:p>
          <w:p>
            <w:pPr>
              <w:pStyle w:val="TableContents"/>
              <w:bidi w:val="0"/>
              <w:spacing w:lineRule="auto" w:line="240" w:before="0" w:after="0"/>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Constant-Currency </w:t>
              <w:br/>
              <w:t>% Change</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$785.4</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14.9 </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1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592.8 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554.2 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Other Revenue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15.7 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(37.2)</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(40.1)</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$1,388.1</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10.7 </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9.7 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Franklin Gothic Book;sans-serif" w:hAnsi="Franklin Gothic Book;sans-serif"/>
                <w:b w:val="false"/>
                <w:color w:val="000000"/>
                <w:sz w:val="20"/>
              </w:rPr>
              <w:t xml:space="preserve">Less: ACS </w:t>
            </w:r>
            <w:r>
              <w:rPr>
                <w:rFonts w:ascii="Franklin Gothic Book;sans-serif" w:hAnsi="Franklin Gothic Book;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11.6 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100.0 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7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Organic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$1,388.1</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10.7 </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lineRule="auto" w:line="288" w:before="60" w:after="4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60" w:after="4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Includes the results from the wind-down portion of the Company's former ACS reportable segment.</w:t>
      </w:r>
    </w:p>
    <w:p>
      <w:pPr>
        <w:pStyle w:val="TextBody"/>
        <w:bidi w:val="0"/>
        <w:spacing w:lineRule="auto" w:line="288" w:before="60" w:after="40"/>
        <w:ind w:left="0" w:right="0" w:hanging="360"/>
        <w:jc w:val="both"/>
        <w:rPr/>
      </w:pPr>
      <w:r>
        <w:rPr>
          <w:color w:val="000000"/>
        </w:rPr>
        <w:t>•</w:t>
      </w:r>
      <w:r>
        <w:rPr>
          <w:rFonts w:ascii="Franklin Gothic Book;sans-serif" w:hAnsi="Franklin Gothic Book;sans-serif"/>
          <w:b w:val="false"/>
          <w:color w:val="000000"/>
          <w:sz w:val="18"/>
        </w:rPr>
        <w:t xml:space="preserve">Numbers may not add precisely due to rounding. </w:t>
      </w:r>
    </w:p>
    <w:p>
      <w:pPr>
        <w:pStyle w:val="TextBody"/>
        <w:bidi w:val="0"/>
        <w:spacing w:before="60" w:after="40"/>
        <w:jc w:val="both"/>
        <w:rPr/>
      </w:pPr>
      <w:r>
        <w:rPr/>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Full-year 2025 Cardiopulmonary revenue increased 14.9% on a reported basis and 13.3% on a constant-currency basis versus full-year 2024 with growth across all regions, driven by Essenz Perfusion System sales and strong consumables demand as well as market share gains.</w:t>
      </w:r>
    </w:p>
    <w:p>
      <w:pPr>
        <w:pStyle w:val="TextBody"/>
        <w:bidi w:val="0"/>
        <w:spacing w:before="0" w:after="60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7800"/>
                <wp:effectExtent l="0" t="0" r="0" b="0"/>
                <wp:wrapNone/>
                <wp:docPr id="8"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3</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Full-year 2025 Neuromodulation revenue increased 7.0% on a reported basis and 6.6% on a constant-currency basis versus full-year 2024 with growth across all regions.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Earnings Analysis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On a U.S. GAAP basis, full-year 2025 operating income was $199.4 million, as compared to operating income of $129.1 million for full-year 2024. Adjusted operating income for full-year 2025 was $286.1 million, as compared to adjusted operating income of $239.2 million for full-year 2024.</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On a U.S. GAAP basis, full-year 2025 diluted loss per share was $4.45, impacted by recording the SNIA environmental liability expense of $365.6 million, as compared to diluted earnings per share of $1.16 for full-year 2024. Full-year 2025 adjusted diluted earnings per share was $3.90, as compared to adjusted diluted earnings per share of $3.38 for full-year 2024. </w:t>
      </w:r>
    </w:p>
    <w:p>
      <w:pPr>
        <w:pStyle w:val="TextBody"/>
        <w:bidi w:val="0"/>
        <w:spacing w:lineRule="auto" w:line="417" w:before="120" w:after="240"/>
        <w:jc w:val="both"/>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Full-Year 2026 Guidance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LivaNova expects full-year 2026 revenue to grow between 6.0% and 7.0% on a constant-currency basis. Foreign currency is expected to be a tailwind of approximately 1.0% based on current exchange rates.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Adjusted diluted earnings per share for 2026 is expected to be in the range of $4.15 to $4.25, assuming a share count of approximately 56 million for full-year 2026. In 2026, the Company estimates that adjusted free cash flow will be in the range of $160 million to $180 million.</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val="false"/>
          <w:color w:val="060606"/>
          <w:sz w:val="22"/>
          <w:u w:val="single"/>
        </w:rPr>
      </w:pPr>
      <w:r>
        <w:rPr>
          <w:rFonts w:ascii="Franklin Gothic Book;sans-serif" w:hAnsi="Franklin Gothic Book;sans-serif"/>
          <w:b w:val="false"/>
          <w:color w:val="060606"/>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60606"/>
          <w:sz w:val="22"/>
        </w:rPr>
        <w:t xml:space="preserve">The Company will host a live audiocast at 1 p.m. London time (8 a.m. Eastern Standard Time) on Wed., Feb. 25, 2026 that will be accessible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60606"/>
          <w:sz w:val="22"/>
        </w:rPr>
        <w:t xml:space="preserve">. Listeners should register in advance and log on approximately 10 minutes early to ensure proper setup. To listen to the conference call by telephone, dial </w:t>
        <w:br/>
        <w:t xml:space="preserve">+1 833 470 1428 (if dialing from within the U.S.) or +1 929 526 1599 (if dialing from outside the U.S.). The conference call access code is 901145.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60606"/>
          <w:sz w:val="22"/>
        </w:rPr>
        <w:t>, where it will be archived and accessible for approximately 90 days.</w:t>
      </w:r>
    </w:p>
    <w:p>
      <w:pPr>
        <w:pStyle w:val="TextBody"/>
        <w:bidi w:val="0"/>
        <w:spacing w:before="0" w:after="60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7800"/>
                <wp:effectExtent l="0" t="0" r="0" b="0"/>
                <wp:wrapNone/>
                <wp:docPr id="9"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4</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9D19D1"/>
          <w:sz w:val="22"/>
        </w:rPr>
      </w:pPr>
      <w:r>
        <w:rPr>
          <w:rFonts w:ascii="Franklin Gothic Book;sans-serif" w:hAnsi="Franklin Gothic Book;sans-serif"/>
          <w:b w:val="false"/>
          <w:color w:val="9D19D1"/>
          <w:sz w:val="22"/>
        </w:rPr>
        <w:t>About LivaNova</w:t>
      </w:r>
    </w:p>
    <w:p>
      <w:pPr>
        <w:pStyle w:val="TextBody"/>
        <w:bidi w:val="0"/>
        <w:spacing w:lineRule="auto" w:line="417" w:before="120" w:after="240"/>
        <w:jc w:val="both"/>
        <w:rPr/>
      </w:pPr>
      <w:r>
        <w:rPr>
          <w:rFonts w:ascii="Franklin Gothic Book;sans-serif" w:hAnsi="Franklin Gothic Book;sans-serif"/>
          <w:b w:val="false"/>
          <w:color w:val="060606"/>
          <w:sz w:val="22"/>
        </w:rPr>
        <w:t xml:space="preserve">LivaNova PLC is a global medical technology company built on nearly five decades of experience with a vision to change the trajectory of lives for a new day. Through ingenious medical solutions in select neurological and cardiac conditions, LivaNova strives to ignite patient turnarounds. Headquartered in London, with approximately 3,300 employees and a presence in more than 100 countries, LivaNova serves patients, healthcare professionals, and healthcare systems worldwide. For more information, please visit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60606"/>
          <w:sz w:val="22"/>
        </w:rPr>
        <w:t xml:space="preserve">. </w:t>
      </w:r>
    </w:p>
    <w:p>
      <w:pPr>
        <w:pStyle w:val="TextBody"/>
        <w:bidi w:val="0"/>
        <w:spacing w:lineRule="auto" w:line="417" w:before="120" w:after="240"/>
        <w:jc w:val="left"/>
        <w:rPr>
          <w:rFonts w:ascii="Franklin Gothic Book;sans-serif" w:hAnsi="Franklin Gothic Book;sans-serif"/>
          <w:b w:val="false"/>
          <w:color w:val="9D19D1"/>
          <w:sz w:val="22"/>
        </w:rPr>
      </w:pPr>
      <w:r>
        <w:rPr>
          <w:rFonts w:ascii="Franklin Gothic Book;sans-serif" w:hAnsi="Franklin Gothic Book;sans-serif"/>
          <w:b w:val="false"/>
          <w:color w:val="9D19D1"/>
          <w:sz w:val="22"/>
        </w:rPr>
        <w:t>Use of Non-GAAP Financial Measures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In this news release, the Company refers to revenue and percentage change in revenue on a comparable, constant-currency, and organic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 Organic revenue percent change excludes the impact of acquisitions, divestitures, and currency translation effects.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excludes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w:t>
      </w:r>
    </w:p>
    <w:p>
      <w:pPr>
        <w:pStyle w:val="TextBody"/>
        <w:bidi w:val="0"/>
        <w:spacing w:before="0" w:after="60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7800"/>
                <wp:effectExtent l="0" t="0" r="0" b="0"/>
                <wp:wrapNone/>
                <wp:docPr id="10"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5</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proceeds, SNIA environmental liability and related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the Company does not reconcile non-GAAP financial measures on a forward-looking basis as it is impractical to do so without unreasonable effort.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Adjusted financial measures such as organic revenue, adjusted cost of sales, adjusted gross profit, adjusted selling, general, and administrative expense, adjusted research and development expense, adjusted other operating expense, adjusted operating income, adjusted income before income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pStyle w:val="TextBody"/>
        <w:bidi w:val="0"/>
        <w:spacing w:lineRule="auto" w:line="417" w:before="120" w:after="240"/>
        <w:jc w:val="both"/>
        <w:rPr>
          <w:rFonts w:ascii="Franklin Gothic Book;sans-serif" w:hAnsi="Franklin Gothic Book;sans-serif"/>
          <w:b w:val="false"/>
          <w:color w:val="9D19D1"/>
          <w:sz w:val="22"/>
        </w:rPr>
      </w:pPr>
      <w:r>
        <w:rPr>
          <w:rFonts w:ascii="Franklin Gothic Book;sans-serif" w:hAnsi="Franklin Gothic Book;sans-serif"/>
          <w:b w:val="false"/>
          <w:color w:val="9D19D1"/>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w:t>
      </w:r>
    </w:p>
    <w:p>
      <w:pPr>
        <w:pStyle w:val="TextBody"/>
        <w:bidi w:val="0"/>
        <w:spacing w:before="0" w:after="60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7800"/>
                <wp:effectExtent l="0" t="0" r="0" b="0"/>
                <wp:wrapNone/>
                <wp:docPr id="11"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6</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 xml:space="preserve">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w:t>
      </w:r>
    </w:p>
    <w:p>
      <w:pPr>
        <w:pStyle w:val="TextBody"/>
        <w:bidi w:val="0"/>
        <w:spacing w:before="0" w:after="60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7800"/>
                <wp:effectExtent l="0" t="0" r="0" b="0"/>
                <wp:wrapNone/>
                <wp:docPr id="12"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7</w:t>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operating expenses relative to estimates;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The foregoing list of factors is not exhaustive. You should carefully consider the foregoing factors and the other 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60606"/>
          <w:sz w:val="22"/>
        </w:rPr>
      </w:pPr>
      <w:r>
        <w:rPr>
          <w:rFonts w:ascii="Franklin Gothic Book;sans-serif" w:hAnsi="Franklin Gothic Book;sans-serif"/>
          <w:b w:val="false"/>
          <w:color w:val="060606"/>
          <w:sz w:val="22"/>
        </w:rPr>
        <w:t>VNS Therapy and Essenz are trademarks of LivaNova USA, Inc.</w:t>
      </w:r>
    </w:p>
    <w:p>
      <w:pPr>
        <w:pStyle w:val="TextBody"/>
        <w:bidi w:val="0"/>
        <w:spacing w:lineRule="auto" w:line="288" w:before="0" w:after="0"/>
        <w:jc w:val="both"/>
        <w:rPr>
          <w:rFonts w:ascii="Franklin Gothic Book;sans-serif" w:hAnsi="Franklin Gothic Book;sans-serif"/>
          <w:b w:val="false"/>
          <w:color w:val="060606"/>
          <w:sz w:val="24"/>
        </w:rPr>
      </w:pPr>
      <w:r>
        <w:rPr>
          <w:rFonts w:ascii="Franklin Gothic Book;sans-serif" w:hAnsi="Franklin Gothic Book;sans-serif"/>
          <w:b w:val="false"/>
          <w:color w:val="060606"/>
          <w:sz w:val="24"/>
        </w:rPr>
        <w:t>Briana Gotlin</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Vice President, Investor Relations</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Phone: +1 281 895 2382</w:t>
      </w:r>
    </w:p>
    <w:p>
      <w:pPr>
        <w:pStyle w:val="TextBody"/>
        <w:bidi w:val="0"/>
        <w:spacing w:lineRule="auto" w:line="288" w:before="0" w:after="0"/>
        <w:jc w:val="left"/>
        <w:rPr>
          <w:rFonts w:ascii="Franklin Gothic Book;sans-serif" w:hAnsi="Franklin Gothic Book;sans-serif"/>
          <w:b w:val="false"/>
          <w:color w:val="060606"/>
          <w:sz w:val="22"/>
        </w:rPr>
      </w:pPr>
      <w:r>
        <w:rPr>
          <w:rFonts w:ascii="Franklin Gothic Book;sans-serif" w:hAnsi="Franklin Gothic Book;sans-serif"/>
          <w:b w:val="false"/>
          <w:color w:val="060606"/>
          <w:sz w:val="22"/>
        </w:rPr>
        <w:t>e-mail: InvestorRelations@livanova.com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7800"/>
                <wp:effectExtent l="0" t="0" r="0" b="0"/>
                <wp:wrapNone/>
                <wp:docPr id="13"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5"/>
        <w:gridCol w:w="329"/>
        <w:gridCol w:w="329"/>
        <w:gridCol w:w="329"/>
        <w:gridCol w:w="329"/>
        <w:gridCol w:w="338"/>
        <w:gridCol w:w="109"/>
        <w:gridCol w:w="109"/>
        <w:gridCol w:w="109"/>
        <w:gridCol w:w="413"/>
        <w:gridCol w:w="413"/>
        <w:gridCol w:w="216"/>
        <w:gridCol w:w="149"/>
        <w:gridCol w:w="149"/>
        <w:gridCol w:w="149"/>
        <w:gridCol w:w="413"/>
        <w:gridCol w:w="413"/>
        <w:gridCol w:w="216"/>
        <w:gridCol w:w="149"/>
        <w:gridCol w:w="149"/>
        <w:gridCol w:w="149"/>
        <w:gridCol w:w="327"/>
        <w:gridCol w:w="328"/>
        <w:gridCol w:w="683"/>
        <w:gridCol w:w="149"/>
        <w:gridCol w:w="149"/>
        <w:gridCol w:w="149"/>
        <w:gridCol w:w="610"/>
        <w:gridCol w:w="610"/>
        <w:gridCol w:w="1866"/>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 - 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2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December 31,</w:t>
            </w:r>
          </w:p>
        </w:tc>
      </w:tr>
      <w:tr>
        <w:trPr/>
        <w:tc>
          <w:tcPr>
            <w:tcW w:w="2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Constant-Currency % Change</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57.4 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20.6 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10.4 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77.3 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11.2 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206.6 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181.7 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119.7 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8.3 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18.7 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14.0 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(36.3)</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(41.7)</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191.5 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175.1 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75.0 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61.6 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7.6 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$360.9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$321.8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9.5 </w:t>
            </w:r>
          </w:p>
        </w:tc>
        <w:tc>
          <w:tcPr>
            <w:tcW w:w="186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 xml:space="preserve">Numbers may not add precisely due to rounding. </w:t>
      </w:r>
    </w:p>
    <w:p>
      <w:pPr>
        <w:pStyle w:val="TextBody"/>
        <w:bidi w:val="0"/>
        <w:ind w:left="0" w:right="0" w:hanging="360"/>
        <w:jc w:val="both"/>
        <w:rPr/>
      </w:pPr>
      <w:r>
        <w:rPr/>
      </w:r>
    </w:p>
    <w:p>
      <w:pPr>
        <w:pStyle w:val="TextBody"/>
        <w:bidi w:val="0"/>
        <w:spacing w:before="0" w:after="60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7800"/>
                <wp:effectExtent l="0" t="0" r="0" b="0"/>
                <wp:wrapNone/>
                <wp:docPr id="14"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75"/>
        <w:gridCol w:w="328"/>
        <w:gridCol w:w="328"/>
        <w:gridCol w:w="328"/>
        <w:gridCol w:w="328"/>
        <w:gridCol w:w="337"/>
        <w:gridCol w:w="109"/>
        <w:gridCol w:w="109"/>
        <w:gridCol w:w="109"/>
        <w:gridCol w:w="503"/>
        <w:gridCol w:w="503"/>
        <w:gridCol w:w="216"/>
        <w:gridCol w:w="118"/>
        <w:gridCol w:w="118"/>
        <w:gridCol w:w="118"/>
        <w:gridCol w:w="503"/>
        <w:gridCol w:w="503"/>
        <w:gridCol w:w="216"/>
        <w:gridCol w:w="118"/>
        <w:gridCol w:w="118"/>
        <w:gridCol w:w="118"/>
        <w:gridCol w:w="325"/>
        <w:gridCol w:w="326"/>
        <w:gridCol w:w="683"/>
        <w:gridCol w:w="118"/>
        <w:gridCol w:w="118"/>
        <w:gridCol w:w="118"/>
        <w:gridCol w:w="596"/>
        <w:gridCol w:w="596"/>
        <w:gridCol w:w="1822"/>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 - UNAUDITED</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2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Year Ended December 31,</w:t>
            </w:r>
          </w:p>
        </w:tc>
      </w:tr>
      <w:tr>
        <w:trPr/>
        <w:tc>
          <w:tcPr>
            <w:tcW w:w="2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Constant-Currency % Change</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$275.9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$242.5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201.0 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168.0 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14.1 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308.5 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273.0 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785.4 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683.5 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14.9 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463.6 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441.0 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65.0 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58.3 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11.2 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592.8 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554.2 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15.7 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(37.2)</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(40.1)</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739.6 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695.1 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6.4 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269.2 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22.3 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16.8 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Rest of World </w:t>
            </w:r>
            <w:r>
              <w:rPr>
                <w:rFonts w:ascii="Franklin Gothic Book;sans-serif" w:hAnsi="Franklin Gothic Book;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379.3 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338.3 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11.7 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$1,388.1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$1,253.4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10.7 </w:t>
            </w:r>
          </w:p>
        </w:tc>
        <w:tc>
          <w:tcPr>
            <w:tcW w:w="68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9.7 </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"Europe" includes the UK, Germany, France, Italy, the Netherlands, Spain, Belgium, Poland, Sweden, Switzerland, Austria, Norway, Portugal, Finland, and Denmark. Excluding Europe and the U.S., "Rest of World" includes all other countries where LivaNova operates.</w:t>
      </w:r>
    </w:p>
    <w:p>
      <w:pPr>
        <w:pStyle w:val="TextBody"/>
        <w:bidi w:val="0"/>
        <w:spacing w:lineRule="auto" w:line="288" w:before="0" w:after="0"/>
        <w:ind w:left="0" w:right="0" w:hanging="360"/>
        <w:jc w:val="both"/>
        <w:rPr/>
      </w:pPr>
      <w:r>
        <w:rPr>
          <w:rFonts w:ascii="Franklin Gothic Book;sans-serif" w:hAnsi="Franklin Gothic Book;sans-serif"/>
          <w:b w:val="false"/>
          <w:color w:val="000000"/>
          <w:sz w:val="12"/>
        </w:rPr>
        <w:t>(2)</w:t>
      </w:r>
      <w:r>
        <w:rPr>
          <w:rFonts w:ascii="Franklin Gothic Book;sans-serif" w:hAnsi="Franklin Gothic Book;sans-serif"/>
          <w:b w:val="false"/>
          <w:color w:val="000000"/>
          <w:sz w:val="18"/>
        </w:rPr>
        <w:t>"Other Revenue" includes rental and site services income not allocated to segments. In addition, for 2024, “Other Revenue” includes revenue from the Company’s former ACS reportable segment.</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 xml:space="preserve">Numbers may not add precisely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7800"/>
                <wp:effectExtent l="0" t="0" r="0" b="0"/>
                <wp:wrapNone/>
                <wp:docPr id="15"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83"/>
        <w:gridCol w:w="1362"/>
        <w:gridCol w:w="1301"/>
        <w:gridCol w:w="626"/>
        <w:gridCol w:w="626"/>
        <w:gridCol w:w="626"/>
        <w:gridCol w:w="829"/>
        <w:gridCol w:w="750"/>
        <w:gridCol w:w="763"/>
        <w:gridCol w:w="201"/>
        <w:gridCol w:w="201"/>
        <w:gridCol w:w="201"/>
        <w:gridCol w:w="413"/>
        <w:gridCol w:w="413"/>
        <w:gridCol w:w="310"/>
      </w:tblGrid>
      <w:tr>
        <w:trPr/>
        <w:tc>
          <w:tcPr>
            <w:tcW w:w="15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84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 UNAUDITED</w:t>
            </w:r>
          </w:p>
        </w:tc>
      </w:tr>
      <w:tr>
        <w:trPr/>
        <w:tc>
          <w:tcPr>
            <w:tcW w:w="84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December 31,</w:t>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$360.9 </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$321.8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121.1 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107.5 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239.8</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214.4</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143.4 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130.6 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52.1 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42.6 </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37.0 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 expense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(15.8)</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before income tax</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27.6 </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56.5 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(benefit) expense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0.6 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$30.9 </w:t>
            </w:r>
          </w:p>
        </w:tc>
        <w:tc>
          <w:tcPr>
            <w:tcW w:w="7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$55.9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income per share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$0.57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income per share</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$0.56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54.6 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54.4 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55.5 </w:t>
            </w:r>
          </w:p>
        </w:tc>
        <w:tc>
          <w:tcPr>
            <w:tcW w:w="7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54.7 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r>
        <w:rPr>
          <w:color w:val="000000"/>
        </w:rPr>
        <w:t xml:space="preserve"> </w:t>
      </w:r>
    </w:p>
    <w:p>
      <w:pPr>
        <w:pStyle w:val="TextBody"/>
        <w:bidi w:val="0"/>
        <w:spacing w:before="100" w:after="120"/>
        <w:ind w:left="0" w:right="0" w:hanging="360"/>
        <w:jc w:val="both"/>
        <w:rPr/>
      </w:pPr>
      <w:r>
        <w:rPr/>
      </w:r>
    </w:p>
    <w:p>
      <w:pPr>
        <w:pStyle w:val="TextBody"/>
        <w:bidi w:val="0"/>
        <w:spacing w:before="0" w:after="60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7800"/>
                <wp:effectExtent l="0" t="0" r="0" b="0"/>
                <wp:wrapNone/>
                <wp:docPr id="16"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11</w:t>
                      </w:r>
                    </w:p>
                  </w:txbxContent>
                </v:textbox>
                <w10:wrap type="none"/>
              </v:rect>
            </w:pict>
          </mc:Fallback>
        </mc:AlternateContent>
      </w:r>
    </w:p>
    <w:p>
      <w:pPr>
        <w:pStyle w:val="TextBody"/>
        <w:bidi w:val="0"/>
        <w:spacing w:lineRule="auto" w:line="288" w:before="100" w:after="120"/>
        <w:ind w:left="0" w:right="0" w:hanging="360"/>
        <w:jc w:val="both"/>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 - Unaudited</w:t>
      </w:r>
    </w:p>
    <w:tbl>
      <w:tblPr>
        <w:tblW w:w="7945" w:type="dxa"/>
        <w:jc w:val="left"/>
        <w:tblInd w:w="0" w:type="dxa"/>
        <w:tblLayout w:type="fixed"/>
        <w:tblCellMar>
          <w:top w:w="28" w:type="dxa"/>
          <w:left w:w="28" w:type="dxa"/>
          <w:bottom w:w="28" w:type="dxa"/>
          <w:right w:w="28" w:type="dxa"/>
        </w:tblCellMar>
      </w:tblPr>
      <w:tblGrid>
        <w:gridCol w:w="661"/>
        <w:gridCol w:w="584"/>
        <w:gridCol w:w="584"/>
        <w:gridCol w:w="584"/>
        <w:gridCol w:w="584"/>
        <w:gridCol w:w="586"/>
        <w:gridCol w:w="109"/>
        <w:gridCol w:w="109"/>
        <w:gridCol w:w="109"/>
        <w:gridCol w:w="427"/>
        <w:gridCol w:w="427"/>
        <w:gridCol w:w="427"/>
        <w:gridCol w:w="427"/>
        <w:gridCol w:w="427"/>
        <w:gridCol w:w="427"/>
        <w:gridCol w:w="427"/>
        <w:gridCol w:w="427"/>
        <w:gridCol w:w="619"/>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December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$130.6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$122.0 </w:t>
            </w:r>
          </w:p>
        </w:tc>
        <w:tc>
          <w:tcPr>
            <w:tcW w:w="6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49.1 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40.3 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55.6 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44.2 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$0.86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$0.81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 - Unaudited</w:t>
      </w:r>
    </w:p>
    <w:tbl>
      <w:tblPr>
        <w:tblW w:w="9741" w:type="dxa"/>
        <w:jc w:val="center"/>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415"/>
        <w:gridCol w:w="260"/>
        <w:gridCol w:w="671"/>
        <w:gridCol w:w="256"/>
        <w:gridCol w:w="256"/>
        <w:gridCol w:w="256"/>
        <w:gridCol w:w="408"/>
        <w:gridCol w:w="256"/>
        <w:gridCol w:w="671"/>
        <w:gridCol w:w="109"/>
        <w:gridCol w:w="109"/>
        <w:gridCol w:w="109"/>
        <w:gridCol w:w="408"/>
        <w:gridCol w:w="278"/>
        <w:gridCol w:w="730"/>
        <w:gridCol w:w="278"/>
        <w:gridCol w:w="278"/>
        <w:gridCol w:w="278"/>
        <w:gridCol w:w="408"/>
        <w:gridCol w:w="278"/>
        <w:gridCol w:w="845"/>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GAAP Three Months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Adjusted Three Months Ended </w:t>
              <w:br/>
              <w:t>December 31,</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66.4 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66.6 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67.5 </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67.7 </w:t>
            </w:r>
          </w:p>
        </w:tc>
        <w:tc>
          <w:tcPr>
            <w:tcW w:w="8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39.7 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40.6 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36.2 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37.9 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13.5 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13.6 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11.5 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17.7 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17.3 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17.4 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(11.9)</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1.0 </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24.3 </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19.8 </w:t>
            </w:r>
          </w:p>
        </w:tc>
        <w:tc>
          <w:tcPr>
            <w:tcW w:w="8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before="0" w:after="60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7800"/>
                <wp:effectExtent l="0" t="0" r="0" b="0"/>
                <wp:wrapNone/>
                <wp:docPr id="17"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96"/>
        <w:gridCol w:w="1320"/>
        <w:gridCol w:w="1266"/>
        <w:gridCol w:w="673"/>
        <w:gridCol w:w="673"/>
        <w:gridCol w:w="673"/>
        <w:gridCol w:w="793"/>
        <w:gridCol w:w="679"/>
        <w:gridCol w:w="684"/>
        <w:gridCol w:w="183"/>
        <w:gridCol w:w="183"/>
        <w:gridCol w:w="183"/>
        <w:gridCol w:w="503"/>
        <w:gridCol w:w="503"/>
        <w:gridCol w:w="293"/>
      </w:tblGrid>
      <w:tr>
        <w:trPr/>
        <w:tc>
          <w:tcPr>
            <w:tcW w:w="15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3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(LOSS) - UNAUDITED</w:t>
            </w:r>
          </w:p>
        </w:tc>
      </w:tr>
      <w:tr>
        <w:trPr/>
        <w:tc>
          <w:tcPr>
            <w:tcW w:w="83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Year Ended December 31,</w:t>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$1,388.1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$1,253.4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448.2 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400.0 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939.9</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853.5</w:t>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548.8 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508.9 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185.8 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182.5 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215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182" w:type="dxa"/>
            <w:gridSpan w:val="3"/>
            <w:tcBorders/>
            <w:vAlign w:val="center"/>
          </w:tcPr>
          <w:p>
            <w:pPr>
              <w:pStyle w:val="TableContents"/>
              <w:bidi w:val="0"/>
              <w:spacing w:before="0" w:after="283"/>
              <w:jc w:val="left"/>
              <w:rPr>
                <w:sz w:val="4"/>
                <w:szCs w:val="4"/>
              </w:rPr>
            </w:pPr>
            <w:r>
              <w:rPr>
                <w:sz w:val="4"/>
                <w:szCs w:val="4"/>
              </w:rPr>
            </w:r>
          </w:p>
        </w:tc>
        <w:tc>
          <w:tcPr>
            <w:tcW w:w="2019" w:type="dxa"/>
            <w:gridSpan w:val="3"/>
            <w:tcBorders/>
            <w:vAlign w:val="center"/>
          </w:tcPr>
          <w:p>
            <w:pPr>
              <w:pStyle w:val="TableContents"/>
              <w:bidi w:val="0"/>
              <w:spacing w:before="0" w:after="283"/>
              <w:jc w:val="left"/>
              <w:rPr>
                <w:sz w:val="4"/>
                <w:szCs w:val="4"/>
              </w:rPr>
            </w:pPr>
            <w:r>
              <w:rPr>
                <w:sz w:val="4"/>
                <w:szCs w:val="4"/>
              </w:rPr>
            </w:r>
          </w:p>
        </w:tc>
        <w:tc>
          <w:tcPr>
            <w:tcW w:w="2156"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5.9 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33.0 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199.4 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129.1 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 expense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(365.6)</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(49.3)</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(63.1)</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on debt extinguishment</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47.8 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income before income tax</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(220.8)</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88.3 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21.6 </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25.1 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from equity method investments</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($242.5)</w:t>
            </w:r>
          </w:p>
        </w:tc>
        <w:tc>
          <w:tcPr>
            <w:tcW w:w="6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$63.2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(loss) income per share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($4.45)</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$1.17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(loss) income per share</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($4.45)</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54.5 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54.2 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54.5 </w:t>
            </w:r>
          </w:p>
        </w:tc>
        <w:tc>
          <w:tcPr>
            <w:tcW w:w="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54.6 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100" w:after="120"/>
        <w:ind w:left="0" w:right="0" w:hanging="360"/>
        <w:jc w:val="both"/>
        <w:rPr/>
      </w:pPr>
      <w:r>
        <w:rPr/>
      </w:r>
    </w:p>
    <w:p>
      <w:pPr>
        <w:pStyle w:val="TextBody"/>
        <w:bidi w:val="0"/>
        <w:spacing w:before="0" w:after="60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7800"/>
                <wp:effectExtent l="0" t="0" r="0" b="0"/>
                <wp:wrapNone/>
                <wp:docPr id="18"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13</w:t>
                      </w:r>
                    </w:p>
                  </w:txbxContent>
                </v:textbox>
                <w10:wrap type="none"/>
              </v:rect>
            </w:pict>
          </mc:Fallback>
        </mc:AlternateContent>
      </w:r>
    </w:p>
    <w:p>
      <w:pPr>
        <w:pStyle w:val="TextBody"/>
        <w:bidi w:val="0"/>
        <w:spacing w:lineRule="auto" w:line="288" w:before="100" w:after="120"/>
        <w:ind w:left="0" w:right="0" w:hanging="360"/>
        <w:jc w:val="both"/>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 - Unaudited</w:t>
      </w:r>
    </w:p>
    <w:tbl>
      <w:tblPr>
        <w:tblW w:w="7334" w:type="dxa"/>
        <w:jc w:val="left"/>
        <w:tblInd w:w="0" w:type="dxa"/>
        <w:tblLayout w:type="fixed"/>
        <w:tblCellMar>
          <w:top w:w="28" w:type="dxa"/>
          <w:left w:w="28" w:type="dxa"/>
          <w:bottom w:w="28" w:type="dxa"/>
          <w:right w:w="28" w:type="dxa"/>
        </w:tblCellMar>
      </w:tblPr>
      <w:tblGrid>
        <w:gridCol w:w="661"/>
        <w:gridCol w:w="584"/>
        <w:gridCol w:w="584"/>
        <w:gridCol w:w="584"/>
        <w:gridCol w:w="584"/>
        <w:gridCol w:w="586"/>
        <w:gridCol w:w="109"/>
        <w:gridCol w:w="109"/>
        <w:gridCol w:w="109"/>
        <w:gridCol w:w="515"/>
        <w:gridCol w:w="319"/>
        <w:gridCol w:w="319"/>
        <w:gridCol w:w="319"/>
        <w:gridCol w:w="319"/>
        <w:gridCol w:w="319"/>
        <w:gridCol w:w="532"/>
        <w:gridCol w:w="319"/>
        <w:gridCol w:w="463"/>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Year Ended December 31,</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$490.5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$451.7 </w:t>
            </w:r>
          </w:p>
        </w:tc>
        <w:tc>
          <w:tcPr>
            <w:tcW w:w="4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176.2 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171.2 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286.1 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239.2 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214.6 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184.3 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$3.90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$3.38 </w:t>
            </w:r>
          </w:p>
        </w:tc>
        <w:tc>
          <w:tcPr>
            <w:tcW w:w="4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120"/>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 - Unaudited</w:t>
      </w:r>
    </w:p>
    <w:tbl>
      <w:tblPr>
        <w:tblW w:w="8077" w:type="dxa"/>
        <w:jc w:val="center"/>
        <w:tblInd w:w="0" w:type="dxa"/>
        <w:tblLayout w:type="fixed"/>
        <w:tblCellMar>
          <w:top w:w="28" w:type="dxa"/>
          <w:left w:w="28" w:type="dxa"/>
          <w:bottom w:w="28" w:type="dxa"/>
          <w:right w:w="28" w:type="dxa"/>
        </w:tblCellMar>
      </w:tblPr>
      <w:tblGrid>
        <w:gridCol w:w="344"/>
        <w:gridCol w:w="302"/>
        <w:gridCol w:w="302"/>
        <w:gridCol w:w="302"/>
        <w:gridCol w:w="302"/>
        <w:gridCol w:w="305"/>
        <w:gridCol w:w="109"/>
        <w:gridCol w:w="109"/>
        <w:gridCol w:w="109"/>
        <w:gridCol w:w="337"/>
        <w:gridCol w:w="338"/>
        <w:gridCol w:w="453"/>
        <w:gridCol w:w="172"/>
        <w:gridCol w:w="172"/>
        <w:gridCol w:w="172"/>
        <w:gridCol w:w="293"/>
        <w:gridCol w:w="293"/>
        <w:gridCol w:w="453"/>
        <w:gridCol w:w="109"/>
        <w:gridCol w:w="109"/>
        <w:gridCol w:w="109"/>
        <w:gridCol w:w="320"/>
        <w:gridCol w:w="266"/>
        <w:gridCol w:w="519"/>
        <w:gridCol w:w="197"/>
        <w:gridCol w:w="197"/>
        <w:gridCol w:w="197"/>
        <w:gridCol w:w="320"/>
        <w:gridCol w:w="266"/>
        <w:gridCol w:w="60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GAAP Year Ended </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Adjusted Year Ended </w:t>
              <w:br/>
              <w:t>December 31,</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2025</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2024</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67.7 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68.1 </w:t>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68.6 </w:t>
            </w:r>
          </w:p>
        </w:tc>
        <w:tc>
          <w:tcPr>
            <w:tcW w:w="5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68.8 </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39.5 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40.6 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35.3 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36.0 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14.6 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20.6 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19.1 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(17.5)</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8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28.4 </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23.1 </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21.0 </w:t>
            </w:r>
          </w:p>
        </w:tc>
        <w:tc>
          <w:tcPr>
            <w:tcW w:w="60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7800"/>
                <wp:effectExtent l="0" t="0" r="0" b="0"/>
                <wp:wrapNone/>
                <wp:docPr id="19"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14</w:t>
                      </w:r>
                    </w:p>
                  </w:txbxContent>
                </v:textbox>
                <w10:wrap type="none"/>
              </v:rect>
            </w:pict>
          </mc:Fallback>
        </mc:AlternateContent>
      </w:r>
    </w:p>
    <w:tbl>
      <w:tblPr>
        <w:tblW w:w="11284" w:type="dxa"/>
        <w:jc w:val="left"/>
        <w:tblInd w:w="0" w:type="dxa"/>
        <w:tblLayout w:type="fixed"/>
        <w:tblCellMar>
          <w:top w:w="28" w:type="dxa"/>
          <w:left w:w="28" w:type="dxa"/>
          <w:bottom w:w="28" w:type="dxa"/>
          <w:right w:w="28" w:type="dxa"/>
        </w:tblCellMar>
      </w:tblPr>
      <w:tblGrid>
        <w:gridCol w:w="603"/>
        <w:gridCol w:w="294"/>
        <w:gridCol w:w="274"/>
        <w:gridCol w:w="454"/>
        <w:gridCol w:w="192"/>
        <w:gridCol w:w="427"/>
        <w:gridCol w:w="109"/>
        <w:gridCol w:w="307"/>
        <w:gridCol w:w="249"/>
        <w:gridCol w:w="553"/>
        <w:gridCol w:w="354"/>
        <w:gridCol w:w="217"/>
        <w:gridCol w:w="482"/>
        <w:gridCol w:w="109"/>
        <w:gridCol w:w="364"/>
        <w:gridCol w:w="192"/>
        <w:gridCol w:w="427"/>
        <w:gridCol w:w="289"/>
        <w:gridCol w:w="267"/>
        <w:gridCol w:w="592"/>
        <w:gridCol w:w="300"/>
        <w:gridCol w:w="256"/>
        <w:gridCol w:w="569"/>
        <w:gridCol w:w="282"/>
        <w:gridCol w:w="274"/>
        <w:gridCol w:w="608"/>
        <w:gridCol w:w="329"/>
        <w:gridCol w:w="242"/>
        <w:gridCol w:w="537"/>
        <w:gridCol w:w="461"/>
        <w:gridCol w:w="185"/>
        <w:gridCol w:w="486"/>
      </w:tblGrid>
      <w:tr>
        <w:trPr/>
        <w:tc>
          <w:tcPr>
            <w:tcW w:w="6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044" w:type="dxa"/>
            <w:gridSpan w:val="2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RECONCILIATION OF GAAP TO NON-GAAP FINANCIAL MEASURES - UNAUDITED</w:t>
              <w:br/>
              <w:t>(U.S. dollars in millions, except per share amounts)</w:t>
            </w:r>
          </w:p>
        </w:tc>
        <w:tc>
          <w:tcPr>
            <w:tcW w:w="2240"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1"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Non-GAAP Adjustments</w:t>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 xml:space="preserve">Three Months Ended </w:t>
              <w:br/>
              <w:t>December 31, 2025</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(1)</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Divestiture Related Items </w:t>
            </w:r>
            <w:r>
              <w:rPr>
                <w:rFonts w:ascii="Franklin Gothic Book;sans-serif" w:hAnsi="Franklin Gothic Book;sans-serif"/>
                <w:b/>
                <w:color w:val="000000"/>
                <w:sz w:val="9"/>
              </w:rPr>
              <w:t>(2)</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Financing Related Items </w:t>
            </w:r>
            <w:r>
              <w:rPr>
                <w:rFonts w:ascii="Franklin Gothic Book;sans-serif" w:hAnsi="Franklin Gothic Book;sans-serif"/>
                <w:b/>
                <w:color w:val="000000"/>
                <w:sz w:val="9"/>
              </w:rPr>
              <w:t>(3)</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Contingent Consideration </w:t>
            </w:r>
            <w:r>
              <w:rPr>
                <w:rFonts w:ascii="Franklin Gothic Book;sans-serif" w:hAnsi="Franklin Gothic Book;sans-serif"/>
                <w:b/>
                <w:color w:val="000000"/>
                <w:sz w:val="9"/>
              </w:rPr>
              <w:t>(4)</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(5)</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Share-based Compensation Costs </w:t>
            </w:r>
            <w:r>
              <w:rPr>
                <w:rFonts w:ascii="Franklin Gothic Book;sans-serif" w:hAnsi="Franklin Gothic Book;sans-serif"/>
                <w:b/>
                <w:color w:val="000000"/>
                <w:sz w:val="9"/>
              </w:rPr>
              <w:t>(6)</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Tax Adjustments </w:t>
            </w:r>
            <w:r>
              <w:rPr>
                <w:rFonts w:ascii="Franklin Gothic Book;sans-serif" w:hAnsi="Franklin Gothic Book;sans-serif"/>
                <w:b/>
                <w:color w:val="000000"/>
                <w:sz w:val="9"/>
              </w:rPr>
              <w:t>(7)</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Cost of sales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$121.1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$117.5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Gross profit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66.4 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67.5 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143.4 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(7.4)</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130.6 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39.7 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52.1 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49.1 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13.6 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Other operating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5.1 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9.4 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63.8 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margin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30.9 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9.4 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(18.6)</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47.7 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income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(5.2)</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Diluted EPS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($0.07)</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$0.17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($0.34)</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three months ended December 31, 2025 include:</w:t>
      </w:r>
    </w:p>
    <w:p>
      <w:pPr>
        <w:pStyle w:val="TextBody"/>
        <w:bidi w:val="0"/>
        <w:spacing w:lineRule="auto" w:line="300" w:before="0" w:after="0"/>
        <w:jc w:val="left"/>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jc w:val="left"/>
        <w:rPr/>
      </w:pPr>
      <w:r>
        <w:rPr>
          <w:rFonts w:ascii="Franklin Gothic Book;sans-serif" w:hAnsi="Franklin Gothic Book;sans-serif"/>
          <w:b w:val="false"/>
          <w:color w:val="000000"/>
          <w:sz w:val="12"/>
        </w:rPr>
        <w:t>(2)</w:t>
      </w:r>
      <w:r>
        <w:rPr>
          <w:color w:val="000000"/>
        </w:rPr>
        <w:t xml:space="preserve"> </w:t>
      </w:r>
      <w:r>
        <w:rPr>
          <w:rFonts w:ascii="Franklin Gothic Book;sans-serif" w:hAnsi="Franklin Gothic Book;sans-serif"/>
          <w:b w:val="false"/>
          <w:color w:val="000000"/>
          <w:sz w:val="18"/>
        </w:rPr>
        <w:t>Gain on sale of asset</w:t>
      </w:r>
    </w:p>
    <w:p>
      <w:pPr>
        <w:pStyle w:val="TextBody"/>
        <w:bidi w:val="0"/>
        <w:spacing w:lineRule="auto" w:line="300" w:before="0" w:after="0"/>
        <w:jc w:val="left"/>
        <w:rPr/>
      </w:pPr>
      <w:r>
        <w:rPr>
          <w:rFonts w:ascii="Franklin Gothic Book;sans-serif" w:hAnsi="Franklin Gothic Book;sans-serif"/>
          <w:b w:val="false"/>
          <w:color w:val="000000"/>
          <w:sz w:val="12"/>
        </w:rPr>
        <w:t>(3)</w:t>
      </w:r>
      <w:r>
        <w:rPr>
          <w:color w:val="000000"/>
        </w:rPr>
        <w:t xml:space="preserve"> </w:t>
      </w:r>
      <w:r>
        <w:rPr>
          <w:rFonts w:ascii="Franklin Gothic Book;sans-serif" w:hAnsi="Franklin Gothic Book;sans-serif"/>
          <w:b w:val="false"/>
          <w:color w:val="000000"/>
          <w:sz w:val="18"/>
        </w:rPr>
        <w:t>Mark-to-market adjustments for the 2025 and 2029 Notes embedded and capped call derivatives and non-cash interest expense</w:t>
      </w:r>
    </w:p>
    <w:p>
      <w:pPr>
        <w:pStyle w:val="TextBody"/>
        <w:bidi w:val="0"/>
        <w:spacing w:lineRule="auto" w:line="300" w:before="0" w:after="0"/>
        <w:jc w:val="left"/>
        <w:rPr/>
      </w:pPr>
      <w:r>
        <w:rPr>
          <w:rFonts w:ascii="Franklin Gothic Book;sans-serif" w:hAnsi="Franklin Gothic Book;sans-serif"/>
          <w:b w:val="false"/>
          <w:color w:val="000000"/>
          <w:sz w:val="12"/>
        </w:rPr>
        <w:t>(4)</w:t>
      </w:r>
      <w:r>
        <w:rPr>
          <w:color w:val="000000"/>
        </w:rPr>
        <w:t xml:space="preserve"> </w:t>
      </w:r>
      <w:r>
        <w:rPr>
          <w:rFonts w:ascii="Franklin Gothic Book;sans-serif" w:hAnsi="Franklin Gothic Book;sans-serif"/>
          <w:b w:val="false"/>
          <w:color w:val="000000"/>
          <w:sz w:val="18"/>
        </w:rPr>
        <w:t>Remeasurement of contingent consideration related to the ImThera acquisition</w:t>
      </w:r>
    </w:p>
    <w:p>
      <w:pPr>
        <w:pStyle w:val="TextBody"/>
        <w:bidi w:val="0"/>
        <w:spacing w:lineRule="auto" w:line="300" w:before="0" w:after="0"/>
        <w:jc w:val="left"/>
        <w:rPr/>
      </w:pPr>
      <w:r>
        <w:rPr>
          <w:rFonts w:ascii="Franklin Gothic Book;sans-serif" w:hAnsi="Franklin Gothic Book;sans-serif"/>
          <w:b w:val="false"/>
          <w:color w:val="000000"/>
          <w:sz w:val="12"/>
        </w:rPr>
        <w:t>(5)</w:t>
      </w:r>
      <w:r>
        <w:rPr>
          <w:color w:val="000000"/>
        </w:rPr>
        <w:t xml:space="preserve"> </w:t>
      </w:r>
      <w:r>
        <w:rPr>
          <w:rFonts w:ascii="Franklin Gothic Book;sans-serif" w:hAnsi="Franklin Gothic Book;sans-serif"/>
          <w:b w:val="false"/>
          <w:color w:val="000000"/>
          <w:sz w:val="18"/>
        </w:rPr>
        <w:t>3T Heater-Cooler defense legal expenses, SNIA environmental liability, and Saluggia site remediation provision</w:t>
      </w:r>
    </w:p>
    <w:p>
      <w:pPr>
        <w:pStyle w:val="TextBody"/>
        <w:bidi w:val="0"/>
        <w:spacing w:lineRule="auto" w:line="300" w:before="0" w:after="0"/>
        <w:jc w:val="left"/>
        <w:rPr/>
      </w:pPr>
      <w:r>
        <w:rPr>
          <w:rFonts w:ascii="Franklin Gothic Book;sans-serif" w:hAnsi="Franklin Gothic Book;sans-serif"/>
          <w:b w:val="false"/>
          <w:color w:val="000000"/>
          <w:sz w:val="12"/>
        </w:rPr>
        <w:t>(6)</w:t>
      </w:r>
      <w:r>
        <w:rPr>
          <w:color w:val="000000"/>
        </w:rPr>
        <w:t xml:space="preserve"> </w:t>
      </w:r>
      <w:r>
        <w:rPr>
          <w:rFonts w:ascii="Franklin Gothic Book;sans-serif" w:hAnsi="Franklin Gothic Book;sans-serif"/>
          <w:b w:val="false"/>
          <w:color w:val="000000"/>
          <w:sz w:val="18"/>
        </w:rPr>
        <w:t>Non-cash expenses associated with share-based compensation costs</w:t>
      </w:r>
    </w:p>
    <w:p>
      <w:pPr>
        <w:pStyle w:val="TextBody"/>
        <w:bidi w:val="0"/>
        <w:spacing w:lineRule="auto" w:line="300" w:before="0" w:after="0"/>
        <w:jc w:val="left"/>
        <w:rPr/>
      </w:pPr>
      <w:r>
        <w:rPr>
          <w:rFonts w:ascii="Franklin Gothic Book;sans-serif" w:hAnsi="Franklin Gothic Book;sans-serif"/>
          <w:b w:val="false"/>
          <w:color w:val="000000"/>
          <w:sz w:val="12"/>
        </w:rPr>
        <w:t>(7)</w:t>
      </w:r>
      <w:r>
        <w:rPr>
          <w:color w:val="000000"/>
        </w:rPr>
        <w:t xml:space="preserve"> </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288"/>
        <w:ind w:left="0" w:right="0" w:hanging="360"/>
        <w:jc w:val="left"/>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60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7800"/>
                <wp:effectExtent l="0" t="0" r="0" b="0"/>
                <wp:wrapNone/>
                <wp:docPr id="20" name="Frame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15</w:t>
                      </w:r>
                    </w:p>
                  </w:txbxContent>
                </v:textbox>
                <w10:wrap type="none"/>
              </v:rect>
            </w:pict>
          </mc:Fallback>
        </mc:AlternateContent>
      </w:r>
    </w:p>
    <w:tbl>
      <w:tblPr>
        <w:tblW w:w="12220" w:type="dxa"/>
        <w:jc w:val="left"/>
        <w:tblInd w:w="0" w:type="dxa"/>
        <w:tblLayout w:type="fixed"/>
        <w:tblCellMar>
          <w:top w:w="28" w:type="dxa"/>
          <w:left w:w="28" w:type="dxa"/>
          <w:bottom w:w="28" w:type="dxa"/>
          <w:right w:w="28" w:type="dxa"/>
        </w:tblCellMar>
      </w:tblPr>
      <w:tblGrid>
        <w:gridCol w:w="603"/>
        <w:gridCol w:w="294"/>
        <w:gridCol w:w="274"/>
        <w:gridCol w:w="454"/>
        <w:gridCol w:w="192"/>
        <w:gridCol w:w="427"/>
        <w:gridCol w:w="296"/>
        <w:gridCol w:w="260"/>
        <w:gridCol w:w="576"/>
        <w:gridCol w:w="307"/>
        <w:gridCol w:w="249"/>
        <w:gridCol w:w="553"/>
        <w:gridCol w:w="350"/>
        <w:gridCol w:w="221"/>
        <w:gridCol w:w="489"/>
        <w:gridCol w:w="379"/>
        <w:gridCol w:w="192"/>
        <w:gridCol w:w="427"/>
        <w:gridCol w:w="289"/>
        <w:gridCol w:w="267"/>
        <w:gridCol w:w="592"/>
        <w:gridCol w:w="300"/>
        <w:gridCol w:w="256"/>
        <w:gridCol w:w="569"/>
        <w:gridCol w:w="282"/>
        <w:gridCol w:w="274"/>
        <w:gridCol w:w="608"/>
        <w:gridCol w:w="329"/>
        <w:gridCol w:w="242"/>
        <w:gridCol w:w="537"/>
        <w:gridCol w:w="461"/>
        <w:gridCol w:w="185"/>
        <w:gridCol w:w="486"/>
      </w:tblGrid>
      <w:tr>
        <w:trPr/>
        <w:tc>
          <w:tcPr>
            <w:tcW w:w="6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220"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RECONCILIATION OF GAAP TO NON-GAAP FINANCIAL MEASURES - UNAUDITED</w:t>
              <w:br/>
              <w:t>(U.S. dollars in millions, except per share amounts)</w:t>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4"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Non-GAAP Adjustments</w:t>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 xml:space="preserve">Three Months Ended </w:t>
              <w:br/>
              <w:t>December 31, 2024</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Restructuring Expenses </w:t>
            </w:r>
            <w:r>
              <w:rPr>
                <w:rFonts w:ascii="Franklin Gothic Book;sans-serif" w:hAnsi="Franklin Gothic Book;sans-serif"/>
                <w:b/>
                <w:color w:val="000000"/>
                <w:sz w:val="9"/>
              </w:rPr>
              <w:t>(1)</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Investment Related Items </w:t>
            </w:r>
            <w:r>
              <w:rPr>
                <w:rFonts w:ascii="Franklin Gothic Book;sans-serif" w:hAnsi="Franklin Gothic Book;sans-serif"/>
                <w:b/>
                <w:color w:val="000000"/>
                <w:sz w:val="9"/>
              </w:rPr>
              <w:t>(3)</w:t>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Financing Related Items </w:t>
            </w:r>
            <w:r>
              <w:rPr>
                <w:rFonts w:ascii="Franklin Gothic Book;sans-serif" w:hAnsi="Franklin Gothic Book;sans-serif"/>
                <w:b/>
                <w:color w:val="000000"/>
                <w:sz w:val="9"/>
              </w:rPr>
              <w:t>(4)</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Contingent Consideration </w:t>
            </w:r>
            <w:r>
              <w:rPr>
                <w:rFonts w:ascii="Franklin Gothic Book;sans-serif" w:hAnsi="Franklin Gothic Book;sans-serif"/>
                <w:b/>
                <w:color w:val="000000"/>
                <w:sz w:val="9"/>
              </w:rPr>
              <w:t>(5)</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(6)</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Share-based Compensation Costs </w:t>
            </w:r>
            <w:r>
              <w:rPr>
                <w:rFonts w:ascii="Franklin Gothic Book;sans-serif" w:hAnsi="Franklin Gothic Book;sans-serif"/>
                <w:b/>
                <w:color w:val="000000"/>
                <w:sz w:val="9"/>
              </w:rPr>
              <w:t>(7)</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Tax Adjustments </w:t>
            </w:r>
            <w:r>
              <w:rPr>
                <w:rFonts w:ascii="Franklin Gothic Book;sans-serif" w:hAnsi="Franklin Gothic Book;sans-serif"/>
                <w:b/>
                <w:color w:val="000000"/>
                <w:sz w:val="9"/>
              </w:rPr>
              <w:t>(8)</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Cost of sales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$107.5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$103.9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Gross profit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66.6 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67.7 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130.6 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(5.8)</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122.0 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43.3 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Other operating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(2.9)</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3.0 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55.6 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margin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55.9 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(7.1)</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(12.8)</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3.0 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(10.3)</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income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Diluted EPS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($0.13)</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($0.23)</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$0.05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$0.07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$0.13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($0.19)</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three months ended December 31, 2024 include:</w:t>
      </w:r>
    </w:p>
    <w:p>
      <w:pPr>
        <w:pStyle w:val="TextBody"/>
        <w:bidi w:val="0"/>
        <w:spacing w:lineRule="auto" w:line="300" w:before="0" w:after="0"/>
        <w:jc w:val="both"/>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jc w:val="both"/>
        <w:rPr/>
      </w:pPr>
      <w:r>
        <w:rPr>
          <w:rFonts w:ascii="Franklin Gothic Book;sans-serif" w:hAnsi="Franklin Gothic Book;sans-serif"/>
          <w:b w:val="false"/>
          <w:color w:val="000000"/>
          <w:sz w:val="12"/>
        </w:rPr>
        <w:t>(2)</w:t>
      </w:r>
      <w:r>
        <w:rPr>
          <w:color w:val="000000"/>
        </w:rPr>
        <w:t xml:space="preserve"> </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jc w:val="both"/>
        <w:rPr/>
      </w:pPr>
      <w:r>
        <w:rPr>
          <w:rFonts w:ascii="Franklin Gothic Book;sans-serif" w:hAnsi="Franklin Gothic Book;sans-serif"/>
          <w:b w:val="false"/>
          <w:color w:val="000000"/>
          <w:sz w:val="12"/>
        </w:rPr>
        <w:t>(3)</w:t>
      </w:r>
      <w:r>
        <w:rPr>
          <w:color w:val="000000"/>
        </w:rPr>
        <w:t xml:space="preserve"> </w:t>
      </w:r>
      <w:r>
        <w:rPr>
          <w:rFonts w:ascii="Franklin Gothic Book;sans-serif" w:hAnsi="Franklin Gothic Book;sans-serif"/>
          <w:b w:val="false"/>
          <w:color w:val="000000"/>
          <w:sz w:val="18"/>
        </w:rPr>
        <w:t>Gain on investment revaluation of Ceribell, Inc.</w:t>
      </w:r>
    </w:p>
    <w:p>
      <w:pPr>
        <w:pStyle w:val="TextBody"/>
        <w:bidi w:val="0"/>
        <w:spacing w:lineRule="auto" w:line="300" w:before="0" w:after="0"/>
        <w:jc w:val="both"/>
        <w:rPr/>
      </w:pPr>
      <w:r>
        <w:rPr>
          <w:rFonts w:ascii="Franklin Gothic Book;sans-serif" w:hAnsi="Franklin Gothic Book;sans-serif"/>
          <w:b w:val="false"/>
          <w:color w:val="000000"/>
          <w:sz w:val="12"/>
        </w:rPr>
        <w:t>(4)</w:t>
      </w:r>
      <w:r>
        <w:rPr>
          <w:color w:val="000000"/>
        </w:rPr>
        <w:t xml:space="preserve"> </w:t>
      </w:r>
      <w:r>
        <w:rPr>
          <w:rFonts w:ascii="Franklin Gothic Book;sans-serif" w:hAnsi="Franklin Gothic Book;sans-serif"/>
          <w:b w:val="false"/>
          <w:color w:val="000000"/>
          <w:sz w:val="18"/>
        </w:rPr>
        <w:t>Mark-to-market adjustments for the 2025 and 2029 Notes embedded and capped call derivatives, interest expense on the Term Facilities, non-cash interest expense on the 2025 and 2029 Notes and Revolving Credit Facility, and interest income on the collateral for the SNIA litigation guarantee and delayed draw on Term Facilities</w:t>
      </w:r>
    </w:p>
    <w:p>
      <w:pPr>
        <w:pStyle w:val="TextBody"/>
        <w:bidi w:val="0"/>
        <w:spacing w:lineRule="auto" w:line="300" w:before="0" w:after="0"/>
        <w:jc w:val="both"/>
        <w:rPr/>
      </w:pPr>
      <w:r>
        <w:rPr>
          <w:rFonts w:ascii="Franklin Gothic Book;sans-serif" w:hAnsi="Franklin Gothic Book;sans-serif"/>
          <w:b w:val="false"/>
          <w:color w:val="000000"/>
          <w:sz w:val="12"/>
        </w:rPr>
        <w:t>(5)</w:t>
      </w:r>
      <w:r>
        <w:rPr>
          <w:color w:val="000000"/>
        </w:rPr>
        <w:t xml:space="preserve"> </w:t>
      </w:r>
      <w:r>
        <w:rPr>
          <w:rFonts w:ascii="Franklin Gothic Book;sans-serif" w:hAnsi="Franklin Gothic Book;sans-serif"/>
          <w:b w:val="false"/>
          <w:color w:val="000000"/>
          <w:sz w:val="18"/>
        </w:rPr>
        <w:t>Remeasurement of contingent consideration related to ImThera acquisition</w:t>
      </w:r>
    </w:p>
    <w:p>
      <w:pPr>
        <w:pStyle w:val="TextBody"/>
        <w:bidi w:val="0"/>
        <w:spacing w:lineRule="auto" w:line="300" w:before="0" w:after="0"/>
        <w:jc w:val="both"/>
        <w:rPr/>
      </w:pPr>
      <w:r>
        <w:rPr>
          <w:rFonts w:ascii="Franklin Gothic Book;sans-serif" w:hAnsi="Franklin Gothic Book;sans-serif"/>
          <w:b w:val="false"/>
          <w:color w:val="000000"/>
          <w:sz w:val="12"/>
        </w:rPr>
        <w:t>(6)</w:t>
      </w:r>
      <w:r>
        <w:rPr>
          <w:color w:val="000000"/>
        </w:rPr>
        <w:t xml:space="preserve"> </w:t>
      </w:r>
      <w:r>
        <w:rPr>
          <w:rFonts w:ascii="Franklin Gothic Book;sans-serif" w:hAnsi="Franklin Gothic Book;sans-serif"/>
          <w:b w:val="false"/>
          <w:color w:val="000000"/>
          <w:sz w:val="18"/>
        </w:rPr>
        <w:t>Legal expenses primarily related to 3T Heater-Cooler defense, 3T Heater-Cooler litigation provision, cybersecurity incident costs net of insurance reimbursement, and Medical Device Regulation ("MDR") costs</w:t>
      </w:r>
    </w:p>
    <w:p>
      <w:pPr>
        <w:pStyle w:val="TextBody"/>
        <w:bidi w:val="0"/>
        <w:spacing w:lineRule="auto" w:line="300" w:before="0" w:after="0"/>
        <w:jc w:val="both"/>
        <w:rPr/>
      </w:pPr>
      <w:r>
        <w:rPr>
          <w:rFonts w:ascii="Franklin Gothic Book;sans-serif" w:hAnsi="Franklin Gothic Book;sans-serif"/>
          <w:b w:val="false"/>
          <w:color w:val="000000"/>
          <w:sz w:val="12"/>
        </w:rPr>
        <w:t>(7)</w:t>
      </w:r>
      <w:r>
        <w:rPr>
          <w:color w:val="000000"/>
        </w:rPr>
        <w:t xml:space="preserve"> </w:t>
      </w:r>
      <w:r>
        <w:rPr>
          <w:rFonts w:ascii="Franklin Gothic Book;sans-serif" w:hAnsi="Franklin Gothic Book;sans-serif"/>
          <w:b w:val="false"/>
          <w:color w:val="000000"/>
          <w:sz w:val="18"/>
        </w:rPr>
        <w:t>Non-cash expenses associated with share-based compensation costs</w:t>
      </w:r>
    </w:p>
    <w:p>
      <w:pPr>
        <w:pStyle w:val="TextBody"/>
        <w:bidi w:val="0"/>
        <w:spacing w:lineRule="auto" w:line="300" w:before="0" w:after="0"/>
        <w:jc w:val="both"/>
        <w:rPr/>
      </w:pPr>
      <w:r>
        <w:rPr>
          <w:rFonts w:ascii="Franklin Gothic Book;sans-serif" w:hAnsi="Franklin Gothic Book;sans-serif"/>
          <w:b w:val="false"/>
          <w:color w:val="000000"/>
          <w:sz w:val="12"/>
        </w:rPr>
        <w:t>(8)</w:t>
      </w:r>
      <w:r>
        <w:rPr>
          <w:color w:val="000000"/>
        </w:rPr>
        <w:t xml:space="preserve"> </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60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7800"/>
                <wp:effectExtent l="0" t="0" r="0" b="0"/>
                <wp:wrapNone/>
                <wp:docPr id="21" name="Frame1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16</w:t>
                      </w:r>
                    </w:p>
                  </w:txbxContent>
                </v:textbox>
                <w10:wrap type="none"/>
              </v:rect>
            </w:pict>
          </mc:Fallback>
        </mc:AlternateContent>
      </w:r>
    </w:p>
    <w:tbl>
      <w:tblPr>
        <w:tblW w:w="13316" w:type="dxa"/>
        <w:jc w:val="left"/>
        <w:tblInd w:w="0" w:type="dxa"/>
        <w:tblLayout w:type="fixed"/>
        <w:tblCellMar>
          <w:top w:w="28" w:type="dxa"/>
          <w:left w:w="28" w:type="dxa"/>
          <w:bottom w:w="28" w:type="dxa"/>
          <w:right w:w="28" w:type="dxa"/>
        </w:tblCellMar>
      </w:tblPr>
      <w:tblGrid>
        <w:gridCol w:w="565"/>
        <w:gridCol w:w="332"/>
        <w:gridCol w:w="274"/>
        <w:gridCol w:w="454"/>
        <w:gridCol w:w="192"/>
        <w:gridCol w:w="427"/>
        <w:gridCol w:w="109"/>
        <w:gridCol w:w="260"/>
        <w:gridCol w:w="260"/>
        <w:gridCol w:w="576"/>
        <w:gridCol w:w="307"/>
        <w:gridCol w:w="249"/>
        <w:gridCol w:w="553"/>
        <w:gridCol w:w="354"/>
        <w:gridCol w:w="217"/>
        <w:gridCol w:w="482"/>
        <w:gridCol w:w="335"/>
        <w:gridCol w:w="221"/>
        <w:gridCol w:w="489"/>
        <w:gridCol w:w="364"/>
        <w:gridCol w:w="192"/>
        <w:gridCol w:w="427"/>
        <w:gridCol w:w="289"/>
        <w:gridCol w:w="267"/>
        <w:gridCol w:w="592"/>
        <w:gridCol w:w="300"/>
        <w:gridCol w:w="256"/>
        <w:gridCol w:w="569"/>
        <w:gridCol w:w="282"/>
        <w:gridCol w:w="274"/>
        <w:gridCol w:w="608"/>
        <w:gridCol w:w="329"/>
        <w:gridCol w:w="242"/>
        <w:gridCol w:w="537"/>
        <w:gridCol w:w="461"/>
        <w:gridCol w:w="185"/>
        <w:gridCol w:w="486"/>
      </w:tblGrid>
      <w:tr>
        <w:trPr/>
        <w:tc>
          <w:tcPr>
            <w:tcW w:w="56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184" w:type="dxa"/>
            <w:gridSpan w:val="34"/>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132"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Non-GAAP Adjustments</w:t>
            </w:r>
          </w:p>
        </w:tc>
        <w:tc>
          <w:tcPr>
            <w:tcW w:w="11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 xml:space="preserve">Year Ended </w:t>
              <w:br/>
              <w:t>December 31, 2025</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Restructuring Expenses </w:t>
            </w:r>
            <w:r>
              <w:rPr>
                <w:rFonts w:ascii="Franklin Gothic Book;sans-serif" w:hAnsi="Franklin Gothic Book;sans-serif"/>
                <w:b/>
                <w:color w:val="000000"/>
                <w:sz w:val="9"/>
              </w:rPr>
              <w:t>(1)</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Divestiture Related Items </w:t>
            </w:r>
            <w:r>
              <w:rPr>
                <w:rFonts w:ascii="Franklin Gothic Book;sans-serif" w:hAnsi="Franklin Gothic Book;sans-serif"/>
                <w:b/>
                <w:color w:val="000000"/>
                <w:sz w:val="9"/>
              </w:rPr>
              <w:t>(3)</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Investment Related Items </w:t>
            </w:r>
            <w:r>
              <w:rPr>
                <w:rFonts w:ascii="Franklin Gothic Book;sans-serif" w:hAnsi="Franklin Gothic Book;sans-serif"/>
                <w:b/>
                <w:color w:val="000000"/>
                <w:sz w:val="9"/>
              </w:rPr>
              <w:t>(4)</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Financing Related Items </w:t>
            </w:r>
            <w:r>
              <w:rPr>
                <w:rFonts w:ascii="Franklin Gothic Book;sans-serif" w:hAnsi="Franklin Gothic Book;sans-serif"/>
                <w:b/>
                <w:color w:val="000000"/>
                <w:sz w:val="9"/>
              </w:rPr>
              <w:t>(5)</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Contingent Consideration </w:t>
            </w:r>
            <w:r>
              <w:rPr>
                <w:rFonts w:ascii="Franklin Gothic Book;sans-serif" w:hAnsi="Franklin Gothic Book;sans-serif"/>
                <w:b/>
                <w:color w:val="000000"/>
                <w:sz w:val="9"/>
              </w:rPr>
              <w:t>(6)</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(7)</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Share-based Compensation Costs </w:t>
            </w:r>
            <w:r>
              <w:rPr>
                <w:rFonts w:ascii="Franklin Gothic Book;sans-serif" w:hAnsi="Franklin Gothic Book;sans-serif"/>
                <w:b/>
                <w:color w:val="000000"/>
                <w:sz w:val="9"/>
              </w:rPr>
              <w:t>(8)</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Tax Adjustments </w:t>
            </w:r>
            <w:r>
              <w:rPr>
                <w:rFonts w:ascii="Franklin Gothic Book;sans-serif" w:hAnsi="Franklin Gothic Book;sans-serif"/>
                <w:b/>
                <w:color w:val="000000"/>
                <w:sz w:val="9"/>
              </w:rPr>
              <w:t>(9)</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Cost of sales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$448.2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($7.1)</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$435.2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Gross profit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67.7 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68.6 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548.8 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(10.2)</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(20.3)</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(27.7)</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490.5 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185.8 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(6.9)</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176.2 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Other operating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(6.1)</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199.4 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7.9 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25.6 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36.3 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286.1 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margin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20.6 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(loss)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(242.5)</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47.5 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7.9 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391.1 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36.3 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214.6 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(loss) income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(17.5)</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28.2 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4"/>
              </w:rPr>
              <w:t xml:space="preserve">Diluted EPS </w:t>
            </w:r>
            <w:r>
              <w:rPr>
                <w:rFonts w:ascii="Franklin Gothic Book;sans-serif" w:hAnsi="Franklin Gothic Book;sans-serif"/>
                <w:b w:val="false"/>
                <w:color w:val="000000"/>
                <w:sz w:val="9"/>
              </w:rPr>
              <w:t>(10)</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($4.45)</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$0.14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$7.11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$0.66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($0.78)</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year ended December 31, 2025 include:</w:t>
      </w:r>
    </w:p>
    <w:p>
      <w:pPr>
        <w:pStyle w:val="TextBody"/>
        <w:bidi w:val="0"/>
        <w:spacing w:lineRule="auto" w:line="300" w:before="0" w:after="0"/>
        <w:jc w:val="both"/>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jc w:val="both"/>
        <w:rPr/>
      </w:pPr>
      <w:r>
        <w:rPr>
          <w:rFonts w:ascii="Franklin Gothic Book;sans-serif" w:hAnsi="Franklin Gothic Book;sans-serif"/>
          <w:b w:val="false"/>
          <w:color w:val="000000"/>
          <w:sz w:val="12"/>
        </w:rPr>
        <w:t>(2)</w:t>
      </w:r>
      <w:r>
        <w:rPr>
          <w:color w:val="000000"/>
        </w:rPr>
        <w:t xml:space="preserve"> </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jc w:val="both"/>
        <w:rPr/>
      </w:pPr>
      <w:r>
        <w:rPr>
          <w:rFonts w:ascii="Franklin Gothic Book;sans-serif" w:hAnsi="Franklin Gothic Book;sans-serif"/>
          <w:b w:val="false"/>
          <w:color w:val="000000"/>
          <w:sz w:val="12"/>
        </w:rPr>
        <w:t>(3)</w:t>
      </w:r>
      <w:r>
        <w:rPr>
          <w:color w:val="000000"/>
        </w:rPr>
        <w:t xml:space="preserve"> </w:t>
      </w:r>
      <w:r>
        <w:rPr>
          <w:rFonts w:ascii="Franklin Gothic Book;sans-serif" w:hAnsi="Franklin Gothic Book;sans-serif"/>
          <w:b w:val="false"/>
          <w:color w:val="000000"/>
          <w:sz w:val="18"/>
        </w:rPr>
        <w:t>Gain on sale of asset</w:t>
      </w:r>
    </w:p>
    <w:p>
      <w:pPr>
        <w:pStyle w:val="TextBody"/>
        <w:bidi w:val="0"/>
        <w:spacing w:lineRule="auto" w:line="300" w:before="0" w:after="0"/>
        <w:jc w:val="both"/>
        <w:rPr/>
      </w:pPr>
      <w:r>
        <w:rPr>
          <w:rFonts w:ascii="Franklin Gothic Book;sans-serif" w:hAnsi="Franklin Gothic Book;sans-serif"/>
          <w:b w:val="false"/>
          <w:color w:val="000000"/>
          <w:sz w:val="12"/>
        </w:rPr>
        <w:t>(4)</w:t>
      </w:r>
      <w:r>
        <w:rPr>
          <w:color w:val="000000"/>
        </w:rPr>
        <w:t xml:space="preserve"> </w:t>
      </w:r>
      <w:r>
        <w:rPr>
          <w:rFonts w:ascii="Franklin Gothic Book;sans-serif" w:hAnsi="Franklin Gothic Book;sans-serif"/>
          <w:b w:val="false"/>
          <w:color w:val="000000"/>
          <w:sz w:val="18"/>
        </w:rPr>
        <w:t>Loss on investment revaluation of Ceribell, Inc. and impairment of investment without readily determinable fair value</w:t>
      </w:r>
    </w:p>
    <w:p>
      <w:pPr>
        <w:pStyle w:val="TextBody"/>
        <w:bidi w:val="0"/>
        <w:spacing w:lineRule="auto" w:line="300" w:before="0" w:after="0"/>
        <w:jc w:val="both"/>
        <w:rPr/>
      </w:pPr>
      <w:r>
        <w:rPr>
          <w:rFonts w:ascii="Franklin Gothic Book;sans-serif" w:hAnsi="Franklin Gothic Book;sans-serif"/>
          <w:b w:val="false"/>
          <w:color w:val="000000"/>
          <w:sz w:val="12"/>
        </w:rPr>
        <w:t>(5)</w:t>
      </w:r>
      <w:r>
        <w:rPr>
          <w:color w:val="000000"/>
        </w:rPr>
        <w:t xml:space="preserve"> </w:t>
      </w:r>
      <w:r>
        <w:rPr>
          <w:rFonts w:ascii="Franklin Gothic Book;sans-serif" w:hAnsi="Franklin Gothic Book;sans-serif"/>
          <w:b w:val="false"/>
          <w:color w:val="000000"/>
          <w:sz w:val="18"/>
        </w:rPr>
        <w:t>Non-cash interest expense on the 2025 and 2029 Notes and Revolving Credit Facility, mark-to-market adjustments for the 2025 and 2029 Notes embedded and capped call derivatives, interest expense on the Term Facilities, loss on debt extinguishment, and interest income on the collateral for the SNIA litigation guarantee and delayed draw on Term Facilities</w:t>
      </w:r>
    </w:p>
    <w:p>
      <w:pPr>
        <w:pStyle w:val="TextBody"/>
        <w:bidi w:val="0"/>
        <w:spacing w:lineRule="auto" w:line="300" w:before="0" w:after="0"/>
        <w:jc w:val="both"/>
        <w:rPr/>
      </w:pPr>
      <w:r>
        <w:rPr>
          <w:rFonts w:ascii="Franklin Gothic Book;sans-serif" w:hAnsi="Franklin Gothic Book;sans-serif"/>
          <w:b w:val="false"/>
          <w:color w:val="000000"/>
          <w:sz w:val="12"/>
        </w:rPr>
        <w:t>(6)</w:t>
      </w:r>
      <w:r>
        <w:rPr>
          <w:color w:val="000000"/>
        </w:rPr>
        <w:t xml:space="preserve"> </w:t>
      </w:r>
      <w:r>
        <w:rPr>
          <w:rFonts w:ascii="Franklin Gothic Book;sans-serif" w:hAnsi="Franklin Gothic Book;sans-serif"/>
          <w:b w:val="false"/>
          <w:color w:val="000000"/>
          <w:sz w:val="18"/>
        </w:rPr>
        <w:t>Remeasurement of contingent consideration related to the ImThera acquisition</w:t>
      </w:r>
    </w:p>
    <w:p>
      <w:pPr>
        <w:pStyle w:val="TextBody"/>
        <w:bidi w:val="0"/>
        <w:spacing w:lineRule="auto" w:line="300" w:before="0" w:after="0"/>
        <w:jc w:val="both"/>
        <w:rPr/>
      </w:pPr>
      <w:r>
        <w:rPr>
          <w:rFonts w:ascii="Franklin Gothic Book;sans-serif" w:hAnsi="Franklin Gothic Book;sans-serif"/>
          <w:b w:val="false"/>
          <w:color w:val="000000"/>
          <w:sz w:val="12"/>
        </w:rPr>
        <w:t xml:space="preserve">(7) </w:t>
      </w:r>
      <w:r>
        <w:rPr>
          <w:rFonts w:ascii="Franklin Gothic Book;sans-serif" w:hAnsi="Franklin Gothic Book;sans-serif"/>
          <w:b w:val="false"/>
          <w:color w:val="000000"/>
          <w:sz w:val="18"/>
        </w:rPr>
        <w:t>SNIA environmental liability, legal expenses primarily related to 3T Heater-Cooler defense, 3T Heater-Cooler litigation provision, MDR costs, Saluggia site remediation provision, cybersecurity incident costs net of insurance reimbursement, and R&amp;D tax incentive</w:t>
      </w:r>
    </w:p>
    <w:p>
      <w:pPr>
        <w:pStyle w:val="TextBody"/>
        <w:bidi w:val="0"/>
        <w:spacing w:lineRule="auto" w:line="300" w:before="0" w:after="0"/>
        <w:jc w:val="both"/>
        <w:rPr/>
      </w:pPr>
      <w:r>
        <w:rPr>
          <w:rFonts w:ascii="Franklin Gothic Book;sans-serif" w:hAnsi="Franklin Gothic Book;sans-serif"/>
          <w:b w:val="false"/>
          <w:color w:val="000000"/>
          <w:sz w:val="12"/>
        </w:rPr>
        <w:t>(8)</w:t>
      </w:r>
      <w:r>
        <w:rPr>
          <w:color w:val="000000"/>
        </w:rPr>
        <w:t xml:space="preserve"> </w:t>
      </w:r>
      <w:r>
        <w:rPr>
          <w:rFonts w:ascii="Franklin Gothic Book;sans-serif" w:hAnsi="Franklin Gothic Book;sans-serif"/>
          <w:b w:val="false"/>
          <w:color w:val="000000"/>
          <w:sz w:val="18"/>
        </w:rPr>
        <w:t xml:space="preserve">Non-cash expenses associated with share-based compensation costs </w:t>
      </w:r>
    </w:p>
    <w:p>
      <w:pPr>
        <w:pStyle w:val="TextBody"/>
        <w:bidi w:val="0"/>
        <w:spacing w:lineRule="auto" w:line="300" w:before="0" w:after="0"/>
        <w:jc w:val="both"/>
        <w:rPr/>
      </w:pPr>
      <w:r>
        <w:rPr>
          <w:rFonts w:ascii="Franklin Gothic Book;sans-serif" w:hAnsi="Franklin Gothic Book;sans-serif"/>
          <w:b w:val="false"/>
          <w:color w:val="000000"/>
          <w:sz w:val="12"/>
        </w:rPr>
        <w:t>(9)</w:t>
      </w:r>
      <w:r>
        <w:rPr>
          <w:color w:val="000000"/>
        </w:rPr>
        <w:t xml:space="preserve"> </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300" w:before="0" w:after="0"/>
        <w:jc w:val="both"/>
        <w:rPr/>
      </w:pPr>
      <w:r>
        <w:rPr>
          <w:rFonts w:ascii="Franklin Gothic Book;sans-serif" w:hAnsi="Franklin Gothic Book;sans-serif"/>
          <w:b w:val="false"/>
          <w:color w:val="000000"/>
          <w:sz w:val="12"/>
        </w:rPr>
        <w:t>(10)</w:t>
      </w:r>
      <w:r>
        <w:rPr>
          <w:color w:val="000000"/>
        </w:rPr>
        <w:t xml:space="preserve"> </w:t>
      </w:r>
      <w:r>
        <w:rPr>
          <w:rFonts w:ascii="Franklin Gothic Book;sans-serif" w:hAnsi="Franklin Gothic Book;sans-serif"/>
          <w:b w:val="false"/>
          <w:color w:val="000000"/>
          <w:sz w:val="18"/>
        </w:rPr>
        <w:t>The denominator used to calculate the impact of non-GAAP adjustments on a per share basis and adjusted diluted earnings per common share includes dilution from LivaNova's share-based compensation awards that was excluded from the calculation of GAAP diluted net loss per common share because the effect would have been anti-dilutive. See the reconciliation of GAAP diluted weighted average shares outstanding, used in the computation of GAAP diluted net loss per common share, to adjusted diluted weighted average shares outstanding, used in the computation of adjusted diluted earnings per common share, at the end of this news release.</w:t>
      </w:r>
    </w:p>
    <w:p>
      <w:pPr>
        <w:pStyle w:val="TextBody"/>
        <w:bidi w:val="0"/>
        <w:spacing w:lineRule="auto" w:line="288"/>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60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7800"/>
                <wp:effectExtent l="0" t="0" r="0" b="0"/>
                <wp:wrapNone/>
                <wp:docPr id="22" name="Frame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17</w:t>
                      </w:r>
                    </w:p>
                  </w:txbxContent>
                </v:textbox>
                <w10:wrap type="none"/>
              </v:rect>
            </w:pict>
          </mc:Fallback>
        </mc:AlternateContent>
      </w:r>
    </w:p>
    <w:tbl>
      <w:tblPr>
        <w:tblW w:w="12423" w:type="dxa"/>
        <w:jc w:val="left"/>
        <w:tblInd w:w="0" w:type="dxa"/>
        <w:tblLayout w:type="fixed"/>
        <w:tblCellMar>
          <w:top w:w="28" w:type="dxa"/>
          <w:left w:w="28" w:type="dxa"/>
          <w:bottom w:w="28" w:type="dxa"/>
          <w:right w:w="28" w:type="dxa"/>
        </w:tblCellMar>
      </w:tblPr>
      <w:tblGrid>
        <w:gridCol w:w="565"/>
        <w:gridCol w:w="332"/>
        <w:gridCol w:w="274"/>
        <w:gridCol w:w="454"/>
        <w:gridCol w:w="192"/>
        <w:gridCol w:w="427"/>
        <w:gridCol w:w="109"/>
        <w:gridCol w:w="296"/>
        <w:gridCol w:w="260"/>
        <w:gridCol w:w="576"/>
        <w:gridCol w:w="307"/>
        <w:gridCol w:w="249"/>
        <w:gridCol w:w="553"/>
        <w:gridCol w:w="350"/>
        <w:gridCol w:w="221"/>
        <w:gridCol w:w="489"/>
        <w:gridCol w:w="109"/>
        <w:gridCol w:w="364"/>
        <w:gridCol w:w="192"/>
        <w:gridCol w:w="427"/>
        <w:gridCol w:w="289"/>
        <w:gridCol w:w="267"/>
        <w:gridCol w:w="592"/>
        <w:gridCol w:w="300"/>
        <w:gridCol w:w="256"/>
        <w:gridCol w:w="569"/>
        <w:gridCol w:w="282"/>
        <w:gridCol w:w="274"/>
        <w:gridCol w:w="608"/>
        <w:gridCol w:w="329"/>
        <w:gridCol w:w="242"/>
        <w:gridCol w:w="537"/>
        <w:gridCol w:w="461"/>
        <w:gridCol w:w="185"/>
        <w:gridCol w:w="486"/>
      </w:tblGrid>
      <w:tr>
        <w:trPr/>
        <w:tc>
          <w:tcPr>
            <w:tcW w:w="56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0183"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RECONCILIATION OF GAAP TO NON-GAAP FINANCIAL MEASURES - UNAUDITED</w:t>
              <w:br/>
              <w:t>(U.S. dollars in millions, except per share amounts)</w:t>
            </w:r>
          </w:p>
        </w:tc>
        <w:tc>
          <w:tcPr>
            <w:tcW w:w="2240"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0" w:type="dxa"/>
            <w:gridSpan w:val="2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4"/>
              </w:rPr>
            </w:pPr>
            <w:r>
              <w:rPr>
                <w:rFonts w:ascii="Franklin Gothic Book;sans-serif" w:hAnsi="Franklin Gothic Book;sans-serif"/>
                <w:b/>
                <w:color w:val="000000"/>
                <w:sz w:val="14"/>
              </w:rPr>
              <w:t>Non-GAAP Adjustments</w:t>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 xml:space="preserve">Year Ended </w:t>
              <w:br/>
              <w:t>December 31, 2024</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Restructuring Expenses </w:t>
            </w:r>
            <w:r>
              <w:rPr>
                <w:rFonts w:ascii="Franklin Gothic Book;sans-serif" w:hAnsi="Franklin Gothic Book;sans-serif"/>
                <w:b/>
                <w:color w:val="000000"/>
                <w:sz w:val="9"/>
              </w:rPr>
              <w:t>(1)</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Depreciation and Amortization Expenses </w:t>
            </w:r>
            <w:r>
              <w:rPr>
                <w:rFonts w:ascii="Franklin Gothic Book;sans-serif" w:hAnsi="Franklin Gothic Book;sans-serif"/>
                <w:b/>
                <w:color w:val="000000"/>
                <w:sz w:val="9"/>
              </w:rPr>
              <w:t>(2)</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Investment Related Items </w:t>
            </w:r>
            <w:r>
              <w:rPr>
                <w:rFonts w:ascii="Franklin Gothic Book;sans-serif" w:hAnsi="Franklin Gothic Book;sans-serif"/>
                <w:b/>
                <w:color w:val="000000"/>
                <w:sz w:val="9"/>
              </w:rPr>
              <w:t>(3)</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Financing Related Items </w:t>
            </w:r>
            <w:r>
              <w:rPr>
                <w:rFonts w:ascii="Franklin Gothic Book;sans-serif" w:hAnsi="Franklin Gothic Book;sans-serif"/>
                <w:b/>
                <w:color w:val="000000"/>
                <w:sz w:val="9"/>
              </w:rPr>
              <w:t>(4)</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Contingent Consideration </w:t>
            </w:r>
            <w:r>
              <w:rPr>
                <w:rFonts w:ascii="Franklin Gothic Book;sans-serif" w:hAnsi="Franklin Gothic Book;sans-serif"/>
                <w:b/>
                <w:color w:val="000000"/>
                <w:sz w:val="9"/>
              </w:rPr>
              <w:t>(5)</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Legal &amp; Regulatory Costs </w:t>
            </w:r>
            <w:r>
              <w:rPr>
                <w:rFonts w:ascii="Franklin Gothic Book;sans-serif" w:hAnsi="Franklin Gothic Book;sans-serif"/>
                <w:b/>
                <w:color w:val="000000"/>
                <w:sz w:val="9"/>
              </w:rPr>
              <w:t>(6)</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Share-based Compensation Costs </w:t>
            </w:r>
            <w:r>
              <w:rPr>
                <w:rFonts w:ascii="Franklin Gothic Book;sans-serif" w:hAnsi="Franklin Gothic Book;sans-serif"/>
                <w:b/>
                <w:color w:val="000000"/>
                <w:sz w:val="9"/>
              </w:rPr>
              <w:t>(7)</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14"/>
              </w:rPr>
              <w:t xml:space="preserve">Certain Tax Adjustments </w:t>
            </w:r>
            <w:r>
              <w:rPr>
                <w:rFonts w:ascii="Franklin Gothic Book;sans-serif" w:hAnsi="Franklin Gothic Book;sans-serif"/>
                <w:b/>
                <w:color w:val="000000"/>
                <w:sz w:val="9"/>
              </w:rPr>
              <w:t>(8)</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Cost of sales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$400.0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$391.4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Gross profit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68.8 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508.9 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(10.5)</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(20.4)</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(26.3)</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451.7 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Selling, general, and administrative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182.5 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(6.4)</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171.2 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Research and development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Other operating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33.0 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(13.4)</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(19.7)</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129.1 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13.4 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239.2 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Operating margin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10.3 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63.2 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13.4 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36.4 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(24.0)</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184.3 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Net income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5.0 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2.9 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4"/>
              </w:rPr>
            </w:pPr>
            <w:r>
              <w:rPr>
                <w:rFonts w:ascii="Franklin Gothic Book;sans-serif" w:hAnsi="Franklin Gothic Book;sans-serif"/>
                <w:b w:val="false"/>
                <w:color w:val="000000"/>
                <w:sz w:val="14"/>
              </w:rPr>
              <w:t>Diluted EPS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$0.24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($0.03)</w:t>
            </w:r>
          </w:p>
        </w:tc>
        <w:tc>
          <w:tcPr>
            <w:tcW w:w="4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$0.06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$0.62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($0.44)</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GAAP results for the year ended December 31, 2024 include:</w:t>
      </w:r>
    </w:p>
    <w:p>
      <w:pPr>
        <w:pStyle w:val="TextBody"/>
        <w:bidi w:val="0"/>
        <w:spacing w:lineRule="auto" w:line="300" w:before="0" w:after="0"/>
        <w:jc w:val="both"/>
        <w:rPr/>
      </w:pPr>
      <w:r>
        <w:rPr>
          <w:rFonts w:ascii="Franklin Gothic Book;sans-serif" w:hAnsi="Franklin Gothic Book;sans-serif"/>
          <w:b w:val="false"/>
          <w:color w:val="000000"/>
          <w:sz w:val="12"/>
        </w:rPr>
        <w:t>(1)</w:t>
      </w:r>
      <w:r>
        <w:rPr>
          <w:color w:val="000000"/>
        </w:rPr>
        <w:t xml:space="preserve"> </w:t>
      </w:r>
      <w:r>
        <w:rPr>
          <w:rFonts w:ascii="Franklin Gothic Book;sans-serif" w:hAnsi="Franklin Gothic Book;sans-serif"/>
          <w:b w:val="false"/>
          <w:color w:val="000000"/>
          <w:sz w:val="18"/>
        </w:rPr>
        <w:t>Restructuring expenses related to organizational changes</w:t>
      </w:r>
    </w:p>
    <w:p>
      <w:pPr>
        <w:pStyle w:val="TextBody"/>
        <w:bidi w:val="0"/>
        <w:spacing w:lineRule="auto" w:line="300" w:before="0" w:after="0"/>
        <w:jc w:val="both"/>
        <w:rPr/>
      </w:pPr>
      <w:r>
        <w:rPr>
          <w:rFonts w:ascii="Franklin Gothic Book;sans-serif" w:hAnsi="Franklin Gothic Book;sans-serif"/>
          <w:b w:val="false"/>
          <w:color w:val="000000"/>
          <w:sz w:val="12"/>
        </w:rPr>
        <w:t>(2)</w:t>
      </w:r>
      <w:r>
        <w:rPr>
          <w:color w:val="000000"/>
        </w:rPr>
        <w:t xml:space="preserve"> </w:t>
      </w:r>
      <w:r>
        <w:rPr>
          <w:rFonts w:ascii="Franklin Gothic Book;sans-serif" w:hAnsi="Franklin Gothic Book;sans-serif"/>
          <w:b w:val="false"/>
          <w:color w:val="000000"/>
          <w:sz w:val="18"/>
        </w:rPr>
        <w:t>Depreciation and amortization associated with purchase price accounting</w:t>
      </w:r>
    </w:p>
    <w:p>
      <w:pPr>
        <w:pStyle w:val="TextBody"/>
        <w:bidi w:val="0"/>
        <w:spacing w:lineRule="auto" w:line="300" w:before="0" w:after="0"/>
        <w:jc w:val="both"/>
        <w:rPr/>
      </w:pPr>
      <w:r>
        <w:rPr>
          <w:rFonts w:ascii="Franklin Gothic Book;sans-serif" w:hAnsi="Franklin Gothic Book;sans-serif"/>
          <w:b w:val="false"/>
          <w:color w:val="000000"/>
          <w:sz w:val="12"/>
        </w:rPr>
        <w:t>(3)</w:t>
      </w:r>
      <w:r>
        <w:rPr>
          <w:color w:val="000000"/>
        </w:rPr>
        <w:t xml:space="preserve"> </w:t>
      </w:r>
      <w:r>
        <w:rPr>
          <w:rFonts w:ascii="Franklin Gothic Book;sans-serif" w:hAnsi="Franklin Gothic Book;sans-serif"/>
          <w:b w:val="false"/>
          <w:color w:val="000000"/>
          <w:sz w:val="18"/>
        </w:rPr>
        <w:t>Gain on investment revaluation of Ceribell, Inc. and impairment of investment in ShiraTronics, Inc.</w:t>
      </w:r>
    </w:p>
    <w:p>
      <w:pPr>
        <w:pStyle w:val="TextBody"/>
        <w:bidi w:val="0"/>
        <w:spacing w:lineRule="auto" w:line="300" w:before="0" w:after="0"/>
        <w:jc w:val="both"/>
        <w:rPr/>
      </w:pPr>
      <w:r>
        <w:rPr>
          <w:rFonts w:ascii="Franklin Gothic Book;sans-serif" w:hAnsi="Franklin Gothic Book;sans-serif"/>
          <w:b w:val="false"/>
          <w:color w:val="000000"/>
          <w:sz w:val="12"/>
        </w:rPr>
        <w:t>(4)</w:t>
      </w:r>
      <w:r>
        <w:rPr>
          <w:color w:val="000000"/>
        </w:rPr>
        <w:t xml:space="preserve"> </w:t>
      </w:r>
      <w:r>
        <w:rPr>
          <w:rFonts w:ascii="Franklin Gothic Book;sans-serif" w:hAnsi="Franklin Gothic Book;sans-serif"/>
          <w:b w:val="false"/>
          <w:color w:val="000000"/>
          <w:sz w:val="18"/>
        </w:rPr>
        <w:t>Loss on debt extinguishment, mark-to-market adjustments for the 2025 and 2029 Notes embedded and capped call derivatives, interest expense on the Term Facilities, non-cash interest expense on the 2025 and 2029 Notes and Revolving Credit Facility, and interest income on the collateral for the SNIA litigation guarantee and delayed draw on Term Facilities</w:t>
      </w:r>
    </w:p>
    <w:p>
      <w:pPr>
        <w:pStyle w:val="TextBody"/>
        <w:bidi w:val="0"/>
        <w:spacing w:lineRule="auto" w:line="300" w:before="0" w:after="0"/>
        <w:jc w:val="both"/>
        <w:rPr/>
      </w:pPr>
      <w:r>
        <w:rPr>
          <w:rFonts w:ascii="Franklin Gothic Book;sans-serif" w:hAnsi="Franklin Gothic Book;sans-serif"/>
          <w:b w:val="false"/>
          <w:color w:val="000000"/>
          <w:sz w:val="12"/>
        </w:rPr>
        <w:t>(5)</w:t>
      </w:r>
      <w:r>
        <w:rPr>
          <w:color w:val="000000"/>
        </w:rPr>
        <w:t xml:space="preserve"> </w:t>
      </w:r>
      <w:r>
        <w:rPr>
          <w:rFonts w:ascii="Franklin Gothic Book;sans-serif" w:hAnsi="Franklin Gothic Book;sans-serif"/>
          <w:b w:val="false"/>
          <w:color w:val="000000"/>
          <w:sz w:val="18"/>
        </w:rPr>
        <w:t>Remeasurement of contingent consideration related to ImThera acquisition</w:t>
      </w:r>
    </w:p>
    <w:p>
      <w:pPr>
        <w:pStyle w:val="TextBody"/>
        <w:bidi w:val="0"/>
        <w:spacing w:lineRule="auto" w:line="300" w:before="0" w:after="0"/>
        <w:jc w:val="both"/>
        <w:rPr/>
      </w:pPr>
      <w:r>
        <w:rPr>
          <w:rFonts w:ascii="Franklin Gothic Book;sans-serif" w:hAnsi="Franklin Gothic Book;sans-serif"/>
          <w:b w:val="false"/>
          <w:color w:val="000000"/>
          <w:sz w:val="12"/>
        </w:rPr>
        <w:t>(6)</w:t>
      </w:r>
      <w:r>
        <w:rPr>
          <w:color w:val="000000"/>
        </w:rPr>
        <w:t xml:space="preserve"> </w:t>
      </w:r>
      <w:r>
        <w:rPr>
          <w:rFonts w:ascii="Franklin Gothic Book;sans-serif" w:hAnsi="Franklin Gothic Book;sans-serif"/>
          <w:b w:val="false"/>
          <w:color w:val="000000"/>
          <w:sz w:val="18"/>
        </w:rPr>
        <w:t>3T Heater-Cooler litigation provision, legal expenses primarily related to 3T Heater-Cooler defense, cybersecurity incident costs net of insurance reimbursement, MDR costs, and costs related to the SNIA matter</w:t>
      </w:r>
    </w:p>
    <w:p>
      <w:pPr>
        <w:pStyle w:val="TextBody"/>
        <w:bidi w:val="0"/>
        <w:spacing w:lineRule="auto" w:line="300" w:before="0" w:after="0"/>
        <w:jc w:val="both"/>
        <w:rPr/>
      </w:pPr>
      <w:r>
        <w:rPr>
          <w:rFonts w:ascii="Franklin Gothic Book;sans-serif" w:hAnsi="Franklin Gothic Book;sans-serif"/>
          <w:b w:val="false"/>
          <w:color w:val="000000"/>
          <w:sz w:val="12"/>
        </w:rPr>
        <w:t>(7)</w:t>
      </w:r>
      <w:r>
        <w:rPr>
          <w:color w:val="000000"/>
        </w:rPr>
        <w:t xml:space="preserve"> </w:t>
      </w:r>
      <w:r>
        <w:rPr>
          <w:rFonts w:ascii="Franklin Gothic Book;sans-serif" w:hAnsi="Franklin Gothic Book;sans-serif"/>
          <w:b w:val="false"/>
          <w:color w:val="000000"/>
          <w:sz w:val="18"/>
        </w:rPr>
        <w:t>Non-cash expenses associated with share-based compensation costs</w:t>
      </w:r>
    </w:p>
    <w:p>
      <w:pPr>
        <w:pStyle w:val="TextBody"/>
        <w:bidi w:val="0"/>
        <w:spacing w:lineRule="auto" w:line="300" w:before="0" w:after="0"/>
        <w:jc w:val="both"/>
        <w:rPr/>
      </w:pPr>
      <w:r>
        <w:rPr>
          <w:rFonts w:ascii="Franklin Gothic Book;sans-serif" w:hAnsi="Franklin Gothic Book;sans-serif"/>
          <w:b w:val="false"/>
          <w:color w:val="000000"/>
          <w:sz w:val="12"/>
        </w:rPr>
        <w:t>(8)</w:t>
      </w:r>
      <w:r>
        <w:rPr>
          <w:color w:val="000000"/>
        </w:rPr>
        <w:t xml:space="preserve"> </w:t>
      </w:r>
      <w:r>
        <w:rPr>
          <w:rFonts w:ascii="Franklin Gothic Book;sans-serif" w:hAnsi="Franklin Gothic Book;sans-serif"/>
          <w:b w:val="false"/>
          <w:color w:val="000000"/>
          <w:sz w:val="18"/>
        </w:rPr>
        <w:t>The impact of valuation allowances, discrete tax items, the tax impact of intercompany transactions, and the tax impact on non-GAAP adjustments</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7800"/>
                <wp:effectExtent l="0" t="0" r="0" b="0"/>
                <wp:wrapNone/>
                <wp:docPr id="23" name="Frame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58"/>
        <w:gridCol w:w="1323"/>
        <w:gridCol w:w="1198"/>
        <w:gridCol w:w="321"/>
        <w:gridCol w:w="321"/>
        <w:gridCol w:w="321"/>
        <w:gridCol w:w="728"/>
        <w:gridCol w:w="641"/>
        <w:gridCol w:w="605"/>
        <w:gridCol w:w="321"/>
        <w:gridCol w:w="321"/>
        <w:gridCol w:w="321"/>
        <w:gridCol w:w="676"/>
        <w:gridCol w:w="593"/>
        <w:gridCol w:w="757"/>
      </w:tblGrid>
      <w:tr>
        <w:trPr/>
        <w:tc>
          <w:tcPr>
            <w:tcW w:w="17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December 31, 2025</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December 31, 2024</w:t>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and cash equivalents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$635.6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$428.9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Restricted cash</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294.7 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 of allowance</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216.0 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193.2 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164.7 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147.6 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and refundable taxes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30.5 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expenses and other current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36.8 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32.4 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1,101.6</w:t>
            </w:r>
            <w:r>
              <w:rPr>
                <w:color w:val="000000"/>
              </w:rPr>
              <w:t>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1,127.2</w:t>
            </w:r>
            <w:r>
              <w:rPr>
                <w:color w:val="000000"/>
              </w:rPr>
              <w:t>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net</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242.6 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170.3 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Goodwill</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792.8 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750.0 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230.0 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237.3 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lease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55.5 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46.8 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Investments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25.1 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111.0 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111.9 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15.7 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14.1 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Assets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$2,606.1</w:t>
            </w:r>
            <w:r>
              <w:rPr>
                <w:color w:val="000000"/>
              </w:rPr>
              <w:t>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$2,506.4</w:t>
            </w:r>
            <w:r>
              <w:rPr>
                <w:color w:val="000000"/>
              </w:rPr>
              <w:t>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color w:val="000000"/>
                <w:sz w:val="20"/>
              </w:rPr>
            </w:pPr>
            <w:r>
              <w:rPr>
                <w:rFonts w:ascii="Franklin Gothic Book;sans-serif" w:hAnsi="Franklin Gothic Book;sans-serif"/>
                <w:b/>
                <w:color w:val="000000"/>
                <w:sz w:val="20"/>
              </w:rPr>
              <w:t>LIABILITIES AND SHAREHOLDERS’ EQUITY</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debt obligations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$31.5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$78.0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97.2 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69.7 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liabilities and other</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118.5 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SNIA environmental liability</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396.2 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contingent consideration</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50.0 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litigation provision liability</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33.1 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32.5 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employee compensation and related benefits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92.9 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80.5 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808.1</w:t>
            </w:r>
            <w:r>
              <w:rPr>
                <w:color w:val="000000"/>
              </w:rPr>
              <w:t>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392.1</w:t>
            </w:r>
            <w:r>
              <w:rPr>
                <w:color w:val="000000"/>
              </w:rPr>
              <w:t>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debt obligations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345.2 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549.6 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contingent consideration</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42.0 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84.2 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10.9 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operating lease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48.3 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40.1 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employee compensation and related benefits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13.6 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12.8 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83.9 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51.8 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55.4 </w:t>
            </w:r>
          </w:p>
        </w:tc>
        <w:tc>
          <w:tcPr>
            <w:tcW w:w="6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44.5 </w:t>
            </w:r>
          </w:p>
        </w:tc>
        <w:tc>
          <w:tcPr>
            <w:tcW w:w="7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1,406.1 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1,186.1 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Shareholders’ Equity</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1,200.0 </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1,320.3 </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 and Shareholders’ Equity</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$2,606.1</w:t>
            </w:r>
            <w:r>
              <w:rPr>
                <w:color w:val="000000"/>
              </w:rPr>
              <w:t> </w:t>
            </w:r>
          </w:p>
        </w:tc>
        <w:tc>
          <w:tcPr>
            <w:tcW w:w="6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$2,506.4</w:t>
            </w:r>
            <w:r>
              <w:rPr>
                <w:color w:val="000000"/>
              </w:rPr>
              <w:t> </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7800"/>
                <wp:effectExtent l="0" t="0" r="0" b="0"/>
                <wp:wrapNone/>
                <wp:docPr id="24" name="Frame2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19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56"/>
        <w:gridCol w:w="2126"/>
        <w:gridCol w:w="2133"/>
        <w:gridCol w:w="109"/>
        <w:gridCol w:w="109"/>
        <w:gridCol w:w="109"/>
        <w:gridCol w:w="573"/>
        <w:gridCol w:w="326"/>
        <w:gridCol w:w="259"/>
        <w:gridCol w:w="259"/>
        <w:gridCol w:w="259"/>
        <w:gridCol w:w="259"/>
        <w:gridCol w:w="533"/>
        <w:gridCol w:w="304"/>
        <w:gridCol w:w="391"/>
      </w:tblGrid>
      <w:tr>
        <w:trPr/>
        <w:tc>
          <w:tcPr>
            <w:tcW w:w="2456"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Year Ended December 31,</w:t>
            </w:r>
          </w:p>
        </w:tc>
      </w:tr>
      <w:tr>
        <w:trPr/>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8"/>
              </w:rPr>
            </w:pPr>
            <w:r>
              <w:rPr>
                <w:rFonts w:ascii="Franklin Gothic Book;sans-serif" w:hAnsi="Franklin Gothic Book;sans-serif"/>
                <w:b/>
                <w:color w:val="000000"/>
                <w:sz w:val="18"/>
              </w:rPr>
              <w:t>2024</w:t>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($242.5)</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$63.2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Adjustments to reconcile net (loss) income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33.9 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25.1 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23.1 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21.6 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17.2 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8.8 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Remeasurement of derivative instruments,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Gain on sale of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Loss (gain) on investment revaluation - Ceribell,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Loss on debt extinguishment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25.5 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Deferred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6.8 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Impairment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5.8 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3.0 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(10.7)</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11.1 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(5.3)</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(6.8)</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38.5 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(13.4)</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10.9 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SNIA environmental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365.6 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2.3 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254.3 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183.0 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(81.1)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(47.1)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Proceeds from sale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Proceeds from asset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0.1 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Purchases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(72.9)</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(48.2)</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8"/>
              </w:rPr>
            </w:pPr>
            <w:r>
              <w:rPr>
                <w:rFonts w:ascii="Franklin Gothic Book;sans-serif" w:hAnsi="Franklin Gothic Book;sans-serif"/>
                <w:b/>
                <w:color w:val="000000"/>
                <w:sz w:val="18"/>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(280.9)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(247.5)</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Shares repurchased from employees for minimum tax withholding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(4.4)</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(8.4)</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Proceeds from exercise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Proceeds from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335.5 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Payment of debt extinguishment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(39.0)</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Purchase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(31.6)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Proceeds from unwind of capped calls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22.5 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Payment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(13.8)</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Payment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(5.9)</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(0.3)</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0.4 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color w:val="000000"/>
                <w:sz w:val="18"/>
              </w:rPr>
            </w:pPr>
            <w:r>
              <w:rPr>
                <w:rFonts w:ascii="Franklin Gothic Book;sans-serif" w:hAnsi="Franklin Gothic Book;sans-serif"/>
                <w:b/>
                <w:color w:val="000000"/>
                <w:sz w:val="18"/>
              </w:rPr>
              <w:t>Net cash (used in)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(285.7)</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18.6 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16.2 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(7.7)</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color w:val="000000"/>
                <w:sz w:val="18"/>
              </w:rPr>
            </w:pPr>
            <w:r>
              <w:rPr>
                <w:rFonts w:ascii="Franklin Gothic Book;sans-serif" w:hAnsi="Franklin Gothic Book;sans-serif"/>
                <w:b/>
                <w:color w:val="000000"/>
                <w:sz w:val="18"/>
              </w:rPr>
              <w:t>Net (decrease)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(88.0)</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145.7 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723.6 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577.9 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Cash,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$635.6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8"/>
              </w:rPr>
            </w:pPr>
            <w:r>
              <w:rPr>
                <w:rFonts w:ascii="Franklin Gothic Book;sans-serif" w:hAnsi="Franklin Gothic Book;sans-serif"/>
                <w:b w:val="false"/>
                <w:color w:val="000000"/>
                <w:sz w:val="18"/>
              </w:rPr>
              <w:t>$723.6 </w:t>
            </w:r>
          </w:p>
        </w:tc>
        <w:tc>
          <w:tcPr>
            <w:tcW w:w="3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7800"/>
                <wp:effectExtent l="0" t="0" r="0" b="0"/>
                <wp:wrapNone/>
                <wp:docPr id="25" name="Frame2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0"/>
        <w:gridCol w:w="127"/>
        <w:gridCol w:w="113"/>
        <w:gridCol w:w="113"/>
        <w:gridCol w:w="113"/>
        <w:gridCol w:w="113"/>
        <w:gridCol w:w="109"/>
        <w:gridCol w:w="109"/>
        <w:gridCol w:w="109"/>
        <w:gridCol w:w="391"/>
        <w:gridCol w:w="232"/>
        <w:gridCol w:w="548"/>
        <w:gridCol w:w="109"/>
        <w:gridCol w:w="109"/>
        <w:gridCol w:w="109"/>
        <w:gridCol w:w="435"/>
        <w:gridCol w:w="435"/>
        <w:gridCol w:w="436"/>
        <w:gridCol w:w="109"/>
        <w:gridCol w:w="109"/>
        <w:gridCol w:w="109"/>
        <w:gridCol w:w="392"/>
        <w:gridCol w:w="233"/>
        <w:gridCol w:w="551"/>
        <w:gridCol w:w="109"/>
        <w:gridCol w:w="109"/>
        <w:gridCol w:w="109"/>
        <w:gridCol w:w="391"/>
        <w:gridCol w:w="232"/>
        <w:gridCol w:w="548"/>
        <w:gridCol w:w="109"/>
        <w:gridCol w:w="109"/>
        <w:gridCol w:w="109"/>
        <w:gridCol w:w="435"/>
        <w:gridCol w:w="435"/>
        <w:gridCol w:w="436"/>
        <w:gridCol w:w="109"/>
        <w:gridCol w:w="109"/>
        <w:gridCol w:w="109"/>
        <w:gridCol w:w="401"/>
        <w:gridCol w:w="222"/>
        <w:gridCol w:w="641"/>
      </w:tblGrid>
      <w:tr>
        <w:trPr/>
        <w:tc>
          <w:tcPr>
            <w:tcW w:w="2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December 31,</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r>
      <w:tr>
        <w:trPr/>
        <w:tc>
          <w:tcPr>
            <w:tcW w:w="8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before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$27.6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$63.0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$56.5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$55.1 </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(3.3)</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15.3 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10.9 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$30.9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($18.6)</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$47.7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$55.9 </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($10.3)</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$44.2 </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(11.9)</w:t>
            </w:r>
          </w:p>
        </w:tc>
        <w:tc>
          <w:tcPr>
            <w:tcW w:w="5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24.3 </w:t>
            </w:r>
          </w:p>
        </w:tc>
        <w:tc>
          <w:tcPr>
            <w:tcW w:w="55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1.0 </w:t>
            </w:r>
          </w:p>
        </w:tc>
        <w:tc>
          <w:tcPr>
            <w:tcW w:w="54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19.8 </w:t>
            </w:r>
          </w:p>
        </w:tc>
        <w:tc>
          <w:tcPr>
            <w:tcW w:w="64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tbl>
      <w:tblPr>
        <w:tblW w:w="10392" w:type="dxa"/>
        <w:jc w:val="left"/>
        <w:tblInd w:w="0" w:type="dxa"/>
        <w:tblLayout w:type="fixed"/>
        <w:tblCellMar>
          <w:top w:w="28" w:type="dxa"/>
          <w:left w:w="28" w:type="dxa"/>
          <w:bottom w:w="28" w:type="dxa"/>
          <w:right w:w="28" w:type="dxa"/>
        </w:tblCellMar>
      </w:tblPr>
      <w:tblGrid>
        <w:gridCol w:w="241"/>
        <w:gridCol w:w="119"/>
        <w:gridCol w:w="119"/>
        <w:gridCol w:w="119"/>
        <w:gridCol w:w="119"/>
        <w:gridCol w:w="124"/>
        <w:gridCol w:w="109"/>
        <w:gridCol w:w="109"/>
        <w:gridCol w:w="109"/>
        <w:gridCol w:w="509"/>
        <w:gridCol w:w="227"/>
        <w:gridCol w:w="537"/>
        <w:gridCol w:w="109"/>
        <w:gridCol w:w="109"/>
        <w:gridCol w:w="109"/>
        <w:gridCol w:w="430"/>
        <w:gridCol w:w="430"/>
        <w:gridCol w:w="431"/>
        <w:gridCol w:w="109"/>
        <w:gridCol w:w="109"/>
        <w:gridCol w:w="109"/>
        <w:gridCol w:w="494"/>
        <w:gridCol w:w="227"/>
        <w:gridCol w:w="537"/>
        <w:gridCol w:w="109"/>
        <w:gridCol w:w="109"/>
        <w:gridCol w:w="109"/>
        <w:gridCol w:w="389"/>
        <w:gridCol w:w="227"/>
        <w:gridCol w:w="537"/>
        <w:gridCol w:w="109"/>
        <w:gridCol w:w="109"/>
        <w:gridCol w:w="109"/>
        <w:gridCol w:w="430"/>
        <w:gridCol w:w="430"/>
        <w:gridCol w:w="431"/>
        <w:gridCol w:w="109"/>
        <w:gridCol w:w="109"/>
        <w:gridCol w:w="109"/>
        <w:gridCol w:w="504"/>
        <w:gridCol w:w="217"/>
        <w:gridCol w:w="602"/>
      </w:tblGrid>
      <w:tr>
        <w:trPr/>
        <w:tc>
          <w:tcPr>
            <w:tcW w:w="24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Year Ended December 31,</w:t>
            </w:r>
          </w:p>
        </w:tc>
      </w:tr>
      <w:tr>
        <w:trPr/>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r>
      <w:tr>
        <w:trPr/>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GAAP Financial Measures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Certain Tax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Adjusted Financial Measures</w:t>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(Loss) income before 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($220.8)</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$279.0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$88.3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 </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$233.4 </w:t>
            </w:r>
          </w:p>
        </w:tc>
        <w:tc>
          <w:tcPr>
            <w:tcW w:w="6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64.3 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25.1 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24.0 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49.0 </w:t>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($242.5)</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($42.7)</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$214.6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$63.2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($24.0)</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$184.3 </w:t>
            </w:r>
          </w:p>
        </w:tc>
        <w:tc>
          <w:tcPr>
            <w:tcW w:w="6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(9.8)</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23.1 </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28.4 </w:t>
            </w:r>
          </w:p>
        </w:tc>
        <w:tc>
          <w:tcPr>
            <w:tcW w:w="53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21.0 </w:t>
            </w:r>
          </w:p>
        </w:tc>
        <w:tc>
          <w:tcPr>
            <w:tcW w:w="6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lineRule="auto" w:line="432" w:before="100" w:after="283"/>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tbl>
      <w:tblPr>
        <w:tblW w:w="10205" w:type="dxa"/>
        <w:jc w:val="left"/>
        <w:tblInd w:w="0" w:type="dxa"/>
        <w:tblLayout w:type="fixed"/>
        <w:tblCellMar>
          <w:top w:w="28" w:type="dxa"/>
          <w:left w:w="28" w:type="dxa"/>
          <w:bottom w:w="28" w:type="dxa"/>
          <w:right w:w="28" w:type="dxa"/>
        </w:tblCellMar>
      </w:tblPr>
      <w:tblGrid>
        <w:gridCol w:w="313"/>
        <w:gridCol w:w="247"/>
        <w:gridCol w:w="239"/>
        <w:gridCol w:w="239"/>
        <w:gridCol w:w="239"/>
        <w:gridCol w:w="239"/>
        <w:gridCol w:w="187"/>
        <w:gridCol w:w="187"/>
        <w:gridCol w:w="187"/>
        <w:gridCol w:w="453"/>
        <w:gridCol w:w="418"/>
        <w:gridCol w:w="290"/>
        <w:gridCol w:w="290"/>
        <w:gridCol w:w="290"/>
        <w:gridCol w:w="290"/>
        <w:gridCol w:w="453"/>
        <w:gridCol w:w="418"/>
        <w:gridCol w:w="290"/>
        <w:gridCol w:w="187"/>
        <w:gridCol w:w="187"/>
        <w:gridCol w:w="187"/>
        <w:gridCol w:w="333"/>
        <w:gridCol w:w="337"/>
        <w:gridCol w:w="574"/>
        <w:gridCol w:w="187"/>
        <w:gridCol w:w="187"/>
        <w:gridCol w:w="187"/>
        <w:gridCol w:w="536"/>
        <w:gridCol w:w="536"/>
        <w:gridCol w:w="1498"/>
      </w:tblGrid>
      <w:tr>
        <w:trPr/>
        <w:tc>
          <w:tcPr>
            <w:tcW w:w="31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r>
      <w:tr>
        <w:trPr/>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Three Months Ended December 31,</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 Change </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Constant-Currency % Change</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net revenue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$360.9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$321.8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12.1 </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9.5 </w:t>
            </w:r>
          </w:p>
        </w:tc>
        <w:tc>
          <w:tcPr>
            <w:tcW w:w="1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1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Less: ACS </w:t>
            </w:r>
            <w:r>
              <w:rPr>
                <w:rFonts w:ascii="Franklin Gothic Book;sans-serif" w:hAnsi="Franklin Gothic Book;sans-serif"/>
                <w:b w:val="false"/>
                <w:color w:val="000000"/>
                <w:sz w:val="10"/>
              </w:rPr>
              <w:t>(1)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0.1 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Organic net revenue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$360.9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$321.7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N/A</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9.5 </w:t>
            </w:r>
          </w:p>
        </w:tc>
        <w:tc>
          <w:tcPr>
            <w:tcW w:w="1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Year Ended December 31,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 Change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Constant-Currency % Change</w:t>
            </w:r>
          </w:p>
        </w:tc>
      </w:tr>
      <w:tr>
        <w:trPr/>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2025</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2024</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net revenue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$1,388.1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$1,253.4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10.7 </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9.7 </w:t>
            </w:r>
          </w:p>
        </w:tc>
        <w:tc>
          <w:tcPr>
            <w:tcW w:w="1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1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16"/>
              </w:rPr>
              <w:t xml:space="preserve">Less: ACS </w:t>
            </w:r>
            <w:r>
              <w:rPr>
                <w:rFonts w:ascii="Franklin Gothic Book;sans-serif" w:hAnsi="Franklin Gothic Book;sans-serif"/>
                <w:b w:val="false"/>
                <w:color w:val="000000"/>
                <w:sz w:val="10"/>
              </w:rPr>
              <w:t>(1)</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11.6 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100.0 </w:t>
            </w:r>
          </w:p>
        </w:tc>
        <w:tc>
          <w:tcPr>
            <w:tcW w:w="1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r>
        <w:trPr/>
        <w:tc>
          <w:tcPr>
            <w:tcW w:w="15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Organic net revenue</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$1,388.1 </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$1,241.8 </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N/A</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10.7 </w:t>
            </w:r>
          </w:p>
        </w:tc>
        <w:tc>
          <w:tcPr>
            <w:tcW w:w="1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w:t>
            </w:r>
          </w:p>
        </w:tc>
      </w:tr>
    </w:tbl>
    <w:p>
      <w:pPr>
        <w:pStyle w:val="TextBody"/>
        <w:bidi w:val="0"/>
        <w:spacing w:lineRule="auto" w:line="432" w:before="0" w:after="0"/>
        <w:ind w:left="0" w:right="0" w:hanging="360"/>
        <w:jc w:val="both"/>
        <w:rPr/>
      </w:pPr>
      <w:r>
        <w:rPr>
          <w:rFonts w:ascii="Franklin Gothic Book;sans-serif" w:hAnsi="Franklin Gothic Book;sans-serif"/>
          <w:b w:val="false"/>
          <w:color w:val="000000"/>
          <w:sz w:val="12"/>
        </w:rPr>
        <w:t>(1)</w:t>
      </w:r>
      <w:r>
        <w:rPr>
          <w:rFonts w:ascii="Franklin Gothic Book;sans-serif" w:hAnsi="Franklin Gothic Book;sans-serif"/>
          <w:b w:val="false"/>
          <w:color w:val="000000"/>
          <w:sz w:val="18"/>
        </w:rPr>
        <w:t>Includes net revenue from the Company's former ACS reportable segment.</w:t>
      </w:r>
    </w:p>
    <w:p>
      <w:pPr>
        <w:pStyle w:val="TextBody"/>
        <w:bidi w:val="0"/>
        <w:spacing w:lineRule="auto" w:line="288"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tbl>
      <w:tblPr>
        <w:tblW w:w="10205" w:type="dxa"/>
        <w:jc w:val="left"/>
        <w:tblInd w:w="0" w:type="dxa"/>
        <w:tblLayout w:type="fixed"/>
        <w:tblCellMar>
          <w:top w:w="28" w:type="dxa"/>
          <w:left w:w="28" w:type="dxa"/>
          <w:bottom w:w="28" w:type="dxa"/>
          <w:right w:w="28" w:type="dxa"/>
        </w:tblCellMar>
      </w:tblPr>
      <w:tblGrid>
        <w:gridCol w:w="2161"/>
        <w:gridCol w:w="1898"/>
        <w:gridCol w:w="1905"/>
        <w:gridCol w:w="109"/>
        <w:gridCol w:w="109"/>
        <w:gridCol w:w="109"/>
        <w:gridCol w:w="607"/>
        <w:gridCol w:w="607"/>
        <w:gridCol w:w="609"/>
        <w:gridCol w:w="109"/>
        <w:gridCol w:w="109"/>
        <w:gridCol w:w="109"/>
        <w:gridCol w:w="532"/>
        <w:gridCol w:w="508"/>
        <w:gridCol w:w="724"/>
      </w:tblGrid>
      <w:tr>
        <w:trPr/>
        <w:tc>
          <w:tcPr>
            <w:tcW w:w="2161"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Three Months Ended </w:t>
            </w:r>
          </w:p>
          <w:p>
            <w:pPr>
              <w:pStyle w:val="TableContents"/>
              <w:bidi w:val="0"/>
              <w:spacing w:lineRule="auto" w:line="240" w:before="0" w:after="0"/>
              <w:jc w:val="center"/>
              <w:rPr>
                <w:rFonts w:ascii="Franklin Gothic Book;sans-serif" w:hAnsi="Franklin Gothic Book;sans-serif"/>
                <w:b/>
                <w:color w:val="000000"/>
                <w:sz w:val="16"/>
              </w:rPr>
            </w:pPr>
            <w:r>
              <w:rPr>
                <w:rFonts w:ascii="Franklin Gothic Book;sans-serif" w:hAnsi="Franklin Gothic Book;sans-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16"/>
              </w:rPr>
            </w:pPr>
            <w:r>
              <w:rPr>
                <w:rFonts w:ascii="Franklin Gothic Book;sans-serif" w:hAnsi="Franklin Gothic Book;sans-serif"/>
                <w:b/>
                <w:color w:val="000000"/>
                <w:sz w:val="16"/>
              </w:rPr>
              <w:t xml:space="preserve">Year Ended </w:t>
            </w:r>
          </w:p>
          <w:p>
            <w:pPr>
              <w:pStyle w:val="TableContents"/>
              <w:bidi w:val="0"/>
              <w:spacing w:lineRule="auto" w:line="240" w:before="0" w:after="0"/>
              <w:jc w:val="center"/>
              <w:rPr>
                <w:rFonts w:ascii="Franklin Gothic Book;sans-serif" w:hAnsi="Franklin Gothic Book;sans-serif"/>
                <w:b/>
                <w:color w:val="000000"/>
                <w:sz w:val="16"/>
              </w:rPr>
            </w:pPr>
            <w:r>
              <w:rPr>
                <w:rFonts w:ascii="Franklin Gothic Book;sans-serif" w:hAnsi="Franklin Gothic Book;sans-serif"/>
                <w:b/>
                <w:color w:val="000000"/>
                <w:sz w:val="16"/>
              </w:rPr>
              <w:t>December 31, 2025</w:t>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$82.4 </w:t>
            </w:r>
          </w:p>
        </w:tc>
        <w:tc>
          <w:tcPr>
            <w:tcW w:w="6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$254.3 </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Purchases of plant,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(32.2)</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(81.1)</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Cybersecurity incident insurance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(1.7)</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Less: Dividends received from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(0.6)</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3T Heater-Cooler litigation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3.9 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5.8 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SNIA financing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6.5 </w:t>
            </w:r>
          </w:p>
        </w:tc>
        <w:tc>
          <w:tcPr>
            <w:tcW w:w="7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Adjusted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$53.5 </w:t>
            </w:r>
          </w:p>
        </w:tc>
        <w:tc>
          <w:tcPr>
            <w:tcW w:w="6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$183.3 </w:t>
            </w:r>
          </w:p>
        </w:tc>
        <w:tc>
          <w:tcPr>
            <w:tcW w:w="7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32" w:before="0" w:after="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7800"/>
                <wp:effectExtent l="0" t="0" r="0" b="0"/>
                <wp:wrapNone/>
                <wp:docPr id="26" name="Frame2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21</w:t>
                      </w:r>
                    </w:p>
                  </w:txbxContent>
                </v:textbox>
                <w10:wrap type="none"/>
              </v:rect>
            </w:pict>
          </mc:Fallback>
        </mc:AlternateContent>
      </w:r>
    </w:p>
    <w:p>
      <w:pPr>
        <w:pStyle w:val="TextBody"/>
        <w:bidi w:val="0"/>
        <w:spacing w:lineRule="auto" w:line="432" w:before="0" w:after="0"/>
        <w:jc w:val="both"/>
        <w:rPr>
          <w:rFonts w:ascii="Franklin Gothic Book;sans-serif" w:hAnsi="Franklin Gothic Book;sans-serif"/>
          <w:b w:val="false"/>
          <w:color w:val="000000"/>
          <w:sz w:val="20"/>
        </w:rPr>
      </w:pPr>
      <w:r>
        <w:rPr>
          <w:rFonts w:ascii="Franklin Gothic Book;sans-serif" w:hAnsi="Franklin Gothic Book;sans-serif"/>
          <w:b w:val="false"/>
          <w:color w:val="000000"/>
          <w:sz w:val="20"/>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w:t>
      </w:r>
    </w:p>
    <w:tbl>
      <w:tblPr>
        <w:tblW w:w="10205" w:type="dxa"/>
        <w:jc w:val="left"/>
        <w:tblInd w:w="0" w:type="dxa"/>
        <w:tblLayout w:type="fixed"/>
        <w:tblCellMar>
          <w:top w:w="28" w:type="dxa"/>
          <w:left w:w="28" w:type="dxa"/>
          <w:bottom w:w="28" w:type="dxa"/>
          <w:right w:w="28" w:type="dxa"/>
        </w:tblCellMar>
      </w:tblPr>
      <w:tblGrid>
        <w:gridCol w:w="929"/>
        <w:gridCol w:w="813"/>
        <w:gridCol w:w="813"/>
        <w:gridCol w:w="813"/>
        <w:gridCol w:w="813"/>
        <w:gridCol w:w="813"/>
        <w:gridCol w:w="813"/>
        <w:gridCol w:w="832"/>
        <w:gridCol w:w="109"/>
        <w:gridCol w:w="109"/>
        <w:gridCol w:w="109"/>
        <w:gridCol w:w="109"/>
        <w:gridCol w:w="109"/>
        <w:gridCol w:w="109"/>
        <w:gridCol w:w="109"/>
        <w:gridCol w:w="819"/>
        <w:gridCol w:w="819"/>
        <w:gridCol w:w="1165"/>
      </w:tblGrid>
      <w:tr>
        <w:trPr/>
        <w:tc>
          <w:tcPr>
            <w:tcW w:w="9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r>
      <w:tr>
        <w:trPr/>
        <w:tc>
          <w:tcPr>
            <w:tcW w:w="6639" w:type="dxa"/>
            <w:gridSpan w:val="8"/>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(shares in millions)</w:t>
            </w:r>
          </w:p>
        </w:tc>
        <w:tc>
          <w:tcPr>
            <w:tcW w:w="3566" w:type="dxa"/>
            <w:gridSpan w:val="10"/>
            <w:tcBorders/>
          </w:tcPr>
          <w:p>
            <w:pPr>
              <w:pStyle w:val="TableContents"/>
              <w:bidi w:val="0"/>
              <w:spacing w:before="0" w:after="283"/>
              <w:jc w:val="left"/>
              <w:rPr>
                <w:sz w:val="4"/>
                <w:szCs w:val="4"/>
              </w:rPr>
            </w:pPr>
            <w:r>
              <w:rPr>
                <w:sz w:val="4"/>
                <w:szCs w:val="4"/>
              </w:rPr>
            </w:r>
          </w:p>
        </w:tc>
      </w:tr>
      <w:tr>
        <w:trPr/>
        <w:tc>
          <w:tcPr>
            <w:tcW w:w="2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Year Ended December 31, 2025</w:t>
            </w:r>
          </w:p>
        </w:tc>
      </w:tr>
      <w:tr>
        <w:trPr/>
        <w:tc>
          <w:tcPr>
            <w:tcW w:w="2555"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3" w:type="dxa"/>
            <w:gridSpan w:val="3"/>
            <w:tcBorders/>
          </w:tcPr>
          <w:p>
            <w:pPr>
              <w:pStyle w:val="TableContents"/>
              <w:bidi w:val="0"/>
              <w:spacing w:before="0" w:after="283"/>
              <w:jc w:val="left"/>
              <w:rPr>
                <w:sz w:val="4"/>
                <w:szCs w:val="4"/>
              </w:rPr>
            </w:pPr>
            <w:r>
              <w:rPr>
                <w:sz w:val="4"/>
                <w:szCs w:val="4"/>
              </w:rPr>
            </w:r>
          </w:p>
        </w:tc>
      </w:tr>
      <w:tr>
        <w:trPr/>
        <w:tc>
          <w:tcPr>
            <w:tcW w:w="49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GAAP diluted weighted average shares outstanding</w:t>
            </w:r>
          </w:p>
        </w:tc>
        <w:tc>
          <w:tcPr>
            <w:tcW w:w="81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54.5 </w:t>
            </w:r>
          </w:p>
        </w:tc>
        <w:tc>
          <w:tcPr>
            <w:tcW w:w="1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Add: Effects of share-based compensation instruments</w:t>
            </w:r>
          </w:p>
        </w:tc>
        <w:tc>
          <w:tcPr>
            <w:tcW w:w="81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0.5 </w:t>
            </w:r>
          </w:p>
        </w:tc>
        <w:tc>
          <w:tcPr>
            <w:tcW w:w="1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Adjusted diluted weighted average shares outstanding </w:t>
            </w:r>
          </w:p>
        </w:tc>
        <w:tc>
          <w:tcPr>
            <w:tcW w:w="81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55.0 </w:t>
            </w:r>
          </w:p>
        </w:tc>
        <w:tc>
          <w:tcPr>
            <w:tcW w:w="1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00"/>
        <w:ind w:left="0" w:right="0" w:hanging="360"/>
        <w:jc w:val="both"/>
        <w:rPr/>
      </w:pPr>
      <w:r>
        <w:rPr>
          <w:color w:val="000000"/>
        </w:rPr>
        <w:t>•    </w:t>
      </w:r>
      <w:r>
        <w:rPr>
          <w:rFonts w:ascii="Franklin Gothic Book;sans-serif" w:hAnsi="Franklin Gothic Book;sans-serif"/>
          <w:b w:val="false"/>
          <w:color w:val="000000"/>
          <w:sz w:val="18"/>
        </w:rPr>
        <w:t>Numbers may not add precisely due to rounding.</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7800"/>
                <wp:effectExtent l="0" t="0" r="0" b="0"/>
                <wp:wrapNone/>
                <wp:docPr id="27" name="Frame2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Franklin Gothic Book;sans-serif" w:hAnsi="Franklin Gothic Book;sans-serif"/>
                          <w:b w:val="false"/>
                          <w:color w:val="060606"/>
                          <w:sz w:val="24"/>
                        </w:rPr>
                      </w:pPr>
                      <w:r>
                        <w:rPr>
                          <w:rFonts w:ascii="Franklin Gothic Book;sans-serif" w:hAnsi="Franklin Gothic Book;sans-serif"/>
                          <w:b w:val="false"/>
                          <w:color w:val="060606"/>
                          <w:sz w:val="24"/>
                        </w:rPr>
                        <w:t>22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7356</Words>
  <Characters>41076</Characters>
  <CharactersWithSpaces>47551</CharactersWithSpaces>
  <Paragraphs>1978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